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叶城县农村合作经济发展中心2024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37DC217">
      <w:r>
        <w:br w:type="page"/>
      </w:r>
    </w:p>
    <w:p w14:paraId="6EEE6259">
      <w:pPr>
        <w:spacing w:line="640" w:lineRule="exact"/>
        <w:jc w:val="center"/>
        <w:outlineLvl w:val="1"/>
      </w:pPr>
      <w:r>
        <w:rPr>
          <w:rFonts w:ascii="黑体" w:hAnsi="黑体" w:eastAsia="黑体"/>
          <w:sz w:val="32"/>
        </w:rPr>
        <w:t>第一部分 单位概况</w:t>
      </w:r>
    </w:p>
    <w:p w14:paraId="2BD37C46">
      <w:pPr>
        <w:spacing w:line="640" w:lineRule="exact"/>
        <w:ind w:firstLine="640"/>
        <w:jc w:val="both"/>
        <w:outlineLvl w:val="2"/>
      </w:pPr>
      <w:r>
        <w:rPr>
          <w:rFonts w:ascii="黑体" w:hAnsi="黑体" w:eastAsia="黑体"/>
          <w:sz w:val="32"/>
        </w:rPr>
        <w:t>一、主要职能</w:t>
      </w:r>
    </w:p>
    <w:p w14:paraId="7C5F475C">
      <w:pPr>
        <w:spacing w:line="580" w:lineRule="exact"/>
        <w:ind w:firstLine="640"/>
        <w:jc w:val="both"/>
      </w:pPr>
      <w:r>
        <w:rPr>
          <w:rFonts w:ascii="仿宋_GB2312" w:hAnsi="仿宋_GB2312" w:eastAsia="仿宋_GB2312"/>
          <w:sz w:val="32"/>
        </w:rPr>
        <w:t>为农村经济健康发展提供管理保障，农村集体资产管理，农业产业化经营管理，农民负担管理，农村经济统计，村集体经济组织财务管理，农村土地管理，农村惠农政策宣传及上级和</w:t>
      </w:r>
      <w:r>
        <w:rPr>
          <w:rFonts w:hint="eastAsia" w:ascii="仿宋_GB2312" w:hAnsi="仿宋_GB2312" w:eastAsia="仿宋_GB2312"/>
          <w:sz w:val="32"/>
          <w:lang w:eastAsia="zh-CN"/>
        </w:rPr>
        <w:t>本级</w:t>
      </w:r>
      <w:r>
        <w:rPr>
          <w:rFonts w:ascii="仿宋_GB2312" w:hAnsi="仿宋_GB2312" w:eastAsia="仿宋_GB2312"/>
          <w:sz w:val="32"/>
        </w:rPr>
        <w:t>部门完成交办的其他工作任务。</w:t>
      </w:r>
    </w:p>
    <w:p w14:paraId="092D8469">
      <w:pPr>
        <w:spacing w:line="640" w:lineRule="exact"/>
        <w:ind w:firstLine="640"/>
        <w:jc w:val="both"/>
        <w:outlineLvl w:val="2"/>
      </w:pPr>
      <w:r>
        <w:rPr>
          <w:rFonts w:ascii="黑体" w:hAnsi="黑体" w:eastAsia="黑体"/>
          <w:sz w:val="32"/>
        </w:rPr>
        <w:t>二、机构设置及人员情况</w:t>
      </w:r>
    </w:p>
    <w:p w14:paraId="2E08A06D">
      <w:pPr>
        <w:spacing w:line="580" w:lineRule="exact"/>
        <w:ind w:firstLine="640"/>
        <w:jc w:val="both"/>
      </w:pPr>
      <w:r>
        <w:rPr>
          <w:rFonts w:ascii="仿宋_GB2312" w:hAnsi="仿宋_GB2312" w:eastAsia="仿宋_GB2312"/>
          <w:sz w:val="32"/>
        </w:rPr>
        <w:t>叶城县农村合作经济发展中心2024年度，实有人数8人，其中：在职人员5人，增加0人；离休人员0人，增加0人；退休人员3人,增加0人。</w:t>
      </w:r>
    </w:p>
    <w:p w14:paraId="29EF9D52">
      <w:pPr>
        <w:spacing w:line="580" w:lineRule="exact"/>
        <w:ind w:firstLine="640"/>
        <w:jc w:val="both"/>
      </w:pPr>
      <w:r>
        <w:rPr>
          <w:rFonts w:ascii="仿宋_GB2312" w:hAnsi="仿宋_GB2312" w:eastAsia="仿宋_GB2312"/>
          <w:sz w:val="32"/>
        </w:rPr>
        <w:t>叶城县农村合作经济发展中心无下属预算单位，下设1个科室，分别是：办公室。</w:t>
      </w:r>
    </w:p>
    <w:p w14:paraId="22C802C3">
      <w:r>
        <w:br w:type="page"/>
      </w:r>
    </w:p>
    <w:p w14:paraId="45D3A278">
      <w:pPr>
        <w:spacing w:line="240" w:lineRule="auto"/>
        <w:jc w:val="center"/>
        <w:outlineLvl w:val="1"/>
      </w:pPr>
      <w:r>
        <w:rPr>
          <w:rFonts w:ascii="黑体" w:hAnsi="黑体" w:eastAsia="黑体"/>
          <w:sz w:val="32"/>
        </w:rPr>
        <w:t>第二部分 部门决算情况说明</w:t>
      </w:r>
    </w:p>
    <w:p w14:paraId="20CFF06C">
      <w:pPr>
        <w:spacing w:line="640" w:lineRule="exact"/>
        <w:ind w:firstLine="640"/>
        <w:jc w:val="both"/>
        <w:outlineLvl w:val="2"/>
      </w:pPr>
      <w:r>
        <w:rPr>
          <w:rFonts w:ascii="黑体" w:hAnsi="黑体" w:eastAsia="黑体"/>
          <w:sz w:val="32"/>
        </w:rPr>
        <w:t>一、收入支出决算总体情况说明</w:t>
      </w:r>
    </w:p>
    <w:p w14:paraId="6179243C">
      <w:pPr>
        <w:spacing w:line="580" w:lineRule="exact"/>
        <w:ind w:firstLine="640"/>
        <w:jc w:val="both"/>
      </w:pPr>
      <w:r>
        <w:rPr>
          <w:rFonts w:ascii="仿宋_GB2312" w:hAnsi="仿宋_GB2312" w:eastAsia="仿宋_GB2312"/>
          <w:b/>
          <w:sz w:val="32"/>
        </w:rPr>
        <w:t>2024年度收入总计342.95万元，</w:t>
      </w:r>
      <w:r>
        <w:rPr>
          <w:rFonts w:ascii="仿宋_GB2312" w:hAnsi="仿宋_GB2312" w:eastAsia="仿宋_GB2312"/>
          <w:b w:val="0"/>
          <w:sz w:val="32"/>
        </w:rPr>
        <w:t>其中：本年收入合计342.95万元，使用非财政拨款结余（含专用结余）0.00万元，年初结转和结余0.00万元。</w:t>
      </w:r>
    </w:p>
    <w:p w14:paraId="7C37C922">
      <w:pPr>
        <w:spacing w:line="580" w:lineRule="exact"/>
        <w:ind w:firstLine="640"/>
        <w:jc w:val="both"/>
      </w:pPr>
      <w:r>
        <w:rPr>
          <w:rFonts w:ascii="仿宋_GB2312" w:hAnsi="仿宋_GB2312" w:eastAsia="仿宋_GB2312"/>
          <w:b/>
          <w:sz w:val="32"/>
        </w:rPr>
        <w:t>2024年度支出总计342.95万元，</w:t>
      </w:r>
      <w:r>
        <w:rPr>
          <w:rFonts w:ascii="仿宋_GB2312" w:hAnsi="仿宋_GB2312" w:eastAsia="仿宋_GB2312"/>
          <w:b w:val="0"/>
          <w:sz w:val="32"/>
        </w:rPr>
        <w:t>其中：本年支出合计342.95万元，结余分配0.00万元，年末结转和结余0.00万元。</w:t>
      </w:r>
    </w:p>
    <w:p w14:paraId="4BD1DB06">
      <w:pPr>
        <w:spacing w:line="580" w:lineRule="exact"/>
        <w:ind w:firstLine="640"/>
        <w:jc w:val="both"/>
        <w:rPr>
          <w:rFonts w:hint="eastAsia" w:eastAsia="仿宋_GB2312"/>
          <w:lang w:val="en-US" w:eastAsia="zh-CN"/>
        </w:rPr>
      </w:pPr>
      <w:r>
        <w:rPr>
          <w:rFonts w:ascii="仿宋_GB2312" w:hAnsi="仿宋_GB2312" w:eastAsia="仿宋_GB2312"/>
          <w:b w:val="0"/>
          <w:sz w:val="32"/>
        </w:rPr>
        <w:t>收入支出总体与上年相比，减少65.19万元，下降15.97%，主要原因是：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本年减少职业年金和抚恤金支出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二是本年减少</w:t>
      </w:r>
      <w:r>
        <w:rPr>
          <w:rFonts w:ascii="仿宋_GB2312" w:hAnsi="仿宋_GB2312" w:eastAsia="仿宋_GB2312"/>
          <w:b w:val="0"/>
          <w:sz w:val="32"/>
        </w:rPr>
        <w:t>新型农业经营主体培训项目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三是本年</w:t>
      </w:r>
      <w:r>
        <w:rPr>
          <w:rFonts w:ascii="仿宋_GB2312" w:hAnsi="仿宋_GB2312" w:eastAsia="仿宋_GB2312"/>
          <w:b w:val="0"/>
          <w:sz w:val="32"/>
        </w:rPr>
        <w:t>新型农业经营主体能力提升项目</w:t>
      </w:r>
      <w:r>
        <w:rPr>
          <w:rFonts w:hint="eastAsia" w:ascii="仿宋_GB2312" w:hAnsi="仿宋_GB2312" w:eastAsia="仿宋_GB2312"/>
          <w:b w:val="0"/>
          <w:sz w:val="32"/>
          <w:lang w:val="en-US" w:eastAsia="zh-CN"/>
        </w:rPr>
        <w:t>资金较上年减少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四是</w:t>
      </w:r>
      <w:r>
        <w:rPr>
          <w:rFonts w:ascii="仿宋_GB2312" w:hAnsi="仿宋_GB2312" w:eastAsia="仿宋_GB2312"/>
          <w:b w:val="0"/>
          <w:sz w:val="32"/>
        </w:rPr>
        <w:t>本年在职人员调入调出，人员职级不同，工资基数不同，导致人员经费较上年减少。</w:t>
      </w:r>
    </w:p>
    <w:p w14:paraId="34302CA6">
      <w:pPr>
        <w:spacing w:line="640" w:lineRule="exact"/>
        <w:ind w:firstLine="640"/>
        <w:jc w:val="both"/>
        <w:outlineLvl w:val="2"/>
      </w:pPr>
      <w:r>
        <w:rPr>
          <w:rFonts w:ascii="黑体" w:hAnsi="黑体" w:eastAsia="黑体"/>
          <w:sz w:val="32"/>
        </w:rPr>
        <w:t>二、收入决算情况说明</w:t>
      </w:r>
    </w:p>
    <w:p w14:paraId="17125719">
      <w:pPr>
        <w:spacing w:line="580" w:lineRule="exact"/>
        <w:ind w:firstLine="640"/>
        <w:jc w:val="both"/>
      </w:pPr>
      <w:r>
        <w:rPr>
          <w:rFonts w:ascii="仿宋_GB2312" w:hAnsi="仿宋_GB2312" w:eastAsia="仿宋_GB2312"/>
          <w:b/>
          <w:sz w:val="32"/>
        </w:rPr>
        <w:t>本年收入342.95万元，</w:t>
      </w:r>
      <w:r>
        <w:rPr>
          <w:rFonts w:ascii="仿宋_GB2312" w:hAnsi="仿宋_GB2312" w:eastAsia="仿宋_GB2312"/>
          <w:b w:val="0"/>
          <w:sz w:val="32"/>
        </w:rPr>
        <w:t>其中：财政拨款收入342.95万元，占100.00%；上级补助收入0.00万元，占0.00%；事业收入0.00万元，占0.00%；经营收入0.00万元，占0.00%；附属单位上缴收入0.00万元，占0.00%；其他收入0.00万元，占0.00%。</w:t>
      </w:r>
    </w:p>
    <w:p w14:paraId="2DD325EC">
      <w:pPr>
        <w:spacing w:line="640" w:lineRule="exact"/>
        <w:ind w:firstLine="640"/>
        <w:jc w:val="both"/>
        <w:outlineLvl w:val="2"/>
      </w:pPr>
      <w:r>
        <w:rPr>
          <w:rFonts w:ascii="黑体" w:hAnsi="黑体" w:eastAsia="黑体"/>
          <w:sz w:val="32"/>
        </w:rPr>
        <w:t>三、支出决算情况说明</w:t>
      </w:r>
    </w:p>
    <w:p w14:paraId="4852A182">
      <w:pPr>
        <w:spacing w:line="580" w:lineRule="exact"/>
        <w:ind w:firstLine="640"/>
        <w:jc w:val="both"/>
      </w:pPr>
      <w:r>
        <w:rPr>
          <w:rFonts w:ascii="仿宋_GB2312" w:hAnsi="仿宋_GB2312" w:eastAsia="仿宋_GB2312"/>
          <w:b/>
          <w:sz w:val="32"/>
        </w:rPr>
        <w:t>本年支出342.95万元，</w:t>
      </w:r>
      <w:r>
        <w:rPr>
          <w:rFonts w:ascii="仿宋_GB2312" w:hAnsi="仿宋_GB2312" w:eastAsia="仿宋_GB2312"/>
          <w:b w:val="0"/>
          <w:sz w:val="32"/>
        </w:rPr>
        <w:t>其中：基本支出122.95万元，占35.85%；项目支出220.00万元，占64.15%；上缴上级支出0.00万元，占0.00%；经营支出0.00万元，占0.00%；对附属单位补助支出0.00万元，占0.00%。</w:t>
      </w:r>
    </w:p>
    <w:p w14:paraId="1BE41824">
      <w:pPr>
        <w:spacing w:line="640" w:lineRule="exact"/>
        <w:ind w:firstLine="640"/>
        <w:jc w:val="both"/>
        <w:outlineLvl w:val="2"/>
      </w:pPr>
      <w:r>
        <w:rPr>
          <w:rFonts w:ascii="黑体" w:hAnsi="黑体" w:eastAsia="黑体"/>
          <w:sz w:val="32"/>
        </w:rPr>
        <w:t>四、财政拨款收入支出决算总体情况说明</w:t>
      </w:r>
    </w:p>
    <w:p w14:paraId="797602E4">
      <w:pPr>
        <w:spacing w:line="580" w:lineRule="exact"/>
        <w:ind w:firstLine="640"/>
        <w:jc w:val="both"/>
      </w:pPr>
      <w:r>
        <w:rPr>
          <w:rFonts w:ascii="仿宋_GB2312" w:hAnsi="仿宋_GB2312" w:eastAsia="仿宋_GB2312"/>
          <w:b/>
          <w:sz w:val="32"/>
        </w:rPr>
        <w:t>2024年度财政拨款收入总计342.95万元，</w:t>
      </w:r>
      <w:r>
        <w:rPr>
          <w:rFonts w:ascii="仿宋_GB2312" w:hAnsi="仿宋_GB2312" w:eastAsia="仿宋_GB2312"/>
          <w:b w:val="0"/>
          <w:sz w:val="32"/>
        </w:rPr>
        <w:t>其中：年初财政拨款结转和结余0.00万元，本年财政拨款收入342.95万元。</w:t>
      </w:r>
      <w:r>
        <w:rPr>
          <w:rFonts w:ascii="仿宋_GB2312" w:hAnsi="仿宋_GB2312" w:eastAsia="仿宋_GB2312"/>
          <w:b/>
          <w:sz w:val="32"/>
        </w:rPr>
        <w:t>财政拨款支出总计342.95万元，</w:t>
      </w:r>
      <w:r>
        <w:rPr>
          <w:rFonts w:ascii="仿宋_GB2312" w:hAnsi="仿宋_GB2312" w:eastAsia="仿宋_GB2312"/>
          <w:b w:val="0"/>
          <w:sz w:val="32"/>
        </w:rPr>
        <w:t>其中：年末财政拨款结转和结余0.00万元，本年财政拨款支出342.95万元。</w:t>
      </w:r>
    </w:p>
    <w:p w14:paraId="4E7694F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减少65.19万元，下降15.97%，主要原因是：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本年减少职业年金和抚恤金支出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二是本年减少</w:t>
      </w:r>
      <w:r>
        <w:rPr>
          <w:rFonts w:ascii="仿宋_GB2312" w:hAnsi="仿宋_GB2312" w:eastAsia="仿宋_GB2312"/>
          <w:b w:val="0"/>
          <w:sz w:val="32"/>
        </w:rPr>
        <w:t>新型农业经营主体培训项目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三是本年</w:t>
      </w:r>
      <w:r>
        <w:rPr>
          <w:rFonts w:ascii="仿宋_GB2312" w:hAnsi="仿宋_GB2312" w:eastAsia="仿宋_GB2312"/>
          <w:b w:val="0"/>
          <w:sz w:val="32"/>
        </w:rPr>
        <w:t>新型农业经营主体能力提升项目</w:t>
      </w:r>
      <w:r>
        <w:rPr>
          <w:rFonts w:hint="eastAsia" w:ascii="仿宋_GB2312" w:hAnsi="仿宋_GB2312" w:eastAsia="仿宋_GB2312"/>
          <w:b w:val="0"/>
          <w:sz w:val="32"/>
          <w:lang w:val="en-US" w:eastAsia="zh-CN"/>
        </w:rPr>
        <w:t>资金较上年减少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四是</w:t>
      </w:r>
      <w:r>
        <w:rPr>
          <w:rFonts w:ascii="仿宋_GB2312" w:hAnsi="仿宋_GB2312" w:eastAsia="仿宋_GB2312"/>
          <w:b w:val="0"/>
          <w:sz w:val="32"/>
        </w:rPr>
        <w:t>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年初预算数379.22万元，决算数342.95万元，预决算差异率-9.56%，主要原因是：年中调减新型农业经营主体提升技术应用和生产经营能力项目资金，导致预决算存在差异。</w:t>
      </w:r>
    </w:p>
    <w:p w14:paraId="734F282E">
      <w:pPr>
        <w:spacing w:line="640" w:lineRule="exact"/>
        <w:ind w:firstLine="640"/>
        <w:jc w:val="both"/>
        <w:outlineLvl w:val="2"/>
      </w:pPr>
      <w:r>
        <w:rPr>
          <w:rFonts w:ascii="黑体" w:hAnsi="黑体" w:eastAsia="黑体"/>
          <w:sz w:val="32"/>
        </w:rPr>
        <w:t>五、一般公共预算财政拨款支出决算情况说明</w:t>
      </w:r>
    </w:p>
    <w:p w14:paraId="46DE9539">
      <w:pPr>
        <w:spacing w:line="640" w:lineRule="exact"/>
        <w:ind w:firstLine="640"/>
        <w:jc w:val="both"/>
        <w:outlineLvl w:val="3"/>
      </w:pPr>
      <w:r>
        <w:rPr>
          <w:rFonts w:ascii="楷体_GB2312" w:hAnsi="楷体_GB2312" w:eastAsia="楷体_GB2312"/>
          <w:b/>
          <w:sz w:val="32"/>
        </w:rPr>
        <w:t>（一）一般公共预算财政拨款支出决算总体情况</w:t>
      </w:r>
    </w:p>
    <w:p w14:paraId="05918768">
      <w:pPr>
        <w:spacing w:line="580" w:lineRule="exact"/>
        <w:ind w:firstLine="640"/>
        <w:jc w:val="both"/>
      </w:pPr>
      <w:r>
        <w:rPr>
          <w:rFonts w:ascii="仿宋_GB2312" w:hAnsi="仿宋_GB2312" w:eastAsia="仿宋_GB2312"/>
          <w:b/>
          <w:sz w:val="32"/>
        </w:rPr>
        <w:t>2024年度一般公共预算财政拨款支出342.95万元，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减少65.19万元，下降15.97%，主要原因是：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本年减少职业年金和抚恤金支出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二是本年减少</w:t>
      </w:r>
      <w:r>
        <w:rPr>
          <w:rFonts w:ascii="仿宋_GB2312" w:hAnsi="仿宋_GB2312" w:eastAsia="仿宋_GB2312"/>
          <w:b w:val="0"/>
          <w:sz w:val="32"/>
        </w:rPr>
        <w:t>新型农业经营主体培训项目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三是本年</w:t>
      </w:r>
      <w:r>
        <w:rPr>
          <w:rFonts w:ascii="仿宋_GB2312" w:hAnsi="仿宋_GB2312" w:eastAsia="仿宋_GB2312"/>
          <w:b w:val="0"/>
          <w:sz w:val="32"/>
        </w:rPr>
        <w:t>新型农业经营主体能力提升项目</w:t>
      </w:r>
      <w:r>
        <w:rPr>
          <w:rFonts w:hint="eastAsia" w:ascii="仿宋_GB2312" w:hAnsi="仿宋_GB2312" w:eastAsia="仿宋_GB2312"/>
          <w:b w:val="0"/>
          <w:sz w:val="32"/>
          <w:lang w:val="en-US" w:eastAsia="zh-CN"/>
        </w:rPr>
        <w:t>资金较上年减少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四是</w:t>
      </w:r>
      <w:r>
        <w:rPr>
          <w:rFonts w:ascii="仿宋_GB2312" w:hAnsi="仿宋_GB2312" w:eastAsia="仿宋_GB2312"/>
          <w:b w:val="0"/>
          <w:sz w:val="32"/>
        </w:rPr>
        <w:t>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年初预算数379.22万元，决算数342.95万元，预决算差异率-9.56%，主要原因是：年中调减新型农业经营主体提升技术应用和生产经营能力项目资金，导致预决算存在差异。</w:t>
      </w:r>
    </w:p>
    <w:p w14:paraId="00B3B81D">
      <w:pPr>
        <w:spacing w:line="640" w:lineRule="exact"/>
        <w:ind w:firstLine="640"/>
        <w:jc w:val="both"/>
        <w:outlineLvl w:val="3"/>
      </w:pPr>
      <w:r>
        <w:rPr>
          <w:rFonts w:ascii="楷体_GB2312" w:hAnsi="楷体_GB2312" w:eastAsia="楷体_GB2312"/>
          <w:b/>
          <w:sz w:val="32"/>
        </w:rPr>
        <w:t>（二）一般公共预算财政拨款支出决算结构情况</w:t>
      </w:r>
    </w:p>
    <w:p w14:paraId="47BCC5E8">
      <w:pPr>
        <w:spacing w:line="580" w:lineRule="exact"/>
        <w:ind w:firstLine="640"/>
        <w:jc w:val="both"/>
      </w:pPr>
      <w:r>
        <w:rPr>
          <w:rFonts w:ascii="仿宋_GB2312" w:hAnsi="仿宋_GB2312" w:eastAsia="仿宋_GB2312"/>
          <w:b w:val="0"/>
          <w:sz w:val="32"/>
        </w:rPr>
        <w:t>1.社会保障和就业支出(类)16.06万元,占4.68%。</w:t>
      </w:r>
    </w:p>
    <w:p w14:paraId="769DC1A0">
      <w:pPr>
        <w:spacing w:line="580" w:lineRule="exact"/>
        <w:ind w:firstLine="640"/>
        <w:jc w:val="both"/>
      </w:pPr>
      <w:r>
        <w:rPr>
          <w:rFonts w:ascii="仿宋_GB2312" w:hAnsi="仿宋_GB2312" w:eastAsia="仿宋_GB2312"/>
          <w:b w:val="0"/>
          <w:sz w:val="32"/>
        </w:rPr>
        <w:t>2.卫生健康支出(类)6.74万元,占1.97%。</w:t>
      </w:r>
    </w:p>
    <w:p w14:paraId="24474B18">
      <w:pPr>
        <w:spacing w:line="580" w:lineRule="exact"/>
        <w:ind w:firstLine="640"/>
        <w:jc w:val="both"/>
      </w:pPr>
      <w:r>
        <w:rPr>
          <w:rFonts w:ascii="仿宋_GB2312" w:hAnsi="仿宋_GB2312" w:eastAsia="仿宋_GB2312"/>
          <w:b w:val="0"/>
          <w:sz w:val="32"/>
        </w:rPr>
        <w:t>3.农林水支出(类)309.74万元,占90.32%。</w:t>
      </w:r>
    </w:p>
    <w:p w14:paraId="5175A312">
      <w:pPr>
        <w:spacing w:line="580" w:lineRule="exact"/>
        <w:ind w:firstLine="640"/>
        <w:jc w:val="both"/>
      </w:pPr>
      <w:r>
        <w:rPr>
          <w:rFonts w:ascii="仿宋_GB2312" w:hAnsi="仿宋_GB2312" w:eastAsia="仿宋_GB2312"/>
          <w:b w:val="0"/>
          <w:sz w:val="32"/>
        </w:rPr>
        <w:t>4.住房保障支出(类)10.41万元,占3.04%。</w:t>
      </w:r>
    </w:p>
    <w:p w14:paraId="74DA7F8C">
      <w:pPr>
        <w:spacing w:line="640" w:lineRule="exact"/>
        <w:ind w:firstLine="640"/>
        <w:jc w:val="both"/>
        <w:outlineLvl w:val="3"/>
      </w:pPr>
      <w:r>
        <w:rPr>
          <w:rFonts w:ascii="楷体_GB2312" w:hAnsi="楷体_GB2312" w:eastAsia="楷体_GB2312"/>
          <w:b/>
          <w:sz w:val="32"/>
        </w:rPr>
        <w:t>（三）一般公共预算财政拨款支出决算具体情况</w:t>
      </w:r>
    </w:p>
    <w:p w14:paraId="375ED821">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1.社会保障和就业支出(类)行政事业单位养老支出(款)行政单位离退休(项):支出决算数为3.81万元，比上年决算增加0.89万元，增长30.48%,主要原因是：本年增加退休人员基础绩效奖，退休费支出增加。</w:t>
      </w:r>
    </w:p>
    <w:p w14:paraId="29B2C87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12.25万元，比上年决算增加2.12万元，增长20.93%,主要原因是：本年在职人员工资基数调增，养老缴费基数上涨，相应支出增加。</w:t>
      </w:r>
    </w:p>
    <w:p w14:paraId="33CE7E1E">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3.社会保障和就业支出(类)行政事业单位养老支出(款)机关事业单位职业年金缴费支出(项):支出决算数为0.00万元，比上年决算减少9.75万元，下降100.00%,主要原因是：本年无新增退休人员，职业年金缴费支出减少。</w:t>
      </w:r>
    </w:p>
    <w:p w14:paraId="2B37D0F5">
      <w:pPr>
        <w:spacing w:line="580" w:lineRule="exact"/>
        <w:ind w:firstLine="640"/>
        <w:jc w:val="both"/>
      </w:pPr>
      <w:r>
        <w:rPr>
          <w:rFonts w:ascii="仿宋_GB2312" w:hAnsi="仿宋_GB2312" w:eastAsia="仿宋_GB2312"/>
          <w:b w:val="0"/>
          <w:sz w:val="32"/>
        </w:rPr>
        <w:t>4.社会保障和就业支出(类)抚恤(款)死亡抚恤(项):支出决算数为0.00万元，比上年决算减少25.60万元，下降100.00%,主要原因是：本年无新增死亡人员，死亡抚恤支出较上年减少。</w:t>
      </w:r>
    </w:p>
    <w:p w14:paraId="22872C34">
      <w:pPr>
        <w:spacing w:line="580" w:lineRule="exact"/>
        <w:ind w:firstLine="640"/>
        <w:jc w:val="both"/>
      </w:pPr>
      <w:r>
        <w:rPr>
          <w:rFonts w:ascii="仿宋_GB2312" w:hAnsi="仿宋_GB2312" w:eastAsia="仿宋_GB2312"/>
          <w:b w:val="0"/>
          <w:sz w:val="32"/>
        </w:rPr>
        <w:t>5.卫生健康支出(类)行政事业单位医疗(款)行政单位医疗(项):支出决算数为5.21万元，比上年决算增加0.73万元，增长16.29%,主要原因是：本年在职人员工资基数调增，医疗缴费基数上涨，相应支出增加。</w:t>
      </w:r>
    </w:p>
    <w:p w14:paraId="717F3157">
      <w:pPr>
        <w:spacing w:line="580" w:lineRule="exact"/>
        <w:ind w:firstLine="640"/>
        <w:jc w:val="both"/>
      </w:pPr>
      <w:r>
        <w:rPr>
          <w:rFonts w:ascii="仿宋_GB2312" w:hAnsi="仿宋_GB2312" w:eastAsia="仿宋_GB2312"/>
          <w:b w:val="0"/>
          <w:sz w:val="32"/>
        </w:rPr>
        <w:t>6.卫生健康支出(类)行政事业单位医疗(款)公务员医疗补助(项):支出决算数为1.53万元，比上年决算增加0.23万元，增长17.69%,主要原因是：本年在职人员工资基数调增，医疗缴费基数上涨，相应支出增加。</w:t>
      </w:r>
    </w:p>
    <w:p w14:paraId="5B3073D6">
      <w:pPr>
        <w:spacing w:line="580" w:lineRule="exact"/>
        <w:ind w:firstLine="640"/>
        <w:jc w:val="both"/>
      </w:pPr>
      <w:r>
        <w:rPr>
          <w:rFonts w:ascii="仿宋_GB2312" w:hAnsi="仿宋_GB2312" w:eastAsia="仿宋_GB2312"/>
          <w:b w:val="0"/>
          <w:sz w:val="32"/>
        </w:rPr>
        <w:t>7.农林水支出(类)农业农村(款)行政运行(项):支出决算数为89.74万元，比上年决算减少19.63万元，下降17.95%,主要原因是：本年在职人员调入调出，人员职级不同，工资基数不同，导致人员经费较上年减少。</w:t>
      </w:r>
    </w:p>
    <w:p w14:paraId="541A99B0">
      <w:pPr>
        <w:spacing w:line="580" w:lineRule="exact"/>
        <w:ind w:firstLine="640"/>
        <w:jc w:val="both"/>
      </w:pPr>
      <w:r>
        <w:rPr>
          <w:rFonts w:ascii="仿宋_GB2312" w:hAnsi="仿宋_GB2312" w:eastAsia="仿宋_GB2312"/>
          <w:b w:val="0"/>
          <w:sz w:val="32"/>
        </w:rPr>
        <w:t>8.农林水支出(类)农业农村(款)农业生产发展(项):支出决算数为0.00万元，比上年决算减少2.00万元，下降100.00%,主要原因是：</w:t>
      </w:r>
      <w:r>
        <w:rPr>
          <w:rFonts w:hint="eastAsia" w:ascii="仿宋_GB2312" w:hAnsi="仿宋_GB2312" w:eastAsia="仿宋_GB2312"/>
          <w:b w:val="0"/>
          <w:sz w:val="32"/>
          <w:lang w:val="en-US" w:eastAsia="zh-CN"/>
        </w:rPr>
        <w:t>本年减少</w:t>
      </w:r>
      <w:r>
        <w:rPr>
          <w:rFonts w:ascii="仿宋_GB2312" w:hAnsi="仿宋_GB2312" w:eastAsia="仿宋_GB2312"/>
          <w:b w:val="0"/>
          <w:sz w:val="32"/>
        </w:rPr>
        <w:t>新型农业经营主体培训项目。</w:t>
      </w:r>
    </w:p>
    <w:p w14:paraId="68C9D0E8">
      <w:pPr>
        <w:spacing w:line="580" w:lineRule="exact"/>
        <w:ind w:firstLine="640"/>
        <w:jc w:val="both"/>
      </w:pPr>
      <w:r>
        <w:rPr>
          <w:rFonts w:ascii="仿宋_GB2312" w:hAnsi="仿宋_GB2312" w:eastAsia="仿宋_GB2312"/>
          <w:b w:val="0"/>
          <w:sz w:val="32"/>
        </w:rPr>
        <w:t>9.农林水支出(类)农业农村(款)农村合作经济(项):支出决算数为220.00万元，比上年决算减少15.00万元，下降6.38%,主要原因是：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新型农业经营主体能力提升项目</w:t>
      </w:r>
      <w:r>
        <w:rPr>
          <w:rFonts w:hint="eastAsia" w:ascii="仿宋_GB2312" w:hAnsi="仿宋_GB2312" w:eastAsia="仿宋_GB2312"/>
          <w:b w:val="0"/>
          <w:sz w:val="32"/>
          <w:lang w:val="en-US" w:eastAsia="zh-CN"/>
        </w:rPr>
        <w:t>资金较上年减少</w:t>
      </w:r>
      <w:r>
        <w:rPr>
          <w:rFonts w:ascii="仿宋_GB2312" w:hAnsi="仿宋_GB2312" w:eastAsia="仿宋_GB2312"/>
          <w:b w:val="0"/>
          <w:sz w:val="32"/>
        </w:rPr>
        <w:t>。</w:t>
      </w:r>
    </w:p>
    <w:p w14:paraId="0CA389A9">
      <w:pPr>
        <w:spacing w:line="580" w:lineRule="exact"/>
        <w:ind w:firstLine="640"/>
        <w:jc w:val="both"/>
      </w:pPr>
      <w:r>
        <w:rPr>
          <w:rFonts w:ascii="仿宋_GB2312" w:hAnsi="仿宋_GB2312" w:eastAsia="仿宋_GB2312"/>
          <w:b w:val="0"/>
          <w:sz w:val="32"/>
        </w:rPr>
        <w:t>10.住房保障支出(类)住房改革支出(款)住房公积金(项):支出决算数为10.41万元，比上年决算增加2.82万元，增长37.15%,主要原因是：本年在职人员工资基数调增，公积金缴费基数上涨，相应支出增加。</w:t>
      </w:r>
    </w:p>
    <w:p w14:paraId="15BF91BF">
      <w:pPr>
        <w:spacing w:line="640" w:lineRule="exact"/>
        <w:ind w:firstLine="640"/>
        <w:jc w:val="both"/>
        <w:outlineLvl w:val="2"/>
      </w:pPr>
      <w:r>
        <w:rPr>
          <w:rFonts w:ascii="黑体" w:hAnsi="黑体" w:eastAsia="黑体"/>
          <w:sz w:val="32"/>
        </w:rPr>
        <w:t>六、一般公共预算财政拨款基本支出决算情况说明</w:t>
      </w:r>
    </w:p>
    <w:p w14:paraId="00C1BB84">
      <w:pPr>
        <w:spacing w:line="580" w:lineRule="exact"/>
        <w:ind w:firstLine="640"/>
        <w:jc w:val="both"/>
      </w:pPr>
      <w:r>
        <w:rPr>
          <w:rFonts w:ascii="仿宋_GB2312" w:hAnsi="仿宋_GB2312" w:eastAsia="仿宋_GB2312"/>
          <w:b w:val="0"/>
          <w:sz w:val="32"/>
        </w:rPr>
        <w:t>2024年度一般公共预算财政拨款基本支出122.95万元，其中：</w:t>
      </w:r>
      <w:r>
        <w:rPr>
          <w:rFonts w:ascii="仿宋_GB2312" w:hAnsi="仿宋_GB2312" w:eastAsia="仿宋_GB2312"/>
          <w:b/>
          <w:sz w:val="32"/>
        </w:rPr>
        <w:t>人员经费118.91万元，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28AB46F0">
      <w:pPr>
        <w:spacing w:line="580" w:lineRule="exact"/>
        <w:ind w:firstLine="640"/>
        <w:jc w:val="both"/>
      </w:pPr>
      <w:r>
        <w:rPr>
          <w:rFonts w:ascii="仿宋_GB2312" w:hAnsi="仿宋_GB2312" w:eastAsia="仿宋_GB2312"/>
          <w:b/>
          <w:sz w:val="32"/>
        </w:rPr>
        <w:t>公用经费4.04万元，</w:t>
      </w:r>
      <w:r>
        <w:rPr>
          <w:rFonts w:ascii="仿宋_GB2312" w:hAnsi="仿宋_GB2312" w:eastAsia="仿宋_GB2312"/>
          <w:b w:val="0"/>
          <w:sz w:val="32"/>
        </w:rPr>
        <w:t>包括：办公费、手续费、水费、邮电费、取暖费、差旅费、公务用车运行维护费。</w:t>
      </w:r>
    </w:p>
    <w:p w14:paraId="6C0D6047">
      <w:pPr>
        <w:spacing w:line="640" w:lineRule="exact"/>
        <w:ind w:firstLine="640"/>
        <w:jc w:val="both"/>
        <w:outlineLvl w:val="2"/>
      </w:pPr>
      <w:r>
        <w:rPr>
          <w:rFonts w:ascii="黑体" w:hAnsi="黑体" w:eastAsia="黑体"/>
          <w:sz w:val="32"/>
        </w:rPr>
        <w:t>七、政府性基金预算财政拨款收入支出决算情况说明</w:t>
      </w:r>
    </w:p>
    <w:p w14:paraId="44D9E59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0B45AB7">
      <w:pPr>
        <w:spacing w:line="640" w:lineRule="exact"/>
        <w:ind w:firstLine="640"/>
        <w:jc w:val="both"/>
        <w:outlineLvl w:val="2"/>
      </w:pPr>
      <w:r>
        <w:rPr>
          <w:rFonts w:ascii="黑体" w:hAnsi="黑体" w:eastAsia="黑体"/>
          <w:sz w:val="32"/>
        </w:rPr>
        <w:t>八、国有资本经营预算财政拨款收入支出决算情况说明</w:t>
      </w:r>
    </w:p>
    <w:p w14:paraId="246F5B6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79EB397">
      <w:pPr>
        <w:spacing w:line="640" w:lineRule="exact"/>
        <w:ind w:firstLine="640"/>
        <w:jc w:val="both"/>
        <w:outlineLvl w:val="2"/>
      </w:pPr>
      <w:r>
        <w:rPr>
          <w:rFonts w:ascii="黑体" w:hAnsi="黑体" w:eastAsia="黑体"/>
          <w:sz w:val="32"/>
        </w:rPr>
        <w:t>九、财政拨款“三公”经费支出决算情况说明</w:t>
      </w:r>
    </w:p>
    <w:p w14:paraId="6FA7C891">
      <w:pPr>
        <w:spacing w:line="580" w:lineRule="exact"/>
        <w:ind w:firstLine="640"/>
        <w:jc w:val="both"/>
      </w:pPr>
      <w:r>
        <w:rPr>
          <w:rFonts w:ascii="仿宋_GB2312" w:hAnsi="仿宋_GB2312" w:eastAsia="仿宋_GB2312"/>
          <w:b/>
          <w:sz w:val="32"/>
        </w:rPr>
        <w:t>2024年度财政拨款“三公”经费支出1.00万元，</w:t>
      </w:r>
      <w:r>
        <w:rPr>
          <w:rFonts w:ascii="仿宋_GB2312" w:hAnsi="仿宋_GB2312" w:eastAsia="仿宋_GB2312"/>
          <w:b w:val="0"/>
          <w:sz w:val="32"/>
        </w:rPr>
        <w:t>比上年增加0.47万元，增长88.68%，主要原因是：本年支付以前年度公务用车维修费。其中：因公出国（境）费支出0.00万元，占0.00%，比上年增加0.00万元，增长0.00%，主要原因是：2023年与2024年均未安排因公出国（境）费支出。公务用车购置及运行维护费支出1.00万元，占100.00%，比上年增加0.47万元，增长88.68%，主要原因是：本年支付以前年度公务用车维修费。公务接待费支出0.00万元，占0.00%，比上年增加0.00万元，增长0.00%，主要原因是：2023年与2024年均未安排公务接待费支出。</w:t>
      </w:r>
    </w:p>
    <w:p w14:paraId="4477ABA7">
      <w:pPr>
        <w:spacing w:line="580" w:lineRule="exact"/>
        <w:ind w:firstLine="640"/>
        <w:jc w:val="both"/>
      </w:pPr>
      <w:r>
        <w:rPr>
          <w:rFonts w:ascii="仿宋_GB2312" w:hAnsi="仿宋_GB2312" w:eastAsia="仿宋_GB2312"/>
          <w:b/>
          <w:sz w:val="32"/>
        </w:rPr>
        <w:t>具体情况如下：</w:t>
      </w:r>
    </w:p>
    <w:p w14:paraId="36A538A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9D285F8">
      <w:pPr>
        <w:spacing w:line="580" w:lineRule="exact"/>
        <w:ind w:firstLine="640"/>
        <w:jc w:val="both"/>
      </w:pPr>
      <w:r>
        <w:rPr>
          <w:rFonts w:ascii="仿宋_GB2312" w:hAnsi="仿宋_GB2312" w:eastAsia="仿宋_GB2312"/>
          <w:b w:val="0"/>
          <w:sz w:val="32"/>
        </w:rPr>
        <w:t>公务用车购置及运行维护费1.00万元，其中：公务用车购置费0.00万元，公务用车运行维护费1.00万元。公务用车运行维护费开支内容包括车辆燃油费、维修费。公务用车购置数0辆，公务用车保有量1辆。国有资产占用情况中固定资产车辆1辆，与公务用车保有量差异原因是：本单位固定资产车辆与公务用车保有量一致无差异。</w:t>
      </w:r>
    </w:p>
    <w:p w14:paraId="097ECA3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BF927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1.00万元，决算数1.00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1.00万元，决算数1.00万元，预决算差异率0.00%，主要原因是：严格按照预算执行，预决算无差异。公务接待费全年预算数0.00万元，决算数0.00万元，预决算差异率0.00%，主要原因是：本单位无公务接待费。</w:t>
      </w:r>
    </w:p>
    <w:p w14:paraId="7A5808F7">
      <w:pPr>
        <w:spacing w:line="640" w:lineRule="exact"/>
        <w:ind w:firstLine="640"/>
        <w:jc w:val="both"/>
        <w:outlineLvl w:val="2"/>
      </w:pPr>
      <w:r>
        <w:rPr>
          <w:rFonts w:ascii="黑体" w:hAnsi="黑体" w:eastAsia="黑体"/>
          <w:sz w:val="32"/>
        </w:rPr>
        <w:t>十、其他重要事项的情况说明</w:t>
      </w:r>
    </w:p>
    <w:p w14:paraId="31454441">
      <w:pPr>
        <w:spacing w:line="640" w:lineRule="exact"/>
        <w:ind w:firstLine="640"/>
        <w:jc w:val="both"/>
        <w:outlineLvl w:val="3"/>
      </w:pPr>
      <w:r>
        <w:rPr>
          <w:rFonts w:ascii="楷体_GB2312" w:hAnsi="楷体_GB2312" w:eastAsia="楷体_GB2312"/>
          <w:b/>
          <w:sz w:val="32"/>
        </w:rPr>
        <w:t>（一）机关运行经费及公用经费支出情况</w:t>
      </w:r>
    </w:p>
    <w:p w14:paraId="5A5B95CA">
      <w:pPr>
        <w:spacing w:line="580" w:lineRule="exact"/>
        <w:ind w:firstLine="640"/>
        <w:jc w:val="both"/>
      </w:pPr>
      <w:r>
        <w:rPr>
          <w:rFonts w:ascii="仿宋_GB2312" w:hAnsi="仿宋_GB2312" w:eastAsia="仿宋_GB2312"/>
          <w:b w:val="0"/>
          <w:sz w:val="32"/>
        </w:rPr>
        <w:t>2024年度叶城县农村合作经济发展中心（事业单位）公用经费支出4.04万元，比上年增加2.36万元，增长140.48%，主要原因是：本年增加办公费、取暖费支出，导致公用经费支出增加。</w:t>
      </w:r>
    </w:p>
    <w:p w14:paraId="2E891038">
      <w:pPr>
        <w:spacing w:line="640" w:lineRule="exact"/>
        <w:ind w:firstLine="640"/>
        <w:jc w:val="both"/>
        <w:outlineLvl w:val="3"/>
      </w:pPr>
      <w:r>
        <w:rPr>
          <w:rFonts w:ascii="楷体_GB2312" w:hAnsi="楷体_GB2312" w:eastAsia="楷体_GB2312"/>
          <w:b/>
          <w:sz w:val="32"/>
        </w:rPr>
        <w:t>（二）政府采购情况</w:t>
      </w:r>
    </w:p>
    <w:p w14:paraId="31FBDD15">
      <w:pPr>
        <w:spacing w:line="580" w:lineRule="exact"/>
        <w:ind w:firstLine="640"/>
        <w:jc w:val="both"/>
      </w:pPr>
      <w:r>
        <w:rPr>
          <w:rFonts w:ascii="仿宋_GB2312" w:hAnsi="仿宋_GB2312" w:eastAsia="仿宋_GB2312"/>
          <w:b w:val="0"/>
          <w:sz w:val="32"/>
        </w:rPr>
        <w:t>2024年度政府采购支出总额0.43万元，其中：政府采购货物支出0.06万元、政府采购工程支出0.00万元、政府采购服务支出0.37万元。</w:t>
      </w:r>
    </w:p>
    <w:p w14:paraId="5B8B7861">
      <w:pPr>
        <w:spacing w:line="580" w:lineRule="exact"/>
        <w:ind w:firstLine="640"/>
        <w:jc w:val="both"/>
      </w:pPr>
      <w:r>
        <w:rPr>
          <w:rFonts w:ascii="仿宋_GB2312" w:hAnsi="仿宋_GB2312" w:eastAsia="仿宋_GB2312"/>
          <w:b w:val="0"/>
          <w:sz w:val="32"/>
        </w:rPr>
        <w:t>授予中小企业合同金额0.06万元，占政府采购支出总额的13.95%，其中：授予小微企业合同金额0.06万元，占政府采购支出总额的13.95%。</w:t>
      </w:r>
    </w:p>
    <w:p w14:paraId="7F297C16">
      <w:pPr>
        <w:spacing w:line="640" w:lineRule="exact"/>
        <w:ind w:firstLine="640"/>
        <w:jc w:val="both"/>
        <w:outlineLvl w:val="3"/>
      </w:pPr>
      <w:r>
        <w:rPr>
          <w:rFonts w:ascii="楷体_GB2312" w:hAnsi="楷体_GB2312" w:eastAsia="楷体_GB2312"/>
          <w:b/>
          <w:sz w:val="32"/>
        </w:rPr>
        <w:t>（三）国有资产占用情况说明</w:t>
      </w:r>
    </w:p>
    <w:p w14:paraId="0100696F">
      <w:pPr>
        <w:spacing w:line="580" w:lineRule="exact"/>
        <w:ind w:firstLine="640"/>
        <w:jc w:val="both"/>
      </w:pPr>
      <w:r>
        <w:rPr>
          <w:rFonts w:ascii="仿宋_GB2312" w:hAnsi="仿宋_GB2312" w:eastAsia="仿宋_GB2312"/>
          <w:b w:val="0"/>
          <w:sz w:val="32"/>
        </w:rPr>
        <w:t>截至2024年12月31日，房屋0.00平方米，价值0.00万元。车辆1辆，价值17.88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BE1C56F">
      <w:pPr>
        <w:spacing w:line="640" w:lineRule="exact"/>
        <w:ind w:firstLine="640"/>
        <w:jc w:val="both"/>
        <w:outlineLvl w:val="2"/>
      </w:pPr>
      <w:r>
        <w:rPr>
          <w:rFonts w:ascii="黑体" w:hAnsi="黑体" w:eastAsia="黑体"/>
          <w:sz w:val="32"/>
        </w:rPr>
        <w:t>十一、预算绩效的情况说明</w:t>
      </w:r>
    </w:p>
    <w:p w14:paraId="26AD378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342.95万元，实际执行总额342.95万元；预算绩效评价项目2个，全年预算数220.00万元，全年执行数220.00万元。预算绩效管理取得的成效：本年项目精准实施，对项目全过程常态化检查，严格落实目标责任制，进一步加强管理机制，加大管理力度，加强部门间信息传递及管理工作，确保项目顺利实施。对项目达到一定的成效。一是发挥小农户参加项目积极性。二是</w:t>
      </w:r>
      <w:r>
        <w:rPr>
          <w:rFonts w:hint="eastAsia" w:ascii="仿宋_GB2312" w:hAnsi="仿宋_GB2312" w:eastAsia="仿宋_GB2312"/>
          <w:b w:val="0"/>
          <w:sz w:val="32"/>
          <w:lang w:eastAsia="zh-CN"/>
        </w:rPr>
        <w:t>减少</w:t>
      </w:r>
      <w:r>
        <w:rPr>
          <w:rFonts w:ascii="仿宋_GB2312" w:hAnsi="仿宋_GB2312" w:eastAsia="仿宋_GB2312"/>
          <w:b w:val="0"/>
          <w:sz w:val="32"/>
        </w:rPr>
        <w:t>农民负担。三是增加农户人均收入。四是争取农户参加项目，接受社会监督。五是在职干部参与工作各个环节，提高职工满意度。发现的问题及原因：一是对各项指标和指标值要进一步优化、完善，主要在细化、量化上改进，二是自评价工作还存在自我审定的局限性，会影响评价质量，在客观性和公正性上说服力不强，三是缺少带着问题去评价的意识，四是现场评价的工作量少，后续效益评价具体措施和方法较少。下一步改进措施：在今后的分析评价工作中，我们将不断总结经验，加强业务学习，努力把决算分析评价工作做到更好，不断提高分析水平，在下一步的工作中，本单位将严格执行《中华人民共和国预算法》，严控预算执行，不断提高本单位预算、决算及绩效评价水平。一是加强资金按时支付，二是进一步加强资金管理及监督。三是接受财政、审计部门监督检查。四是加强资金安全。具体附整体支出绩效自评表，项目支出绩效自评表和评价报告。</w:t>
      </w:r>
    </w:p>
    <w:p w14:paraId="30B1F48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3540D0">
        <w:tblPrEx>
          <w:tblCellMar>
            <w:top w:w="0" w:type="dxa"/>
            <w:left w:w="108" w:type="dxa"/>
            <w:bottom w:w="0" w:type="dxa"/>
            <w:right w:w="108" w:type="dxa"/>
          </w:tblCellMar>
        </w:tblPrEx>
        <w:tc>
          <w:tcPr>
            <w:tcW w:w="8847" w:type="dxa"/>
            <w:gridSpan w:val="9"/>
            <w:vAlign w:val="center"/>
          </w:tcPr>
          <w:p w14:paraId="1940C30A">
            <w:pPr>
              <w:jc w:val="center"/>
            </w:pPr>
            <w:r>
              <w:rPr>
                <w:rFonts w:ascii="宋体" w:hAnsi="宋体" w:eastAsia="宋体"/>
                <w:sz w:val="24"/>
              </w:rPr>
              <w:t>单位整体支出绩效自评表</w:t>
            </w:r>
          </w:p>
        </w:tc>
      </w:tr>
      <w:tr w14:paraId="0D8ECC5E">
        <w:tblPrEx>
          <w:tblCellMar>
            <w:top w:w="0" w:type="dxa"/>
            <w:left w:w="108" w:type="dxa"/>
            <w:bottom w:w="0" w:type="dxa"/>
            <w:right w:w="108" w:type="dxa"/>
          </w:tblCellMar>
        </w:tblPrEx>
        <w:tc>
          <w:tcPr>
            <w:tcW w:w="8847" w:type="dxa"/>
            <w:gridSpan w:val="9"/>
            <w:vAlign w:val="center"/>
          </w:tcPr>
          <w:p w14:paraId="4DD73C6C">
            <w:pPr>
              <w:jc w:val="center"/>
            </w:pPr>
            <w:r>
              <w:rPr>
                <w:rFonts w:ascii="宋体" w:hAnsi="宋体" w:eastAsia="宋体"/>
                <w:sz w:val="24"/>
              </w:rPr>
              <w:t>（2024年度）</w:t>
            </w:r>
          </w:p>
        </w:tc>
      </w:tr>
      <w:tr w14:paraId="21E50B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D2ED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A406DD">
            <w:pPr>
              <w:jc w:val="center"/>
            </w:pPr>
            <w:r>
              <w:rPr>
                <w:rFonts w:ascii="宋体" w:hAnsi="宋体" w:eastAsia="宋体"/>
                <w:sz w:val="16"/>
              </w:rPr>
              <w:t>叶城县农村合作经济发展中心</w:t>
            </w:r>
          </w:p>
        </w:tc>
      </w:tr>
      <w:tr w14:paraId="701721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95CC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281B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7A5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B123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3E55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1CA2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00AF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844A6">
            <w:pPr>
              <w:jc w:val="center"/>
            </w:pPr>
            <w:r>
              <w:rPr>
                <w:rFonts w:ascii="宋体" w:hAnsi="宋体" w:eastAsia="宋体"/>
                <w:sz w:val="16"/>
              </w:rPr>
              <w:t>得分</w:t>
            </w:r>
          </w:p>
        </w:tc>
      </w:tr>
      <w:tr w14:paraId="000424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D15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1533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8E51E">
            <w:pPr>
              <w:jc w:val="center"/>
            </w:pPr>
            <w:r>
              <w:rPr>
                <w:rFonts w:ascii="宋体" w:hAnsi="宋体" w:eastAsia="宋体"/>
                <w:sz w:val="16"/>
              </w:rPr>
              <w:t>379.21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617E0">
            <w:pPr>
              <w:jc w:val="center"/>
            </w:pPr>
            <w:r>
              <w:rPr>
                <w:rFonts w:ascii="宋体" w:hAnsi="宋体" w:eastAsia="宋体"/>
                <w:sz w:val="16"/>
              </w:rPr>
              <w:t>342.95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69535">
            <w:pPr>
              <w:jc w:val="center"/>
            </w:pPr>
            <w:r>
              <w:rPr>
                <w:rFonts w:ascii="宋体" w:hAnsi="宋体" w:eastAsia="宋体"/>
                <w:sz w:val="16"/>
              </w:rPr>
              <w:t>342.95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70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CD90B">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F7631">
            <w:pPr>
              <w:jc w:val="center"/>
            </w:pPr>
            <w:r>
              <w:rPr>
                <w:rFonts w:ascii="宋体" w:hAnsi="宋体" w:eastAsia="宋体"/>
                <w:sz w:val="16"/>
              </w:rPr>
              <w:t>10</w:t>
            </w:r>
          </w:p>
        </w:tc>
      </w:tr>
      <w:tr w14:paraId="21B128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D8A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678F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CC807">
            <w:pPr>
              <w:jc w:val="center"/>
            </w:pPr>
            <w:r>
              <w:rPr>
                <w:rFonts w:ascii="宋体" w:hAnsi="宋体" w:eastAsia="宋体"/>
                <w:sz w:val="16"/>
              </w:rPr>
              <w:t>230.00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8A9F2">
            <w:pPr>
              <w:jc w:val="center"/>
            </w:pPr>
            <w:r>
              <w:rPr>
                <w:rFonts w:ascii="宋体" w:hAnsi="宋体" w:eastAsia="宋体"/>
                <w:sz w:val="16"/>
              </w:rPr>
              <w:t>220.00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8E799">
            <w:pPr>
              <w:jc w:val="center"/>
            </w:pPr>
            <w:r>
              <w:rPr>
                <w:rFonts w:ascii="宋体" w:hAnsi="宋体" w:eastAsia="宋体"/>
                <w:sz w:val="16"/>
              </w:rPr>
              <w:t>220.00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C2B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5CBA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A4F82">
            <w:pPr>
              <w:jc w:val="center"/>
            </w:pPr>
            <w:r>
              <w:rPr>
                <w:rFonts w:ascii="宋体" w:hAnsi="宋体" w:eastAsia="宋体"/>
                <w:sz w:val="16"/>
              </w:rPr>
              <w:t>—</w:t>
            </w:r>
          </w:p>
        </w:tc>
      </w:tr>
      <w:tr w14:paraId="024474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671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A707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E5BFF">
            <w:pPr>
              <w:jc w:val="center"/>
            </w:pPr>
            <w:r>
              <w:rPr>
                <w:rFonts w:ascii="宋体" w:hAnsi="宋体" w:eastAsia="宋体"/>
                <w:sz w:val="16"/>
              </w:rPr>
              <w:t>149.21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B87F3">
            <w:pPr>
              <w:jc w:val="center"/>
            </w:pPr>
            <w:r>
              <w:rPr>
                <w:rFonts w:ascii="宋体" w:hAnsi="宋体" w:eastAsia="宋体"/>
                <w:sz w:val="16"/>
              </w:rPr>
              <w:t>122.95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9A450">
            <w:pPr>
              <w:jc w:val="center"/>
            </w:pPr>
            <w:r>
              <w:rPr>
                <w:rFonts w:ascii="宋体" w:hAnsi="宋体" w:eastAsia="宋体"/>
                <w:sz w:val="16"/>
              </w:rPr>
              <w:t>122.95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CC4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C340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50995">
            <w:pPr>
              <w:jc w:val="center"/>
            </w:pPr>
            <w:r>
              <w:rPr>
                <w:rFonts w:ascii="宋体" w:hAnsi="宋体" w:eastAsia="宋体"/>
                <w:sz w:val="16"/>
              </w:rPr>
              <w:t>—</w:t>
            </w:r>
          </w:p>
        </w:tc>
      </w:tr>
      <w:tr w14:paraId="75089B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7DD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F6FF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1DB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385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CEF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003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C636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F80C4">
            <w:pPr>
              <w:jc w:val="center"/>
            </w:pPr>
            <w:r>
              <w:rPr>
                <w:rFonts w:ascii="宋体" w:hAnsi="宋体" w:eastAsia="宋体"/>
                <w:sz w:val="16"/>
              </w:rPr>
              <w:t>—</w:t>
            </w:r>
          </w:p>
        </w:tc>
      </w:tr>
      <w:tr w14:paraId="236600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4BC6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987E2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392F84">
            <w:pPr>
              <w:jc w:val="center"/>
            </w:pPr>
            <w:r>
              <w:rPr>
                <w:rFonts w:ascii="宋体" w:hAnsi="宋体" w:eastAsia="宋体"/>
                <w:sz w:val="16"/>
              </w:rPr>
              <w:t>实际完成情况</w:t>
            </w:r>
          </w:p>
        </w:tc>
      </w:tr>
      <w:tr w14:paraId="5E90FD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E48A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CBDEC3">
            <w:pPr>
              <w:jc w:val="both"/>
            </w:pPr>
            <w:r>
              <w:rPr>
                <w:rFonts w:ascii="宋体" w:hAnsi="宋体" w:eastAsia="宋体"/>
                <w:sz w:val="16"/>
              </w:rPr>
              <w:t>农村土地承包、农村土地承包经营权确权登记颁证，农村土地承包经营纠纷仲裁，村集体经济组织资产审计、农牧民负担监督管理，农牧民家庭经济经营收入核算、农副产品成本核算，农民专业合作社指导、引导、信访、培训、涉农政策宣传及县委、县人民政府交办其他事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41979">
            <w:pPr>
              <w:jc w:val="both"/>
            </w:pPr>
            <w:r>
              <w:rPr>
                <w:rFonts w:hint="eastAsia" w:ascii="宋体" w:hAnsi="宋体"/>
                <w:sz w:val="16"/>
                <w:lang w:eastAsia="zh-CN"/>
              </w:rPr>
              <w:t>截至2024</w:t>
            </w:r>
            <w:r>
              <w:rPr>
                <w:rFonts w:ascii="宋体" w:hAnsi="宋体" w:eastAsia="宋体"/>
                <w:sz w:val="16"/>
              </w:rPr>
              <w:t>年12月31日，农村土地承包、农村土地承包经营权确权登记颁证，农村土地承包经营纠纷仲裁，村集体经济组织资产审计、农牧民负担监督管理，农牧民家庭经济经营收入核算、农副产品成本核算，农民专业合作社指导、引导、信访、培训、涉农政策宣传及县委、县人民政府交办其他事项。今年以来，农经发展中心高度重视，精心组织干部，在农业农村</w:t>
            </w:r>
            <w:r>
              <w:rPr>
                <w:rFonts w:hint="eastAsia" w:ascii="宋体" w:hAnsi="宋体"/>
                <w:sz w:val="16"/>
                <w:lang w:eastAsia="zh-CN"/>
              </w:rPr>
              <w:t>局</w:t>
            </w:r>
            <w:r>
              <w:rPr>
                <w:rFonts w:ascii="宋体" w:hAnsi="宋体" w:eastAsia="宋体"/>
                <w:sz w:val="16"/>
              </w:rPr>
              <w:t>党组织精心组织下，认真学习政治理论学习，把</w:t>
            </w:r>
            <w:r>
              <w:rPr>
                <w:rFonts w:hint="eastAsia" w:ascii="宋体" w:hAnsi="宋体"/>
                <w:sz w:val="16"/>
                <w:lang w:eastAsia="zh-CN"/>
              </w:rPr>
              <w:t>学</w:t>
            </w:r>
            <w:bookmarkStart w:id="0" w:name="_GoBack"/>
            <w:r>
              <w:rPr>
                <w:rFonts w:hint="eastAsia" w:ascii="宋体" w:hAnsi="宋体"/>
                <w:sz w:val="16"/>
                <w:lang w:eastAsia="zh-CN"/>
              </w:rPr>
              <w:t>习</w:t>
            </w:r>
            <w:r>
              <w:rPr>
                <w:rFonts w:ascii="宋体" w:hAnsi="宋体" w:eastAsia="宋体"/>
                <w:sz w:val="16"/>
              </w:rPr>
              <w:t>教育</w:t>
            </w:r>
            <w:bookmarkEnd w:id="0"/>
            <w:r>
              <w:rPr>
                <w:rFonts w:ascii="宋体" w:hAnsi="宋体" w:eastAsia="宋体"/>
                <w:sz w:val="16"/>
              </w:rPr>
              <w:t>贯穿始终，</w:t>
            </w:r>
            <w:r>
              <w:rPr>
                <w:rFonts w:hint="eastAsia" w:ascii="宋体" w:hAnsi="宋体"/>
                <w:sz w:val="16"/>
                <w:lang w:eastAsia="zh-CN"/>
              </w:rPr>
              <w:t>切实地</w:t>
            </w:r>
            <w:r>
              <w:rPr>
                <w:rFonts w:ascii="宋体" w:hAnsi="宋体" w:eastAsia="宋体"/>
                <w:sz w:val="16"/>
              </w:rPr>
              <w:t>改进工作作风。本单位已完成培育县级示范性家庭农场10家，培育地区级示范社3家，培育社会化服务组织示范点5家，组织新型农业经营主体培训班2次，合作社摸底排查次数2次。</w:t>
            </w:r>
          </w:p>
        </w:tc>
      </w:tr>
      <w:tr w14:paraId="0B20D8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791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49AE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2111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D771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E25C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3876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C77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99E2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1D6CC">
            <w:pPr>
              <w:jc w:val="center"/>
            </w:pPr>
            <w:r>
              <w:rPr>
                <w:rFonts w:ascii="宋体" w:hAnsi="宋体" w:eastAsia="宋体"/>
                <w:sz w:val="16"/>
              </w:rPr>
              <w:t>得分</w:t>
            </w:r>
          </w:p>
        </w:tc>
      </w:tr>
      <w:tr w14:paraId="32E66B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67E9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87F1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C9FD7">
            <w:pPr>
              <w:jc w:val="center"/>
            </w:pPr>
            <w:r>
              <w:rPr>
                <w:rFonts w:ascii="宋体" w:hAnsi="宋体" w:eastAsia="宋体"/>
                <w:sz w:val="16"/>
              </w:rPr>
              <w:t>培育县级示范性家庭农场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A0E63">
            <w:pPr>
              <w:jc w:val="center"/>
            </w:pPr>
            <w:r>
              <w:rPr>
                <w:rFonts w:ascii="宋体" w:hAnsi="宋体" w:eastAsia="宋体"/>
                <w:sz w:val="16"/>
              </w:rPr>
              <w: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06CCD">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0A22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754E7">
            <w:pPr>
              <w:jc w:val="center"/>
            </w:pPr>
            <w:r>
              <w:rPr>
                <w:rFonts w:ascii="宋体" w:hAnsi="宋体" w:eastAsia="宋体"/>
                <w:sz w:val="16"/>
              </w:rPr>
              <w: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32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DC88D">
            <w:pPr>
              <w:jc w:val="center"/>
            </w:pPr>
            <w:r>
              <w:rPr>
                <w:rFonts w:ascii="宋体" w:hAnsi="宋体" w:eastAsia="宋体"/>
                <w:sz w:val="16"/>
              </w:rPr>
              <w:t>18</w:t>
            </w:r>
          </w:p>
        </w:tc>
      </w:tr>
      <w:tr w14:paraId="58A324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E487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306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AAE34">
            <w:pPr>
              <w:jc w:val="center"/>
            </w:pPr>
            <w:r>
              <w:rPr>
                <w:rFonts w:ascii="宋体" w:hAnsi="宋体" w:eastAsia="宋体"/>
                <w:sz w:val="16"/>
              </w:rPr>
              <w:t>培育地区级示范社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4E60C">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7AE4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5EF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DB81">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FD4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720EB">
            <w:pPr>
              <w:jc w:val="center"/>
            </w:pPr>
            <w:r>
              <w:rPr>
                <w:rFonts w:ascii="宋体" w:hAnsi="宋体" w:eastAsia="宋体"/>
                <w:sz w:val="16"/>
              </w:rPr>
              <w:t>18</w:t>
            </w:r>
          </w:p>
        </w:tc>
      </w:tr>
      <w:tr w14:paraId="10EAB9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3E5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D03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DEF5C">
            <w:pPr>
              <w:jc w:val="center"/>
            </w:pPr>
            <w:r>
              <w:rPr>
                <w:rFonts w:ascii="宋体" w:hAnsi="宋体" w:eastAsia="宋体"/>
                <w:sz w:val="16"/>
              </w:rPr>
              <w:t>培育社会化服务组织示范点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4C034">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CDD4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12A6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7946">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750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770A2">
            <w:pPr>
              <w:jc w:val="center"/>
            </w:pPr>
            <w:r>
              <w:rPr>
                <w:rFonts w:ascii="宋体" w:hAnsi="宋体" w:eastAsia="宋体"/>
                <w:sz w:val="16"/>
              </w:rPr>
              <w:t>18</w:t>
            </w:r>
          </w:p>
        </w:tc>
      </w:tr>
      <w:tr w14:paraId="61FAED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A9D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262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5034B">
            <w:pPr>
              <w:jc w:val="center"/>
            </w:pPr>
            <w:r>
              <w:rPr>
                <w:rFonts w:ascii="宋体" w:hAnsi="宋体" w:eastAsia="宋体"/>
                <w:sz w:val="16"/>
              </w:rPr>
              <w:t>组织新型农业经营主体培训班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500AD">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1B3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BB7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B3560">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66E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28E75">
            <w:pPr>
              <w:jc w:val="center"/>
            </w:pPr>
            <w:r>
              <w:rPr>
                <w:rFonts w:ascii="宋体" w:hAnsi="宋体" w:eastAsia="宋体"/>
                <w:sz w:val="16"/>
              </w:rPr>
              <w:t>18</w:t>
            </w:r>
          </w:p>
        </w:tc>
      </w:tr>
      <w:tr w14:paraId="218B8C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7C9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A22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7FBB1">
            <w:pPr>
              <w:jc w:val="center"/>
            </w:pPr>
            <w:r>
              <w:rPr>
                <w:rFonts w:ascii="宋体" w:hAnsi="宋体" w:eastAsia="宋体"/>
                <w:sz w:val="16"/>
              </w:rPr>
              <w:t>合作社摸底排查次数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3786B">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8321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D287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D007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8F6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74BC6">
            <w:pPr>
              <w:jc w:val="center"/>
            </w:pPr>
            <w:r>
              <w:rPr>
                <w:rFonts w:ascii="宋体" w:hAnsi="宋体" w:eastAsia="宋体"/>
                <w:sz w:val="16"/>
              </w:rPr>
              <w:t>18</w:t>
            </w:r>
          </w:p>
        </w:tc>
      </w:tr>
    </w:tbl>
    <w:p w14:paraId="408016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DBA9216">
        <w:tblPrEx>
          <w:tblCellMar>
            <w:top w:w="0" w:type="dxa"/>
            <w:left w:w="108" w:type="dxa"/>
            <w:bottom w:w="0" w:type="dxa"/>
            <w:right w:w="108" w:type="dxa"/>
          </w:tblCellMar>
        </w:tblPrEx>
        <w:tc>
          <w:tcPr>
            <w:tcW w:w="8848" w:type="dxa"/>
            <w:gridSpan w:val="14"/>
            <w:vAlign w:val="center"/>
          </w:tcPr>
          <w:p w14:paraId="648981F1">
            <w:pPr>
              <w:jc w:val="center"/>
            </w:pPr>
            <w:r>
              <w:rPr>
                <w:rFonts w:ascii="宋体" w:hAnsi="宋体" w:eastAsia="宋体"/>
                <w:sz w:val="24"/>
              </w:rPr>
              <w:t>项目支出绩效自评表</w:t>
            </w:r>
          </w:p>
        </w:tc>
      </w:tr>
      <w:tr w14:paraId="4E92A51D">
        <w:tblPrEx>
          <w:tblCellMar>
            <w:top w:w="0" w:type="dxa"/>
            <w:left w:w="108" w:type="dxa"/>
            <w:bottom w:w="0" w:type="dxa"/>
            <w:right w:w="108" w:type="dxa"/>
          </w:tblCellMar>
        </w:tblPrEx>
        <w:tc>
          <w:tcPr>
            <w:tcW w:w="8848" w:type="dxa"/>
            <w:gridSpan w:val="14"/>
            <w:vAlign w:val="center"/>
          </w:tcPr>
          <w:p w14:paraId="21B7AF1E">
            <w:pPr>
              <w:jc w:val="center"/>
            </w:pPr>
            <w:r>
              <w:rPr>
                <w:rFonts w:ascii="宋体" w:hAnsi="宋体" w:eastAsia="宋体"/>
                <w:sz w:val="24"/>
              </w:rPr>
              <w:t>(2024年度)</w:t>
            </w:r>
          </w:p>
        </w:tc>
      </w:tr>
      <w:tr w14:paraId="51CE96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6B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569619">
            <w:pPr>
              <w:jc w:val="center"/>
            </w:pPr>
            <w:r>
              <w:rPr>
                <w:rFonts w:ascii="宋体" w:hAnsi="宋体" w:eastAsia="宋体"/>
                <w:sz w:val="16"/>
              </w:rPr>
              <w:t>2024年中央农业经营主体能力提升资金-农业生产社会化服务项目</w:t>
            </w:r>
          </w:p>
        </w:tc>
      </w:tr>
      <w:tr w14:paraId="70E410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B2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7E1509">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C0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5C2B10">
            <w:pPr>
              <w:jc w:val="center"/>
            </w:pPr>
            <w:r>
              <w:rPr>
                <w:rFonts w:ascii="宋体" w:hAnsi="宋体" w:eastAsia="宋体"/>
                <w:sz w:val="16"/>
              </w:rPr>
              <w:t>叶城县农村合作经济发展中心</w:t>
            </w:r>
          </w:p>
        </w:tc>
      </w:tr>
      <w:tr w14:paraId="78F9B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E64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532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1D5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1C3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AC6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BC6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BC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1486">
            <w:pPr>
              <w:jc w:val="center"/>
            </w:pPr>
            <w:r>
              <w:rPr>
                <w:rFonts w:ascii="宋体" w:hAnsi="宋体" w:eastAsia="宋体"/>
                <w:sz w:val="16"/>
              </w:rPr>
              <w:t>得分</w:t>
            </w:r>
          </w:p>
        </w:tc>
      </w:tr>
      <w:tr w14:paraId="0B000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70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F97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935A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F2C2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7926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480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376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5E9A">
            <w:pPr>
              <w:jc w:val="center"/>
            </w:pPr>
            <w:r>
              <w:rPr>
                <w:rFonts w:ascii="宋体" w:hAnsi="宋体" w:eastAsia="宋体"/>
                <w:sz w:val="16"/>
              </w:rPr>
              <w:t>10.00分</w:t>
            </w:r>
          </w:p>
        </w:tc>
      </w:tr>
      <w:tr w14:paraId="05EDF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E41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546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808E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2039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9AA5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74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2870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67E3">
            <w:pPr>
              <w:jc w:val="center"/>
            </w:pPr>
            <w:r>
              <w:rPr>
                <w:rFonts w:ascii="宋体" w:hAnsi="宋体" w:eastAsia="宋体"/>
                <w:sz w:val="16"/>
              </w:rPr>
              <w:t>—</w:t>
            </w:r>
          </w:p>
        </w:tc>
      </w:tr>
      <w:tr w14:paraId="0835C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E1F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77E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606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335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DA1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8A1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C2B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2765">
            <w:pPr>
              <w:jc w:val="center"/>
            </w:pPr>
            <w:r>
              <w:rPr>
                <w:rFonts w:ascii="宋体" w:hAnsi="宋体" w:eastAsia="宋体"/>
                <w:sz w:val="16"/>
              </w:rPr>
              <w:t>—</w:t>
            </w:r>
          </w:p>
        </w:tc>
      </w:tr>
      <w:tr w14:paraId="493563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4497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7FF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993191">
            <w:pPr>
              <w:jc w:val="center"/>
            </w:pPr>
            <w:r>
              <w:rPr>
                <w:rFonts w:ascii="宋体" w:hAnsi="宋体" w:eastAsia="宋体"/>
                <w:sz w:val="16"/>
              </w:rPr>
              <w:t>实际完成情况</w:t>
            </w:r>
          </w:p>
        </w:tc>
      </w:tr>
      <w:tr w14:paraId="27732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F2C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4D2557">
            <w:pPr>
              <w:jc w:val="both"/>
            </w:pPr>
            <w:r>
              <w:rPr>
                <w:rFonts w:ascii="宋体" w:hAnsi="宋体" w:eastAsia="宋体"/>
                <w:sz w:val="16"/>
              </w:rPr>
              <w:t>该项目计划投入资金200万元，主要用于实施收割27027亩面积麦子、犁地、整地、铺地膜、播种复播玉米（收、耕、种模式），每亩地185元标准，通过项目的实施，生产托管覆盖小农户比例不断提高，服务规模经营面积不断扩大，促进农业发展方式转变、农民增收农业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0DD027">
            <w:pPr>
              <w:jc w:val="both"/>
            </w:pPr>
            <w:r>
              <w:rPr>
                <w:rFonts w:hint="eastAsia" w:ascii="宋体" w:hAnsi="宋体"/>
                <w:sz w:val="16"/>
                <w:lang w:eastAsia="zh-CN"/>
              </w:rPr>
              <w:t>截至</w:t>
            </w:r>
            <w:r>
              <w:rPr>
                <w:rFonts w:ascii="宋体" w:hAnsi="宋体" w:eastAsia="宋体"/>
                <w:sz w:val="16"/>
              </w:rPr>
              <w:t>自评节点，该项目总资金200万元，到位资金200万元，实际执行资金200万元，执行率100%。项目已完成实施收割28842亩面积麦子、犁地、整地、铺地膜、播种复播玉米（收、耕、种模式），每亩地财政补贴成本69.35元标准，通过项目的实施，生产托管覆盖小农户比例不断提高，服务规模经营面积不断扩大，促进农业发展方式转变、农民增收农业增效。</w:t>
            </w:r>
          </w:p>
        </w:tc>
      </w:tr>
      <w:tr w14:paraId="48F62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BC8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22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5D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C7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48C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26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31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6E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3B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37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F6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E0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748E2">
            <w:pPr>
              <w:jc w:val="center"/>
            </w:pPr>
            <w:r>
              <w:rPr>
                <w:rFonts w:ascii="宋体" w:hAnsi="宋体" w:eastAsia="宋体"/>
                <w:sz w:val="16"/>
              </w:rPr>
              <w:t>偏差原因分析及改进措施</w:t>
            </w:r>
          </w:p>
        </w:tc>
      </w:tr>
      <w:tr w14:paraId="36B2CC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F22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D3D8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43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F3F4">
            <w:pPr>
              <w:jc w:val="center"/>
            </w:pPr>
            <w:r>
              <w:rPr>
                <w:rFonts w:ascii="宋体" w:hAnsi="宋体" w:eastAsia="宋体"/>
                <w:sz w:val="16"/>
              </w:rPr>
              <w:t>实施收割麦子、播种复播玉米（亩）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CCEC">
            <w:pPr>
              <w:jc w:val="center"/>
            </w:pPr>
            <w:r>
              <w:rPr>
                <w:rFonts w:ascii="宋体" w:hAnsi="宋体" w:eastAsia="宋体"/>
                <w:sz w:val="16"/>
              </w:rPr>
              <w:t>=27027亩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7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8300">
            <w:pPr>
              <w:jc w:val="center"/>
            </w:pPr>
            <w:r>
              <w:rPr>
                <w:rFonts w:ascii="宋体" w:hAnsi="宋体" w:eastAsia="宋体"/>
                <w:sz w:val="16"/>
              </w:rPr>
              <w:t>40000亩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00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4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4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4DAD">
            <w:pPr>
              <w:jc w:val="center"/>
            </w:pPr>
            <w:r>
              <w:rPr>
                <w:rFonts w:ascii="宋体" w:hAnsi="宋体" w:eastAsia="宋体"/>
                <w:sz w:val="16"/>
              </w:rPr>
              <w:t>=28842亩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6EA3">
            <w:pPr>
              <w:jc w:val="center"/>
            </w:pPr>
            <w:r>
              <w:rPr>
                <w:rFonts w:ascii="宋体" w:hAnsi="宋体" w:eastAsia="宋体"/>
                <w:sz w:val="16"/>
              </w:rPr>
              <w:t>7.52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1E6B">
            <w:pPr>
              <w:jc w:val="center"/>
            </w:pPr>
            <w:r>
              <w:rPr>
                <w:rFonts w:ascii="宋体" w:hAnsi="宋体" w:eastAsia="宋体"/>
                <w:sz w:val="16"/>
              </w:rPr>
              <w:t>偏差原因：实际补助亩数28842亩，故实际实施面积较大。改进措施：做好年初预算。</w:t>
            </w:r>
          </w:p>
        </w:tc>
      </w:tr>
      <w:tr w14:paraId="5DB8B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D5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6D0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080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8489">
            <w:pPr>
              <w:jc w:val="center"/>
            </w:pPr>
            <w:r>
              <w:rPr>
                <w:rFonts w:ascii="宋体" w:hAnsi="宋体" w:eastAsia="宋体"/>
                <w:sz w:val="16"/>
              </w:rPr>
              <w:t>财政补助占服务价格比例（%）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3396">
            <w:pPr>
              <w:jc w:val="center"/>
            </w:pPr>
            <w:r>
              <w:rPr>
                <w:rFonts w:ascii="宋体" w:hAnsi="宋体" w:eastAsia="宋体"/>
                <w:sz w:val="16"/>
              </w:rPr>
              <w:t>&gt;=40%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2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A8C1">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53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F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07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F079">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BC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03E90">
            <w:pPr>
              <w:jc w:val="center"/>
            </w:pPr>
          </w:p>
        </w:tc>
      </w:tr>
      <w:tr w14:paraId="5618F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48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D8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90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4503">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E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3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7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4A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C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50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E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3D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9A8F2">
            <w:pPr>
              <w:jc w:val="center"/>
            </w:pPr>
          </w:p>
        </w:tc>
      </w:tr>
      <w:tr w14:paraId="5753B50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E5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BD9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3FB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647E">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F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E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A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88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A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8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9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B9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7ED9">
            <w:pPr>
              <w:jc w:val="center"/>
            </w:pPr>
          </w:p>
        </w:tc>
      </w:tr>
      <w:tr w14:paraId="08B62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FC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F7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92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49C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B1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9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49EA">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22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24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4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FBFC">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066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C392E">
            <w:pPr>
              <w:jc w:val="center"/>
            </w:pPr>
          </w:p>
        </w:tc>
      </w:tr>
      <w:tr w14:paraId="7E48E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1A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6F3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76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8EAF">
            <w:pPr>
              <w:jc w:val="center"/>
            </w:pPr>
            <w:r>
              <w:rPr>
                <w:rFonts w:ascii="宋体" w:hAnsi="宋体" w:eastAsia="宋体"/>
                <w:sz w:val="16"/>
              </w:rPr>
              <w:t>财政补贴成本（元/亩）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ECDB">
            <w:pPr>
              <w:jc w:val="center"/>
            </w:pPr>
            <w:r>
              <w:rPr>
                <w:rFonts w:ascii="宋体" w:hAnsi="宋体" w:eastAsia="宋体"/>
                <w:sz w:val="16"/>
              </w:rPr>
              <w:t>&lt;=74元/亩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61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36D9">
            <w:pPr>
              <w:jc w:val="center"/>
            </w:pPr>
            <w:r>
              <w:rPr>
                <w:rFonts w:ascii="宋体" w:hAnsi="宋体" w:eastAsia="宋体"/>
                <w:sz w:val="16"/>
              </w:rPr>
              <w:t>45元/亩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BB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DE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D9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746A">
            <w:pPr>
              <w:jc w:val="center"/>
            </w:pPr>
            <w:r>
              <w:rPr>
                <w:rFonts w:ascii="宋体" w:hAnsi="宋体" w:eastAsia="宋体"/>
                <w:sz w:val="16"/>
              </w:rPr>
              <w:t>=69.35元/亩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28F3">
            <w:pPr>
              <w:jc w:val="center"/>
            </w:pPr>
            <w:r>
              <w:rPr>
                <w:rFonts w:ascii="宋体" w:hAnsi="宋体" w:eastAsia="宋体"/>
                <w:sz w:val="16"/>
              </w:rPr>
              <w:t>16.86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FC1DF">
            <w:pPr>
              <w:jc w:val="center"/>
            </w:pPr>
            <w:r>
              <w:rPr>
                <w:rFonts w:ascii="宋体" w:hAnsi="宋体" w:eastAsia="宋体"/>
                <w:sz w:val="16"/>
              </w:rPr>
              <w:t>偏差原因：实际实施收割麦子、播种复播玉米超额完成，发放补贴标准有变动；合理科学设定年初预算。</w:t>
            </w:r>
          </w:p>
        </w:tc>
      </w:tr>
      <w:tr w14:paraId="357B0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F9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0F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7C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FDE0">
            <w:pPr>
              <w:jc w:val="center"/>
            </w:pPr>
            <w:r>
              <w:rPr>
                <w:rFonts w:ascii="宋体" w:hAnsi="宋体" w:eastAsia="宋体"/>
                <w:sz w:val="16"/>
              </w:rPr>
              <w:t>提升农业生产社会化服务能力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C83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5C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181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60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3B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02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D73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5D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F7794">
            <w:pPr>
              <w:jc w:val="center"/>
            </w:pPr>
          </w:p>
        </w:tc>
      </w:tr>
      <w:tr w14:paraId="02D71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29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8D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13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849F">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6F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D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6CD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2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A1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9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C9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E9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9A758">
            <w:pPr>
              <w:jc w:val="center"/>
            </w:pPr>
          </w:p>
        </w:tc>
      </w:tr>
      <w:tr w14:paraId="2D57289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FA2A4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92D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949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8617">
            <w:pPr>
              <w:jc w:val="center"/>
            </w:pPr>
            <w:r>
              <w:rPr>
                <w:rFonts w:ascii="宋体" w:hAnsi="宋体" w:eastAsia="宋体"/>
                <w:sz w:val="16"/>
              </w:rPr>
              <w:t>96.38分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EFA405"/>
        </w:tc>
      </w:tr>
    </w:tbl>
    <w:p w14:paraId="78466A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122E33B">
        <w:tblPrEx>
          <w:tblCellMar>
            <w:top w:w="0" w:type="dxa"/>
            <w:left w:w="108" w:type="dxa"/>
            <w:bottom w:w="0" w:type="dxa"/>
            <w:right w:w="108" w:type="dxa"/>
          </w:tblCellMar>
        </w:tblPrEx>
        <w:tc>
          <w:tcPr>
            <w:tcW w:w="8848" w:type="dxa"/>
            <w:gridSpan w:val="14"/>
            <w:vAlign w:val="center"/>
          </w:tcPr>
          <w:p w14:paraId="68A173C4">
            <w:pPr>
              <w:jc w:val="center"/>
            </w:pPr>
            <w:r>
              <w:rPr>
                <w:rFonts w:ascii="宋体" w:hAnsi="宋体" w:eastAsia="宋体"/>
                <w:sz w:val="24"/>
              </w:rPr>
              <w:t>项目支出绩效自评表</w:t>
            </w:r>
          </w:p>
        </w:tc>
      </w:tr>
      <w:tr w14:paraId="5001C51E">
        <w:tblPrEx>
          <w:tblCellMar>
            <w:top w:w="0" w:type="dxa"/>
            <w:left w:w="108" w:type="dxa"/>
            <w:bottom w:w="0" w:type="dxa"/>
            <w:right w:w="108" w:type="dxa"/>
          </w:tblCellMar>
        </w:tblPrEx>
        <w:tc>
          <w:tcPr>
            <w:tcW w:w="8848" w:type="dxa"/>
            <w:gridSpan w:val="14"/>
            <w:vAlign w:val="center"/>
          </w:tcPr>
          <w:p w14:paraId="437BE107">
            <w:pPr>
              <w:jc w:val="center"/>
            </w:pPr>
            <w:r>
              <w:rPr>
                <w:rFonts w:ascii="宋体" w:hAnsi="宋体" w:eastAsia="宋体"/>
                <w:sz w:val="24"/>
              </w:rPr>
              <w:t>(2024年度)</w:t>
            </w:r>
          </w:p>
        </w:tc>
      </w:tr>
      <w:tr w14:paraId="34B6E8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6B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C8FC4C">
            <w:pPr>
              <w:jc w:val="center"/>
            </w:pPr>
            <w:r>
              <w:rPr>
                <w:rFonts w:ascii="宋体" w:hAnsi="宋体" w:eastAsia="宋体"/>
                <w:sz w:val="16"/>
              </w:rPr>
              <w:t>2024年中央农业经营主体能力提升资金-新型农业经营主体提升技术应用和生产经营能力项目</w:t>
            </w:r>
          </w:p>
        </w:tc>
      </w:tr>
      <w:tr w14:paraId="7F6A88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71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6845F">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9B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0B4DA">
            <w:pPr>
              <w:jc w:val="center"/>
            </w:pPr>
            <w:r>
              <w:rPr>
                <w:rFonts w:ascii="宋体" w:hAnsi="宋体" w:eastAsia="宋体"/>
                <w:sz w:val="16"/>
              </w:rPr>
              <w:t>叶城县农村合作经济发展中心</w:t>
            </w:r>
          </w:p>
        </w:tc>
      </w:tr>
      <w:tr w14:paraId="765B29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9C2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D6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DD8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448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56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C98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2B7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D17B">
            <w:pPr>
              <w:jc w:val="center"/>
            </w:pPr>
            <w:r>
              <w:rPr>
                <w:rFonts w:ascii="宋体" w:hAnsi="宋体" w:eastAsia="宋体"/>
                <w:sz w:val="16"/>
              </w:rPr>
              <w:t>得分</w:t>
            </w:r>
          </w:p>
        </w:tc>
      </w:tr>
      <w:tr w14:paraId="627C6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F7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18E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C60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07B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9495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60A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209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A290">
            <w:pPr>
              <w:jc w:val="center"/>
            </w:pPr>
            <w:r>
              <w:rPr>
                <w:rFonts w:ascii="宋体" w:hAnsi="宋体" w:eastAsia="宋体"/>
                <w:sz w:val="16"/>
              </w:rPr>
              <w:t>10.00分</w:t>
            </w:r>
          </w:p>
        </w:tc>
      </w:tr>
      <w:tr w14:paraId="73478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6BD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84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5B3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85A0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6359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4B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CB61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B1FA">
            <w:pPr>
              <w:jc w:val="center"/>
            </w:pPr>
            <w:r>
              <w:rPr>
                <w:rFonts w:ascii="宋体" w:hAnsi="宋体" w:eastAsia="宋体"/>
                <w:sz w:val="16"/>
              </w:rPr>
              <w:t>—</w:t>
            </w:r>
          </w:p>
        </w:tc>
      </w:tr>
      <w:tr w14:paraId="2AD98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19D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6F4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190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3D2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44F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808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36EC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CFEB">
            <w:pPr>
              <w:jc w:val="center"/>
            </w:pPr>
            <w:r>
              <w:rPr>
                <w:rFonts w:ascii="宋体" w:hAnsi="宋体" w:eastAsia="宋体"/>
                <w:sz w:val="16"/>
              </w:rPr>
              <w:t>—</w:t>
            </w:r>
          </w:p>
        </w:tc>
      </w:tr>
      <w:tr w14:paraId="0D8E9E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3FA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69F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F04B22">
            <w:pPr>
              <w:jc w:val="center"/>
            </w:pPr>
            <w:r>
              <w:rPr>
                <w:rFonts w:ascii="宋体" w:hAnsi="宋体" w:eastAsia="宋体"/>
                <w:sz w:val="16"/>
              </w:rPr>
              <w:t>实际完成情况</w:t>
            </w:r>
          </w:p>
        </w:tc>
      </w:tr>
      <w:tr w14:paraId="5F23F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7D8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6AAC9">
            <w:pPr>
              <w:jc w:val="both"/>
            </w:pPr>
            <w:r>
              <w:rPr>
                <w:rFonts w:ascii="宋体" w:hAnsi="宋体" w:eastAsia="宋体"/>
                <w:sz w:val="16"/>
              </w:rPr>
              <w:t>该项目计划投入资金20万元，主要用于建设农业合作社一个项目的实施有利于支持合作社开展厂房设施建设；解决合作社</w:t>
            </w:r>
            <w:r>
              <w:rPr>
                <w:rFonts w:hint="eastAsia" w:ascii="宋体" w:hAnsi="宋体"/>
                <w:sz w:val="16"/>
                <w:lang w:eastAsia="zh-CN"/>
              </w:rPr>
              <w:t>的</w:t>
            </w:r>
            <w:r>
              <w:rPr>
                <w:rFonts w:ascii="宋体" w:hAnsi="宋体" w:eastAsia="宋体"/>
                <w:sz w:val="16"/>
              </w:rPr>
              <w:t>农产品库存关键领域和薄弱环节，支持合作社提高生产规模，扩宽服务范围，提高经营能力，增加就业人员。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84721C">
            <w:pPr>
              <w:jc w:val="both"/>
            </w:pPr>
            <w:r>
              <w:rPr>
                <w:rFonts w:ascii="宋体" w:hAnsi="宋体" w:eastAsia="宋体"/>
                <w:sz w:val="16"/>
              </w:rPr>
              <w:t>该项目总资金20万元，到位资金20万元，实际支出20万元，资金执行率100%。项目已完成建设农业合作社一个项目的实施有利于支持合作社开展厂房设施建设；解决合作社</w:t>
            </w:r>
            <w:r>
              <w:rPr>
                <w:rFonts w:hint="eastAsia" w:ascii="宋体" w:hAnsi="宋体"/>
                <w:sz w:val="16"/>
                <w:lang w:eastAsia="zh-CN"/>
              </w:rPr>
              <w:t>的</w:t>
            </w:r>
            <w:r>
              <w:rPr>
                <w:rFonts w:ascii="宋体" w:hAnsi="宋体" w:eastAsia="宋体"/>
                <w:sz w:val="16"/>
              </w:rPr>
              <w:t>农产品库存关键领域和薄弱环节，支持合作社提高生产规模，扩宽服务范围，提高经营能力。</w:t>
            </w:r>
          </w:p>
        </w:tc>
      </w:tr>
      <w:tr w14:paraId="6F2F80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D2D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6A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2D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74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067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7B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A1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2E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2A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FA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F1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B5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D842A">
            <w:pPr>
              <w:jc w:val="center"/>
            </w:pPr>
            <w:r>
              <w:rPr>
                <w:rFonts w:ascii="宋体" w:hAnsi="宋体" w:eastAsia="宋体"/>
                <w:sz w:val="16"/>
              </w:rPr>
              <w:t>偏差原因分析及改进措施</w:t>
            </w:r>
          </w:p>
        </w:tc>
      </w:tr>
      <w:tr w14:paraId="2EE931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091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5868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7B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756D">
            <w:pPr>
              <w:jc w:val="center"/>
            </w:pPr>
            <w:r>
              <w:rPr>
                <w:rFonts w:ascii="宋体" w:hAnsi="宋体" w:eastAsia="宋体"/>
                <w:sz w:val="16"/>
              </w:rPr>
              <w:t>农民专业合作社（个）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8F7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BC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407A">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A6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DA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065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E11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FA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099A1">
            <w:pPr>
              <w:jc w:val="center"/>
            </w:pPr>
          </w:p>
        </w:tc>
      </w:tr>
      <w:tr w14:paraId="79074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6C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36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20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04B1">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7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E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B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5B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2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4D3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F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FF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1D9F1">
            <w:pPr>
              <w:jc w:val="center"/>
            </w:pPr>
          </w:p>
        </w:tc>
      </w:tr>
      <w:tr w14:paraId="0FE9B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05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3A8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2A6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9060">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2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A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4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92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2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C8A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A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FB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EB488">
            <w:pPr>
              <w:jc w:val="center"/>
            </w:pPr>
          </w:p>
        </w:tc>
      </w:tr>
      <w:tr w14:paraId="646E5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A09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C5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24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9E5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5BC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0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509A">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6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B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A4F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B587">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8B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F2633">
            <w:pPr>
              <w:jc w:val="center"/>
            </w:pPr>
          </w:p>
        </w:tc>
      </w:tr>
      <w:tr w14:paraId="4D947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15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322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09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8FB5">
            <w:pPr>
              <w:jc w:val="center"/>
            </w:pPr>
            <w:r>
              <w:rPr>
                <w:rFonts w:ascii="宋体" w:hAnsi="宋体" w:eastAsia="宋体"/>
                <w:sz w:val="16"/>
              </w:rPr>
              <w:t>农民专业合作社建设成本（万元）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A70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63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4595">
            <w:pPr>
              <w:jc w:val="center"/>
            </w:pPr>
            <w:r>
              <w:rPr>
                <w:rFonts w:ascii="宋体" w:hAnsi="宋体" w:eastAsia="宋体"/>
                <w:sz w:val="16"/>
              </w:rPr>
              <w:t>35个/万元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4E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0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49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B781">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EC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BC1A2">
            <w:pPr>
              <w:jc w:val="center"/>
            </w:pPr>
          </w:p>
        </w:tc>
      </w:tr>
      <w:tr w14:paraId="015E4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B4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58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5E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A374">
            <w:pPr>
              <w:jc w:val="center"/>
            </w:pPr>
            <w:r>
              <w:rPr>
                <w:rFonts w:ascii="宋体" w:hAnsi="宋体" w:eastAsia="宋体"/>
                <w:sz w:val="16"/>
              </w:rPr>
              <w:t>带动农户</w:t>
            </w:r>
            <w:r>
              <w:rPr>
                <w:rFonts w:hint="eastAsia" w:ascii="宋体" w:hAnsi="宋体"/>
                <w:sz w:val="16"/>
                <w:lang w:eastAsia="zh-CN"/>
              </w:rPr>
              <w:t>推动</w:t>
            </w:r>
            <w:r>
              <w:rPr>
                <w:rFonts w:ascii="宋体" w:hAnsi="宋体" w:eastAsia="宋体"/>
                <w:sz w:val="16"/>
              </w:rPr>
              <w:t>合作社服务体系建设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1651">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41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6FA1">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73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23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4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31F1">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1B8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A88E8">
            <w:pPr>
              <w:jc w:val="center"/>
            </w:pPr>
          </w:p>
        </w:tc>
      </w:tr>
      <w:tr w14:paraId="0D85A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6B9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BB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EE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B5D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86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C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9A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DD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7E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246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B8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A0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696D4">
            <w:pPr>
              <w:jc w:val="center"/>
            </w:pPr>
          </w:p>
        </w:tc>
      </w:tr>
      <w:tr w14:paraId="380A97B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779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76E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305A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583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E29532"/>
        </w:tc>
      </w:tr>
    </w:tbl>
    <w:p w14:paraId="52C5AD51">
      <w:r>
        <w:br w:type="page"/>
      </w:r>
    </w:p>
    <w:p w14:paraId="2D6F9868">
      <w:pPr>
        <w:spacing w:line="640" w:lineRule="exact"/>
        <w:ind w:firstLine="640"/>
        <w:jc w:val="both"/>
        <w:outlineLvl w:val="2"/>
      </w:pPr>
      <w:r>
        <w:rPr>
          <w:rFonts w:ascii="黑体" w:hAnsi="黑体" w:eastAsia="黑体"/>
          <w:sz w:val="32"/>
        </w:rPr>
        <w:t>十二、其他需说明的事项</w:t>
      </w:r>
    </w:p>
    <w:p w14:paraId="45815BDD">
      <w:pPr>
        <w:spacing w:line="580" w:lineRule="exact"/>
        <w:ind w:firstLine="640"/>
        <w:jc w:val="both"/>
      </w:pPr>
      <w:r>
        <w:rPr>
          <w:rFonts w:ascii="仿宋_GB2312" w:hAnsi="仿宋_GB2312" w:eastAsia="仿宋_GB2312"/>
          <w:b w:val="0"/>
          <w:sz w:val="32"/>
        </w:rPr>
        <w:t>本单位无其他需说明的事项。</w:t>
      </w:r>
    </w:p>
    <w:p w14:paraId="5099B1C2">
      <w:r>
        <w:br w:type="page"/>
      </w:r>
    </w:p>
    <w:p w14:paraId="3AECE75A">
      <w:pPr>
        <w:spacing w:line="240" w:lineRule="auto"/>
        <w:jc w:val="center"/>
        <w:outlineLvl w:val="1"/>
      </w:pPr>
      <w:r>
        <w:rPr>
          <w:rFonts w:ascii="黑体" w:hAnsi="黑体" w:eastAsia="黑体"/>
          <w:sz w:val="32"/>
        </w:rPr>
        <w:t>第三部分 专业名词解释</w:t>
      </w:r>
    </w:p>
    <w:p w14:paraId="4F566A1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DF1818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50287D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3705AC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9077F4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EBAF3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73FD56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C11F7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AFFC9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665CC5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A17B4E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C88700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8B2EC2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21A35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2D2FCEE">
      <w:r>
        <w:br w:type="page"/>
      </w:r>
    </w:p>
    <w:p w14:paraId="27D9E28B">
      <w:pPr>
        <w:spacing w:line="240" w:lineRule="auto"/>
        <w:jc w:val="center"/>
        <w:outlineLvl w:val="1"/>
      </w:pPr>
      <w:r>
        <w:rPr>
          <w:rFonts w:ascii="黑体" w:hAnsi="黑体" w:eastAsia="黑体"/>
          <w:sz w:val="32"/>
        </w:rPr>
        <w:t>第四部分 部门决算报表（见附表）</w:t>
      </w:r>
    </w:p>
    <w:p w14:paraId="02693456">
      <w:pPr>
        <w:spacing w:line="240" w:lineRule="auto"/>
        <w:ind w:firstLine="640"/>
        <w:jc w:val="both"/>
      </w:pPr>
      <w:r>
        <w:rPr>
          <w:rFonts w:ascii="仿宋_GB2312" w:hAnsi="仿宋_GB2312" w:eastAsia="仿宋_GB2312"/>
          <w:b w:val="0"/>
          <w:sz w:val="32"/>
        </w:rPr>
        <w:t>一、《收入支出决算总表》</w:t>
      </w:r>
    </w:p>
    <w:p w14:paraId="1F3F294E">
      <w:pPr>
        <w:spacing w:line="240" w:lineRule="auto"/>
        <w:ind w:firstLine="640"/>
        <w:jc w:val="both"/>
      </w:pPr>
      <w:r>
        <w:rPr>
          <w:rFonts w:ascii="仿宋_GB2312" w:hAnsi="仿宋_GB2312" w:eastAsia="仿宋_GB2312"/>
          <w:b w:val="0"/>
          <w:sz w:val="32"/>
        </w:rPr>
        <w:t>二、《收入决算表》</w:t>
      </w:r>
    </w:p>
    <w:p w14:paraId="657E47E4">
      <w:pPr>
        <w:spacing w:line="240" w:lineRule="auto"/>
        <w:ind w:firstLine="640"/>
        <w:jc w:val="both"/>
      </w:pPr>
      <w:r>
        <w:rPr>
          <w:rFonts w:ascii="仿宋_GB2312" w:hAnsi="仿宋_GB2312" w:eastAsia="仿宋_GB2312"/>
          <w:b w:val="0"/>
          <w:sz w:val="32"/>
        </w:rPr>
        <w:t>三、《支出决算表》</w:t>
      </w:r>
    </w:p>
    <w:p w14:paraId="2BCF6A45">
      <w:pPr>
        <w:spacing w:line="240" w:lineRule="auto"/>
        <w:ind w:firstLine="640"/>
        <w:jc w:val="both"/>
      </w:pPr>
      <w:r>
        <w:rPr>
          <w:rFonts w:ascii="仿宋_GB2312" w:hAnsi="仿宋_GB2312" w:eastAsia="仿宋_GB2312"/>
          <w:b w:val="0"/>
          <w:sz w:val="32"/>
        </w:rPr>
        <w:t>四、《财政拨款收入支出决算总表》</w:t>
      </w:r>
    </w:p>
    <w:p w14:paraId="0E56E95C">
      <w:pPr>
        <w:spacing w:line="240" w:lineRule="auto"/>
        <w:ind w:firstLine="640"/>
        <w:jc w:val="both"/>
      </w:pPr>
      <w:r>
        <w:rPr>
          <w:rFonts w:ascii="仿宋_GB2312" w:hAnsi="仿宋_GB2312" w:eastAsia="仿宋_GB2312"/>
          <w:b w:val="0"/>
          <w:sz w:val="32"/>
        </w:rPr>
        <w:t>五、《一般公共预算财政拨款支出决算表》</w:t>
      </w:r>
    </w:p>
    <w:p w14:paraId="5FC34C66">
      <w:pPr>
        <w:spacing w:line="240" w:lineRule="auto"/>
        <w:ind w:firstLine="640"/>
        <w:jc w:val="both"/>
      </w:pPr>
      <w:r>
        <w:rPr>
          <w:rFonts w:ascii="仿宋_GB2312" w:hAnsi="仿宋_GB2312" w:eastAsia="仿宋_GB2312"/>
          <w:b w:val="0"/>
          <w:sz w:val="32"/>
        </w:rPr>
        <w:t>六、《一般公共预算财政拨款基本支出决算表》</w:t>
      </w:r>
    </w:p>
    <w:p w14:paraId="071970D8">
      <w:pPr>
        <w:spacing w:line="240" w:lineRule="auto"/>
        <w:ind w:firstLine="640"/>
        <w:jc w:val="both"/>
      </w:pPr>
      <w:r>
        <w:rPr>
          <w:rFonts w:ascii="仿宋_GB2312" w:hAnsi="仿宋_GB2312" w:eastAsia="仿宋_GB2312"/>
          <w:b w:val="0"/>
          <w:sz w:val="32"/>
        </w:rPr>
        <w:t>七、《政府性基金预算财政拨款收入支出决算表》</w:t>
      </w:r>
    </w:p>
    <w:p w14:paraId="5B864461">
      <w:pPr>
        <w:spacing w:line="240" w:lineRule="auto"/>
        <w:ind w:firstLine="640"/>
        <w:jc w:val="both"/>
      </w:pPr>
      <w:r>
        <w:rPr>
          <w:rFonts w:ascii="仿宋_GB2312" w:hAnsi="仿宋_GB2312" w:eastAsia="仿宋_GB2312"/>
          <w:b w:val="0"/>
          <w:sz w:val="32"/>
        </w:rPr>
        <w:t>八、《国有资本经营预算财政拨款收入支出决算表》</w:t>
      </w:r>
    </w:p>
    <w:p w14:paraId="28E26DD8">
      <w:pPr>
        <w:spacing w:line="240" w:lineRule="auto"/>
        <w:ind w:firstLine="640"/>
        <w:jc w:val="both"/>
      </w:pPr>
      <w:r>
        <w:rPr>
          <w:rFonts w:ascii="仿宋_GB2312" w:hAnsi="仿宋_GB2312" w:eastAsia="仿宋_GB2312"/>
          <w:b w:val="0"/>
          <w:sz w:val="32"/>
        </w:rPr>
        <w:t>九、《财政拨款“三公”经费支出决算表》</w:t>
      </w:r>
    </w:p>
    <w:p w14:paraId="095DB283">
      <w:pPr>
        <w:spacing w:line="240" w:lineRule="auto"/>
        <w:ind w:firstLine="640"/>
        <w:jc w:val="both"/>
      </w:pPr>
    </w:p>
    <w:p w14:paraId="3BFEB0B4">
      <w:pPr>
        <w:spacing w:line="240" w:lineRule="auto"/>
        <w:ind w:firstLine="640"/>
        <w:jc w:val="both"/>
      </w:pPr>
    </w:p>
    <w:p w14:paraId="24573F8B">
      <w:pPr>
        <w:spacing w:line="240" w:lineRule="auto"/>
        <w:ind w:firstLine="640"/>
        <w:jc w:val="both"/>
      </w:pPr>
    </w:p>
    <w:p w14:paraId="64CABE2B">
      <w:pPr>
        <w:spacing w:line="240" w:lineRule="auto"/>
        <w:ind w:firstLine="640"/>
        <w:jc w:val="both"/>
      </w:pPr>
    </w:p>
    <w:p w14:paraId="01A71C0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2D4E29-DB56-4BB3-A255-95E2036BF4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BC2A812-262C-46E1-A1FE-79AD801115CC}"/>
  </w:font>
  <w:font w:name="仿宋_GB2312">
    <w:panose1 w:val="02010609030101010101"/>
    <w:charset w:val="86"/>
    <w:family w:val="modern"/>
    <w:pitch w:val="default"/>
    <w:sig w:usb0="00000001" w:usb1="080E0000" w:usb2="00000000" w:usb3="00000000" w:csb0="00040000" w:csb1="00000000"/>
    <w:embedRegular r:id="rId3" w:fontKey="{F7864415-605B-481E-9BA5-E43DCAE9BAD0}"/>
  </w:font>
  <w:font w:name="楷体_GB2312">
    <w:panose1 w:val="02010609030101010101"/>
    <w:charset w:val="86"/>
    <w:family w:val="auto"/>
    <w:pitch w:val="default"/>
    <w:sig w:usb0="00000001" w:usb1="080E0000" w:usb2="00000000" w:usb3="00000000" w:csb0="00040000" w:csb1="00000000"/>
    <w:embedRegular r:id="rId4" w:fontKey="{E4F5C400-7B17-4870-B42E-1FC0F3AD26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4444F6"/>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407611"/>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5408</Words>
  <Characters>6183</Characters>
  <Lines>0</Lines>
  <Paragraphs>0</Paragraphs>
  <TotalTime>4</TotalTime>
  <ScaleCrop>false</ScaleCrop>
  <LinksUpToDate>false</LinksUpToDate>
  <CharactersWithSpaces>6191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2025-09-30T02:21:43Z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