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1B7411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叶城县动物卫生服务站</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4912FF5">
      <w:r>
        <w:br w:type="page"/>
      </w:r>
    </w:p>
    <w:p w14:paraId="5852028B">
      <w:pPr>
        <w:spacing w:line="640" w:lineRule="exact"/>
        <w:jc w:val="center"/>
        <w:outlineLvl w:val="1"/>
      </w:pPr>
      <w:r>
        <w:rPr>
          <w:rFonts w:ascii="黑体" w:hAnsi="黑体" w:eastAsia="黑体"/>
          <w:sz w:val="32"/>
        </w:rPr>
        <w:t>第一部分 单位概况</w:t>
      </w:r>
    </w:p>
    <w:p w14:paraId="70755048">
      <w:pPr>
        <w:spacing w:line="640" w:lineRule="exact"/>
        <w:ind w:firstLine="640"/>
        <w:jc w:val="both"/>
        <w:outlineLvl w:val="2"/>
      </w:pPr>
      <w:r>
        <w:rPr>
          <w:rFonts w:ascii="黑体" w:hAnsi="黑体" w:eastAsia="黑体"/>
          <w:sz w:val="32"/>
        </w:rPr>
        <w:t>一、主要职能</w:t>
      </w:r>
    </w:p>
    <w:p w14:paraId="4671A9F4">
      <w:pPr>
        <w:spacing w:line="580" w:lineRule="exact"/>
        <w:ind w:firstLine="640"/>
        <w:jc w:val="both"/>
      </w:pPr>
      <w:r>
        <w:rPr>
          <w:rFonts w:ascii="仿宋_GB2312" w:hAnsi="仿宋_GB2312" w:eastAsia="仿宋_GB2312"/>
          <w:sz w:val="32"/>
        </w:rPr>
        <w:t>为畜牧业发展提供管理保障承担依法实施牲畜防疫，动物及其动物产品检疫，动物产品安全和兽药饲料质量监管。</w:t>
      </w:r>
    </w:p>
    <w:p w14:paraId="405D793C">
      <w:pPr>
        <w:spacing w:line="640" w:lineRule="exact"/>
        <w:ind w:firstLine="640"/>
        <w:jc w:val="both"/>
        <w:outlineLvl w:val="2"/>
      </w:pPr>
      <w:r>
        <w:rPr>
          <w:rFonts w:ascii="黑体" w:hAnsi="黑体" w:eastAsia="黑体"/>
          <w:sz w:val="32"/>
        </w:rPr>
        <w:t>二、机构设置及人员情况</w:t>
      </w:r>
    </w:p>
    <w:p w14:paraId="746B6315">
      <w:pPr>
        <w:spacing w:line="580" w:lineRule="exact"/>
        <w:ind w:firstLine="640"/>
        <w:jc w:val="both"/>
      </w:pPr>
      <w:r>
        <w:rPr>
          <w:rFonts w:ascii="仿宋_GB2312" w:hAnsi="仿宋_GB2312" w:eastAsia="仿宋_GB2312"/>
          <w:sz w:val="32"/>
        </w:rPr>
        <w:t>叶城县动物卫生服务站2024年度，实有人数27人，其中：在职人员7人，减少3人；离休人员0人，增加0人；退休人员20人,增加5人。</w:t>
      </w:r>
    </w:p>
    <w:p w14:paraId="5D25E61D">
      <w:pPr>
        <w:spacing w:line="580" w:lineRule="exact"/>
        <w:ind w:firstLine="640"/>
        <w:jc w:val="both"/>
      </w:pPr>
      <w:r>
        <w:rPr>
          <w:rFonts w:ascii="仿宋_GB2312" w:hAnsi="仿宋_GB2312" w:eastAsia="仿宋_GB2312"/>
          <w:sz w:val="32"/>
        </w:rPr>
        <w:t>叶城县动物卫生服务站无下属预算单位，下设2个科室，分别是：办公室、监督办。</w:t>
      </w:r>
    </w:p>
    <w:p w14:paraId="05F503FA">
      <w:r>
        <w:br w:type="page"/>
      </w:r>
    </w:p>
    <w:p w14:paraId="56764CFC">
      <w:pPr>
        <w:spacing w:line="240" w:lineRule="auto"/>
        <w:jc w:val="center"/>
        <w:outlineLvl w:val="1"/>
      </w:pPr>
      <w:r>
        <w:rPr>
          <w:rFonts w:ascii="黑体" w:hAnsi="黑体" w:eastAsia="黑体"/>
          <w:sz w:val="32"/>
        </w:rPr>
        <w:t>第二部分 部门决算情况说明</w:t>
      </w:r>
    </w:p>
    <w:p w14:paraId="01F1E43C">
      <w:pPr>
        <w:spacing w:line="640" w:lineRule="exact"/>
        <w:ind w:firstLine="640"/>
        <w:jc w:val="both"/>
        <w:outlineLvl w:val="2"/>
      </w:pPr>
      <w:r>
        <w:rPr>
          <w:rFonts w:ascii="黑体" w:hAnsi="黑体" w:eastAsia="黑体"/>
          <w:sz w:val="32"/>
        </w:rPr>
        <w:t>一、收入支出决算总体情况说明</w:t>
      </w:r>
    </w:p>
    <w:p w14:paraId="295FEC59">
      <w:pPr>
        <w:spacing w:line="580" w:lineRule="exact"/>
        <w:ind w:firstLine="640"/>
        <w:jc w:val="both"/>
      </w:pPr>
      <w:r>
        <w:rPr>
          <w:rFonts w:ascii="仿宋_GB2312" w:hAnsi="仿宋_GB2312" w:eastAsia="仿宋_GB2312"/>
          <w:b/>
          <w:sz w:val="32"/>
        </w:rPr>
        <w:t>2024年度收入总计193.58万元，</w:t>
      </w:r>
      <w:r>
        <w:rPr>
          <w:rFonts w:ascii="仿宋_GB2312" w:hAnsi="仿宋_GB2312" w:eastAsia="仿宋_GB2312"/>
          <w:b w:val="0"/>
          <w:sz w:val="32"/>
        </w:rPr>
        <w:t>其中：本年收入合计193.58万元，使用非财政拨款结余（含专用结余）0.00万元，年初结转和结余0.00万元。</w:t>
      </w:r>
    </w:p>
    <w:p w14:paraId="7B074209">
      <w:pPr>
        <w:spacing w:line="580" w:lineRule="exact"/>
        <w:ind w:firstLine="640"/>
        <w:jc w:val="both"/>
      </w:pPr>
      <w:r>
        <w:rPr>
          <w:rFonts w:ascii="仿宋_GB2312" w:hAnsi="仿宋_GB2312" w:eastAsia="仿宋_GB2312"/>
          <w:b/>
          <w:sz w:val="32"/>
        </w:rPr>
        <w:t>2024年度支出总计193.58万元，</w:t>
      </w:r>
      <w:r>
        <w:rPr>
          <w:rFonts w:ascii="仿宋_GB2312" w:hAnsi="仿宋_GB2312" w:eastAsia="仿宋_GB2312"/>
          <w:b w:val="0"/>
          <w:sz w:val="32"/>
        </w:rPr>
        <w:t>其中：本年支出合计193.58万元，结余分配0.00万元，年末结转和结余0.00万元。</w:t>
      </w:r>
    </w:p>
    <w:p w14:paraId="77FDE9B7">
      <w:pPr>
        <w:spacing w:line="580" w:lineRule="exact"/>
        <w:ind w:firstLine="640"/>
        <w:jc w:val="both"/>
      </w:pPr>
      <w:r>
        <w:rPr>
          <w:rFonts w:ascii="仿宋_GB2312" w:hAnsi="仿宋_GB2312" w:eastAsia="仿宋_GB2312"/>
          <w:b w:val="0"/>
          <w:sz w:val="32"/>
        </w:rPr>
        <w:t>收入支出总体与上年相比，减少55.84万元，下降22.39%，主要原因是：本年在职人员减少，相关人员经费较上年减少。</w:t>
      </w:r>
    </w:p>
    <w:p w14:paraId="5949EA2B">
      <w:pPr>
        <w:spacing w:line="640" w:lineRule="exact"/>
        <w:ind w:firstLine="640"/>
        <w:jc w:val="both"/>
        <w:outlineLvl w:val="2"/>
      </w:pPr>
      <w:r>
        <w:rPr>
          <w:rFonts w:ascii="黑体" w:hAnsi="黑体" w:eastAsia="黑体"/>
          <w:sz w:val="32"/>
        </w:rPr>
        <w:t>二、收入决算情况说明</w:t>
      </w:r>
    </w:p>
    <w:p w14:paraId="37DA3E74">
      <w:pPr>
        <w:spacing w:line="580" w:lineRule="exact"/>
        <w:ind w:firstLine="640"/>
        <w:jc w:val="both"/>
      </w:pPr>
      <w:r>
        <w:rPr>
          <w:rFonts w:ascii="仿宋_GB2312" w:hAnsi="仿宋_GB2312" w:eastAsia="仿宋_GB2312"/>
          <w:b/>
          <w:sz w:val="32"/>
        </w:rPr>
        <w:t>本年收入193.58万元，</w:t>
      </w:r>
      <w:r>
        <w:rPr>
          <w:rFonts w:ascii="仿宋_GB2312" w:hAnsi="仿宋_GB2312" w:eastAsia="仿宋_GB2312"/>
          <w:b w:val="0"/>
          <w:sz w:val="32"/>
        </w:rPr>
        <w:t>其中：财政拨款收入193.58万元，占100.00%；上级补助收入0.00万元，占0.00%；事业收入0.00万元，占0.00%；经营收入0.00万元，占0.00%；附属单位上缴收入0.00万元，占0.00%；其他收入0.00万元，占0.00%。</w:t>
      </w:r>
    </w:p>
    <w:p w14:paraId="1217CE15">
      <w:pPr>
        <w:spacing w:line="640" w:lineRule="exact"/>
        <w:ind w:firstLine="640"/>
        <w:jc w:val="both"/>
        <w:outlineLvl w:val="2"/>
      </w:pPr>
      <w:r>
        <w:rPr>
          <w:rFonts w:ascii="黑体" w:hAnsi="黑体" w:eastAsia="黑体"/>
          <w:sz w:val="32"/>
        </w:rPr>
        <w:t>三、支出决算情况说明</w:t>
      </w:r>
    </w:p>
    <w:p w14:paraId="40DC00D5">
      <w:pPr>
        <w:spacing w:line="580" w:lineRule="exact"/>
        <w:ind w:firstLine="640"/>
        <w:jc w:val="both"/>
      </w:pPr>
      <w:r>
        <w:rPr>
          <w:rFonts w:ascii="仿宋_GB2312" w:hAnsi="仿宋_GB2312" w:eastAsia="仿宋_GB2312"/>
          <w:b/>
          <w:sz w:val="32"/>
        </w:rPr>
        <w:t>本年支出193.58万元，</w:t>
      </w:r>
      <w:r>
        <w:rPr>
          <w:rFonts w:ascii="仿宋_GB2312" w:hAnsi="仿宋_GB2312" w:eastAsia="仿宋_GB2312"/>
          <w:b w:val="0"/>
          <w:sz w:val="32"/>
        </w:rPr>
        <w:t>其中：基本支出193.58万元，占100.00%；项目支出0.00万元，占0.00%；上缴上级支出0.00万元，占0.00%；经营支出0.00万元，占0.00%；对附属单位补助支出0.00万元，占0.00%。</w:t>
      </w:r>
    </w:p>
    <w:p w14:paraId="2DF16D9C">
      <w:pPr>
        <w:spacing w:line="640" w:lineRule="exact"/>
        <w:ind w:firstLine="640"/>
        <w:jc w:val="both"/>
        <w:outlineLvl w:val="2"/>
      </w:pPr>
      <w:r>
        <w:rPr>
          <w:rFonts w:ascii="黑体" w:hAnsi="黑体" w:eastAsia="黑体"/>
          <w:sz w:val="32"/>
        </w:rPr>
        <w:t>四、财政拨款收入支出决算总体情况说明</w:t>
      </w:r>
    </w:p>
    <w:p w14:paraId="5888D0DE">
      <w:pPr>
        <w:spacing w:line="580" w:lineRule="exact"/>
        <w:ind w:firstLine="640"/>
        <w:jc w:val="both"/>
      </w:pPr>
      <w:r>
        <w:rPr>
          <w:rFonts w:ascii="仿宋_GB2312" w:hAnsi="仿宋_GB2312" w:eastAsia="仿宋_GB2312"/>
          <w:b/>
          <w:sz w:val="32"/>
        </w:rPr>
        <w:t>2024年度财政拨款收入总计193.58万元，</w:t>
      </w:r>
      <w:r>
        <w:rPr>
          <w:rFonts w:ascii="仿宋_GB2312" w:hAnsi="仿宋_GB2312" w:eastAsia="仿宋_GB2312"/>
          <w:b w:val="0"/>
          <w:sz w:val="32"/>
        </w:rPr>
        <w:t>其中：年初财政拨款结转和结余0.00万元，本年财政拨款收入193.58万元。</w:t>
      </w:r>
      <w:r>
        <w:rPr>
          <w:rFonts w:ascii="仿宋_GB2312" w:hAnsi="仿宋_GB2312" w:eastAsia="仿宋_GB2312"/>
          <w:b/>
          <w:sz w:val="32"/>
        </w:rPr>
        <w:t>财政拨款支出总计193.58万元，</w:t>
      </w:r>
      <w:r>
        <w:rPr>
          <w:rFonts w:ascii="仿宋_GB2312" w:hAnsi="仿宋_GB2312" w:eastAsia="仿宋_GB2312"/>
          <w:b w:val="0"/>
          <w:sz w:val="32"/>
        </w:rPr>
        <w:t>其中：年末财政拨款结转和结余0.00万元，本年财政拨款支出193.58万元。</w:t>
      </w:r>
    </w:p>
    <w:p w14:paraId="7F93453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减少55.84万元，下降22.39%，主要原因是：本年在职人员减少，相关人员经费较上年减少。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年初预算数261.17万元，决算数193.58万元，预决算差异率-25.88%，主要原因是：本年在职人员减少，年中调减人员经费、公用经费，导致预决算差异。</w:t>
      </w:r>
    </w:p>
    <w:p w14:paraId="6040A43C">
      <w:pPr>
        <w:spacing w:line="640" w:lineRule="exact"/>
        <w:ind w:firstLine="640"/>
        <w:jc w:val="both"/>
        <w:outlineLvl w:val="2"/>
      </w:pPr>
      <w:r>
        <w:rPr>
          <w:rFonts w:ascii="黑体" w:hAnsi="黑体" w:eastAsia="黑体"/>
          <w:sz w:val="32"/>
        </w:rPr>
        <w:t>五、一般公共预算财政拨款支出决算情况说明</w:t>
      </w:r>
    </w:p>
    <w:p w14:paraId="76213C36">
      <w:pPr>
        <w:spacing w:line="640" w:lineRule="exact"/>
        <w:ind w:firstLine="640"/>
        <w:jc w:val="both"/>
        <w:outlineLvl w:val="3"/>
      </w:pPr>
      <w:r>
        <w:rPr>
          <w:rFonts w:ascii="楷体_GB2312" w:hAnsi="楷体_GB2312" w:eastAsia="楷体_GB2312"/>
          <w:b/>
          <w:sz w:val="32"/>
        </w:rPr>
        <w:t>（一）一般公共预算财政拨款支出决算总体情况</w:t>
      </w:r>
    </w:p>
    <w:p w14:paraId="69E6C3A6">
      <w:pPr>
        <w:spacing w:line="580" w:lineRule="exact"/>
        <w:ind w:firstLine="640"/>
        <w:jc w:val="both"/>
      </w:pPr>
      <w:r>
        <w:rPr>
          <w:rFonts w:ascii="仿宋_GB2312" w:hAnsi="仿宋_GB2312" w:eastAsia="仿宋_GB2312"/>
          <w:b/>
          <w:sz w:val="32"/>
        </w:rPr>
        <w:t>2024年度一般公共预算财政拨款支出193.58万元，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减少55.84万元，下降22.39%，主要原因是：本年在职人员减少，相关人员经费较上年减少。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年初预算数261.17万元，决算数193.58万元，预决算差异率-25.88%，主要原因是：本年在职人员减少，年中调减人员经费、公用经费，导致预决算差异。</w:t>
      </w:r>
    </w:p>
    <w:p w14:paraId="7916B097">
      <w:pPr>
        <w:spacing w:line="640" w:lineRule="exact"/>
        <w:ind w:firstLine="640"/>
        <w:jc w:val="both"/>
        <w:outlineLvl w:val="3"/>
      </w:pPr>
      <w:r>
        <w:rPr>
          <w:rFonts w:ascii="楷体_GB2312" w:hAnsi="楷体_GB2312" w:eastAsia="楷体_GB2312"/>
          <w:b/>
          <w:sz w:val="32"/>
        </w:rPr>
        <w:t>（二）一般公共预算财政拨款支出决算结构情况</w:t>
      </w:r>
    </w:p>
    <w:p w14:paraId="55F13D7B">
      <w:pPr>
        <w:spacing w:line="580" w:lineRule="exact"/>
        <w:ind w:firstLine="640"/>
        <w:jc w:val="both"/>
      </w:pPr>
      <w:r>
        <w:rPr>
          <w:rFonts w:ascii="仿宋_GB2312" w:hAnsi="仿宋_GB2312" w:eastAsia="仿宋_GB2312"/>
          <w:b w:val="0"/>
          <w:sz w:val="32"/>
        </w:rPr>
        <w:t>1.社会保障和就业支出(类)39.93万元,占20.63%。</w:t>
      </w:r>
    </w:p>
    <w:p w14:paraId="70BA9019">
      <w:pPr>
        <w:spacing w:line="580" w:lineRule="exact"/>
        <w:ind w:firstLine="640"/>
        <w:jc w:val="both"/>
      </w:pPr>
      <w:r>
        <w:rPr>
          <w:rFonts w:ascii="仿宋_GB2312" w:hAnsi="仿宋_GB2312" w:eastAsia="仿宋_GB2312"/>
          <w:b w:val="0"/>
          <w:sz w:val="32"/>
        </w:rPr>
        <w:t>2.卫生健康支出(类)9.87万元,占5.10%。</w:t>
      </w:r>
    </w:p>
    <w:p w14:paraId="37DBB99B">
      <w:pPr>
        <w:spacing w:line="580" w:lineRule="exact"/>
        <w:ind w:firstLine="640"/>
        <w:jc w:val="both"/>
      </w:pPr>
      <w:r>
        <w:rPr>
          <w:rFonts w:ascii="仿宋_GB2312" w:hAnsi="仿宋_GB2312" w:eastAsia="仿宋_GB2312"/>
          <w:b w:val="0"/>
          <w:sz w:val="32"/>
        </w:rPr>
        <w:t>3.农林水支出(类)127.01万元,占65.61%。</w:t>
      </w:r>
    </w:p>
    <w:p w14:paraId="6EE7A0F9">
      <w:pPr>
        <w:spacing w:line="580" w:lineRule="exact"/>
        <w:ind w:firstLine="640"/>
        <w:jc w:val="both"/>
      </w:pPr>
      <w:r>
        <w:rPr>
          <w:rFonts w:ascii="仿宋_GB2312" w:hAnsi="仿宋_GB2312" w:eastAsia="仿宋_GB2312"/>
          <w:b w:val="0"/>
          <w:sz w:val="32"/>
        </w:rPr>
        <w:t>4.住房保障支出(类)16.77万元,占8.66%。</w:t>
      </w:r>
    </w:p>
    <w:p w14:paraId="7253B85B">
      <w:pPr>
        <w:spacing w:line="640" w:lineRule="exact"/>
        <w:ind w:firstLine="640"/>
        <w:jc w:val="both"/>
        <w:outlineLvl w:val="3"/>
      </w:pPr>
      <w:r>
        <w:rPr>
          <w:rFonts w:ascii="楷体_GB2312" w:hAnsi="楷体_GB2312" w:eastAsia="楷体_GB2312"/>
          <w:b/>
          <w:sz w:val="32"/>
        </w:rPr>
        <w:t>（三）一般公共预算财政拨款支出决算具体情况</w:t>
      </w:r>
    </w:p>
    <w:p w14:paraId="59EFF73F">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1.社会保障和就业支出(类)行政事业单位养老支出(款)行政单位离退休(项):支出决算数为21.58万元，比上年决算增加5.86万元，增长37.28%,主要原因是：本年退休人员增加，行政单位离退休经费增加。</w:t>
      </w:r>
    </w:p>
    <w:p w14:paraId="5A826CEF">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18.35万元，比上年决算增加1.07万元，增长6.19%,主要原因是：本年在职人员增加，养老保险缴费较上年增加。</w:t>
      </w:r>
    </w:p>
    <w:p w14:paraId="32DE11A1">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3.社会保障和就业支出(类)行政事业单位养老支出(款)机关事业单位职业年金缴费支出(项):支出决算数为0.00万元，比上年决算减少9.04万元，下降100.00%,主要原因是：本年未安排职业年金缴费支出。</w:t>
      </w:r>
    </w:p>
    <w:p w14:paraId="1A4001EA">
      <w:pPr>
        <w:spacing w:line="580" w:lineRule="exact"/>
        <w:ind w:firstLine="640"/>
        <w:jc w:val="both"/>
      </w:pPr>
      <w:r>
        <w:rPr>
          <w:rFonts w:ascii="仿宋_GB2312" w:hAnsi="仿宋_GB2312" w:eastAsia="仿宋_GB2312"/>
          <w:b w:val="0"/>
          <w:sz w:val="32"/>
        </w:rPr>
        <w:t>4.卫生健康支出(类)行政事业单位医疗(款)行政单位医疗(项):支出决算数为7.62万元，比上年决算增加0.48万元，增长6.72%,主要原因是：本年在职人员工资基数调增，医疗缴费基数上涨，相应支出增加。</w:t>
      </w:r>
    </w:p>
    <w:p w14:paraId="6DC8A8E8">
      <w:pPr>
        <w:spacing w:line="580" w:lineRule="exact"/>
        <w:ind w:firstLine="640"/>
        <w:jc w:val="both"/>
      </w:pPr>
      <w:r>
        <w:rPr>
          <w:rFonts w:ascii="仿宋_GB2312" w:hAnsi="仿宋_GB2312" w:eastAsia="仿宋_GB2312"/>
          <w:b w:val="0"/>
          <w:sz w:val="32"/>
        </w:rPr>
        <w:t>5.卫生健康支出(类)行政事业单位医疗(款)公务员医疗补助(项):支出决算数为2.24万元，比上年决算减少0.73万元，下降24.58%,主要原因是：本年在职人员减少，公务员医疗补助较上年减少。</w:t>
      </w:r>
    </w:p>
    <w:p w14:paraId="11BD6EFE">
      <w:pPr>
        <w:spacing w:line="580" w:lineRule="exact"/>
        <w:ind w:firstLine="640"/>
        <w:jc w:val="both"/>
      </w:pPr>
      <w:r>
        <w:rPr>
          <w:rFonts w:ascii="仿宋_GB2312" w:hAnsi="仿宋_GB2312" w:eastAsia="仿宋_GB2312"/>
          <w:b w:val="0"/>
          <w:sz w:val="32"/>
        </w:rPr>
        <w:t>6.农林水支出(类)农业农村(款)行政运行(项):支出决算数为127.01万元，比上年决算减少57.33万元，下降31.10%,主要原因是：本年在职人员减少，相应人员经费较上年减少。</w:t>
      </w:r>
    </w:p>
    <w:p w14:paraId="30254D4A">
      <w:pPr>
        <w:spacing w:line="580" w:lineRule="exact"/>
        <w:ind w:firstLine="640"/>
        <w:jc w:val="both"/>
      </w:pPr>
      <w:r>
        <w:rPr>
          <w:rFonts w:ascii="仿宋_GB2312" w:hAnsi="仿宋_GB2312" w:eastAsia="仿宋_GB2312"/>
          <w:b w:val="0"/>
          <w:sz w:val="32"/>
        </w:rPr>
        <w:t>7.住房保障支出(类)住房改革支出(款)住房公积金(项):支出决算数为16.77万元，比上年决算增加3.84万元，增长29.70%,主要原因是：本年在职人员工资基数调增，公积金缴费基数上涨，相应支出增加。</w:t>
      </w:r>
    </w:p>
    <w:p w14:paraId="5FC4872A">
      <w:pPr>
        <w:spacing w:line="640" w:lineRule="exact"/>
        <w:ind w:firstLine="640"/>
        <w:jc w:val="both"/>
        <w:outlineLvl w:val="2"/>
      </w:pPr>
      <w:r>
        <w:rPr>
          <w:rFonts w:ascii="黑体" w:hAnsi="黑体" w:eastAsia="黑体"/>
          <w:sz w:val="32"/>
        </w:rPr>
        <w:t>六、一般公共预算财政拨款基本支出决算情况说明</w:t>
      </w:r>
    </w:p>
    <w:p w14:paraId="16473DBA">
      <w:pPr>
        <w:spacing w:line="580" w:lineRule="exact"/>
        <w:ind w:firstLine="640"/>
        <w:jc w:val="both"/>
      </w:pPr>
      <w:r>
        <w:rPr>
          <w:rFonts w:ascii="仿宋_GB2312" w:hAnsi="仿宋_GB2312" w:eastAsia="仿宋_GB2312"/>
          <w:b w:val="0"/>
          <w:sz w:val="32"/>
        </w:rPr>
        <w:t>2024年度一般公共预算财政拨款基本支出193.58万元，其中：</w:t>
      </w:r>
      <w:r>
        <w:rPr>
          <w:rFonts w:ascii="仿宋_GB2312" w:hAnsi="仿宋_GB2312" w:eastAsia="仿宋_GB2312"/>
          <w:b/>
          <w:sz w:val="32"/>
        </w:rPr>
        <w:t>人员经费186.43万元，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包括：基本工资、津贴补贴、奖金、机关事业单位基本养老保险缴费、职工基本医疗保险缴费、公务员医疗补助缴费、其他社会保障缴费、住房公积金、退休费。</w:t>
      </w:r>
    </w:p>
    <w:p w14:paraId="67CFC833">
      <w:pPr>
        <w:spacing w:line="580" w:lineRule="exact"/>
        <w:ind w:firstLine="640"/>
        <w:jc w:val="both"/>
      </w:pPr>
      <w:r>
        <w:rPr>
          <w:rFonts w:ascii="仿宋_GB2312" w:hAnsi="仿宋_GB2312" w:eastAsia="仿宋_GB2312"/>
          <w:b/>
          <w:sz w:val="32"/>
        </w:rPr>
        <w:t>公用经费7.15万元，</w:t>
      </w:r>
      <w:r>
        <w:rPr>
          <w:rFonts w:ascii="仿宋_GB2312" w:hAnsi="仿宋_GB2312" w:eastAsia="仿宋_GB2312"/>
          <w:b w:val="0"/>
          <w:sz w:val="32"/>
        </w:rPr>
        <w:t>包括：办公费、电费、邮电费、差旅费、公务用车运行维护费。</w:t>
      </w:r>
    </w:p>
    <w:p w14:paraId="01B5118F">
      <w:pPr>
        <w:spacing w:line="640" w:lineRule="exact"/>
        <w:ind w:firstLine="640"/>
        <w:jc w:val="both"/>
        <w:outlineLvl w:val="2"/>
      </w:pPr>
      <w:r>
        <w:rPr>
          <w:rFonts w:ascii="黑体" w:hAnsi="黑体" w:eastAsia="黑体"/>
          <w:sz w:val="32"/>
        </w:rPr>
        <w:t>七、政府性基金预算财政拨款收入支出决算情况说明</w:t>
      </w:r>
    </w:p>
    <w:p w14:paraId="33B8CE5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36E03F5">
      <w:pPr>
        <w:spacing w:line="640" w:lineRule="exact"/>
        <w:ind w:firstLine="640"/>
        <w:jc w:val="both"/>
        <w:outlineLvl w:val="2"/>
      </w:pPr>
      <w:r>
        <w:rPr>
          <w:rFonts w:ascii="黑体" w:hAnsi="黑体" w:eastAsia="黑体"/>
          <w:sz w:val="32"/>
        </w:rPr>
        <w:t>八、国有资本经营预算财政拨款收入支出决算情况说明</w:t>
      </w:r>
    </w:p>
    <w:p w14:paraId="3678B91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F7057D5">
      <w:pPr>
        <w:spacing w:line="640" w:lineRule="exact"/>
        <w:ind w:firstLine="640"/>
        <w:jc w:val="both"/>
        <w:outlineLvl w:val="2"/>
      </w:pPr>
      <w:r>
        <w:rPr>
          <w:rFonts w:ascii="黑体" w:hAnsi="黑体" w:eastAsia="黑体"/>
          <w:sz w:val="32"/>
        </w:rPr>
        <w:t>九、财政拨款“三公”经费支出决算情况说明</w:t>
      </w:r>
    </w:p>
    <w:p w14:paraId="45E8EAA7">
      <w:pPr>
        <w:spacing w:line="580" w:lineRule="exact"/>
        <w:ind w:firstLine="640"/>
        <w:jc w:val="both"/>
      </w:pPr>
      <w:r>
        <w:rPr>
          <w:rFonts w:ascii="仿宋_GB2312" w:hAnsi="仿宋_GB2312" w:eastAsia="仿宋_GB2312"/>
          <w:b/>
          <w:sz w:val="32"/>
        </w:rPr>
        <w:t>2024年度财政拨款“三公”经费支出1.41万元，</w:t>
      </w:r>
      <w:r>
        <w:rPr>
          <w:rFonts w:ascii="仿宋_GB2312" w:hAnsi="仿宋_GB2312" w:eastAsia="仿宋_GB2312"/>
          <w:b w:val="0"/>
          <w:sz w:val="32"/>
        </w:rPr>
        <w:t>比上年增加0.05万元，增长3.68%，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1.41万元，占100.00%，比上年增加0.05万元，增长3.68%，主要原因是：本单位公务用车日渐老化，维修维护成本增加，导致公务用车运行维护费较上年增加。公务接待费支出0.00万元，占0.00%，比上年增加0.00万元，增长0.00%，主要原因是：2023年与2024年均未安排公务接待费支出。</w:t>
      </w:r>
    </w:p>
    <w:p w14:paraId="33EDCA47">
      <w:pPr>
        <w:spacing w:line="580" w:lineRule="exact"/>
        <w:ind w:firstLine="640"/>
        <w:jc w:val="both"/>
      </w:pPr>
      <w:r>
        <w:rPr>
          <w:rFonts w:ascii="仿宋_GB2312" w:hAnsi="仿宋_GB2312" w:eastAsia="仿宋_GB2312"/>
          <w:b/>
          <w:sz w:val="32"/>
        </w:rPr>
        <w:t>具体情况如下：</w:t>
      </w:r>
    </w:p>
    <w:p w14:paraId="6A8CE0E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A5FA782">
      <w:pPr>
        <w:spacing w:line="580" w:lineRule="exact"/>
        <w:ind w:firstLine="640"/>
        <w:jc w:val="both"/>
      </w:pPr>
      <w:r>
        <w:rPr>
          <w:rFonts w:ascii="仿宋_GB2312" w:hAnsi="仿宋_GB2312" w:eastAsia="仿宋_GB2312"/>
          <w:b w:val="0"/>
          <w:sz w:val="32"/>
        </w:rPr>
        <w:t>公务用车购置及运行维护费1.41万元，其中：公务用车购置费0.00万元，公务用车运行维护费1.41万元。公务用车运行维护费开支内容包括车辆加油费、维修费、保险费、审车费。公务用车购置数0辆，公务用车保有量2辆。国有资产占用情况中固定资产车辆2辆，与公务用车保有量差异原因是：本单位固定资产车辆与公务用车保有量一致无差异。</w:t>
      </w:r>
    </w:p>
    <w:p w14:paraId="4C3E8C7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4F1B37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1.41万元，决算数1.41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1.41万元，决算数1.41万元，预决算差异率0.00%，主要原因是：严格按照预算执行，预决算无差异。公务接待费全年预算数0.00万元，决算数0.00万元，预决算差异率0.00%，主要原因是：本单位无公务接待费。</w:t>
      </w:r>
    </w:p>
    <w:p w14:paraId="3F805243">
      <w:pPr>
        <w:spacing w:line="640" w:lineRule="exact"/>
        <w:ind w:firstLine="640"/>
        <w:jc w:val="both"/>
        <w:outlineLvl w:val="2"/>
      </w:pPr>
      <w:r>
        <w:rPr>
          <w:rFonts w:ascii="黑体" w:hAnsi="黑体" w:eastAsia="黑体"/>
          <w:sz w:val="32"/>
        </w:rPr>
        <w:t>十、其他重要事项的情况说明</w:t>
      </w:r>
    </w:p>
    <w:p w14:paraId="685051FF">
      <w:pPr>
        <w:spacing w:line="640" w:lineRule="exact"/>
        <w:ind w:firstLine="640"/>
        <w:jc w:val="both"/>
        <w:outlineLvl w:val="3"/>
      </w:pPr>
      <w:r>
        <w:rPr>
          <w:rFonts w:ascii="楷体_GB2312" w:hAnsi="楷体_GB2312" w:eastAsia="楷体_GB2312"/>
          <w:b/>
          <w:sz w:val="32"/>
        </w:rPr>
        <w:t>（一）机关运行经费及公用经费支出情况</w:t>
      </w:r>
    </w:p>
    <w:p w14:paraId="58DB1DCC">
      <w:pPr>
        <w:spacing w:line="580" w:lineRule="exact"/>
        <w:ind w:firstLine="640"/>
        <w:jc w:val="both"/>
      </w:pPr>
      <w:r>
        <w:rPr>
          <w:rFonts w:ascii="仿宋_GB2312" w:hAnsi="仿宋_GB2312" w:eastAsia="仿宋_GB2312"/>
          <w:b w:val="0"/>
          <w:sz w:val="32"/>
        </w:rPr>
        <w:t>2024年度叶城县动物卫生服务站（事业单位）公用经费支出7.15万元，比上年增加3.39万元，增长90.16%，主要原因是：本年业务量增加，公用经费增加。</w:t>
      </w:r>
    </w:p>
    <w:p w14:paraId="451290AD">
      <w:pPr>
        <w:spacing w:line="640" w:lineRule="exact"/>
        <w:ind w:firstLine="640"/>
        <w:jc w:val="both"/>
        <w:outlineLvl w:val="3"/>
      </w:pPr>
      <w:r>
        <w:rPr>
          <w:rFonts w:ascii="楷体_GB2312" w:hAnsi="楷体_GB2312" w:eastAsia="楷体_GB2312"/>
          <w:b/>
          <w:sz w:val="32"/>
        </w:rPr>
        <w:t>（二）政府采购情况</w:t>
      </w:r>
    </w:p>
    <w:p w14:paraId="37F1E7A9">
      <w:pPr>
        <w:spacing w:line="580" w:lineRule="exact"/>
        <w:ind w:firstLine="640"/>
        <w:jc w:val="both"/>
      </w:pPr>
      <w:r>
        <w:rPr>
          <w:rFonts w:ascii="仿宋_GB2312" w:hAnsi="仿宋_GB2312" w:eastAsia="仿宋_GB2312"/>
          <w:b w:val="0"/>
          <w:sz w:val="32"/>
        </w:rPr>
        <w:t>2024年度政府采购支出总额2.13万元，其中：政府采购货物支出2.13万元、政府采购工程支出0.00万元、政府采购服务支出0.00万元。</w:t>
      </w:r>
    </w:p>
    <w:p w14:paraId="77B34669">
      <w:pPr>
        <w:spacing w:line="580" w:lineRule="exact"/>
        <w:ind w:firstLine="640"/>
        <w:jc w:val="both"/>
      </w:pPr>
      <w:r>
        <w:rPr>
          <w:rFonts w:ascii="仿宋_GB2312" w:hAnsi="仿宋_GB2312" w:eastAsia="仿宋_GB2312"/>
          <w:b w:val="0"/>
          <w:sz w:val="32"/>
        </w:rPr>
        <w:t>授予中小企业合同金额1.33万元，占政府采购支出总额的62.44%，其中：授予小微企业合同金额0.77万元，占政府采购支出总额的36.15%。</w:t>
      </w:r>
    </w:p>
    <w:p w14:paraId="4371BB28">
      <w:pPr>
        <w:spacing w:line="640" w:lineRule="exact"/>
        <w:ind w:firstLine="640"/>
        <w:jc w:val="both"/>
        <w:outlineLvl w:val="3"/>
      </w:pPr>
      <w:r>
        <w:rPr>
          <w:rFonts w:ascii="楷体_GB2312" w:hAnsi="楷体_GB2312" w:eastAsia="楷体_GB2312"/>
          <w:b/>
          <w:sz w:val="32"/>
        </w:rPr>
        <w:t>（三）国有资产占用情况说明</w:t>
      </w:r>
    </w:p>
    <w:p w14:paraId="5731FCD2">
      <w:pPr>
        <w:spacing w:line="580" w:lineRule="exact"/>
        <w:ind w:firstLine="640"/>
        <w:jc w:val="both"/>
      </w:pPr>
      <w:r>
        <w:rPr>
          <w:rFonts w:ascii="仿宋_GB2312" w:hAnsi="仿宋_GB2312" w:eastAsia="仿宋_GB2312"/>
          <w:b w:val="0"/>
          <w:sz w:val="32"/>
        </w:rPr>
        <w:t>截至2024年12月31日，房屋0.00平方米，价值0.00万元。车辆2辆，价值22.75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1E677DFB">
      <w:pPr>
        <w:spacing w:line="640" w:lineRule="exact"/>
        <w:ind w:firstLine="640"/>
        <w:jc w:val="both"/>
        <w:outlineLvl w:val="2"/>
      </w:pPr>
      <w:r>
        <w:rPr>
          <w:rFonts w:ascii="黑体" w:hAnsi="黑体" w:eastAsia="黑体"/>
          <w:sz w:val="32"/>
        </w:rPr>
        <w:t>十一、预算绩效的情况说明</w:t>
      </w:r>
    </w:p>
    <w:p w14:paraId="0072CF8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193.58万元，实际执行总额193.58万元；预算绩效评价项目0个，全年预算数0.00万元，全年执行数0.00万元。预算绩效管理取得的成效：本单位本年无项目支出绩效自评表。发现的问题及原因：本单位本年无项目支出绩效自评表。下一步改进措施：本单位本年无项目支出绩效自评表。具体附整体支出绩效自评表。</w:t>
      </w:r>
    </w:p>
    <w:p w14:paraId="07BCDFA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D7E0E87">
        <w:tblPrEx>
          <w:tblCellMar>
            <w:top w:w="0" w:type="dxa"/>
            <w:left w:w="108" w:type="dxa"/>
            <w:bottom w:w="0" w:type="dxa"/>
            <w:right w:w="108" w:type="dxa"/>
          </w:tblCellMar>
        </w:tblPrEx>
        <w:tc>
          <w:tcPr>
            <w:tcW w:w="8847" w:type="dxa"/>
            <w:gridSpan w:val="9"/>
            <w:vAlign w:val="center"/>
          </w:tcPr>
          <w:p w14:paraId="22A6CF41">
            <w:pPr>
              <w:jc w:val="center"/>
            </w:pPr>
            <w:r>
              <w:rPr>
                <w:rFonts w:ascii="宋体" w:hAnsi="宋体" w:eastAsia="宋体"/>
                <w:sz w:val="24"/>
              </w:rPr>
              <w:t>单位整体支出绩效自评表</w:t>
            </w:r>
          </w:p>
        </w:tc>
      </w:tr>
      <w:tr w14:paraId="21188F5B">
        <w:tblPrEx>
          <w:tblCellMar>
            <w:top w:w="0" w:type="dxa"/>
            <w:left w:w="108" w:type="dxa"/>
            <w:bottom w:w="0" w:type="dxa"/>
            <w:right w:w="108" w:type="dxa"/>
          </w:tblCellMar>
        </w:tblPrEx>
        <w:tc>
          <w:tcPr>
            <w:tcW w:w="8847" w:type="dxa"/>
            <w:gridSpan w:val="9"/>
            <w:vAlign w:val="center"/>
          </w:tcPr>
          <w:p w14:paraId="1D21193A">
            <w:pPr>
              <w:jc w:val="center"/>
            </w:pPr>
            <w:r>
              <w:rPr>
                <w:rFonts w:ascii="宋体" w:hAnsi="宋体" w:eastAsia="宋体"/>
                <w:sz w:val="24"/>
              </w:rPr>
              <w:t>（2024年度）</w:t>
            </w:r>
          </w:p>
        </w:tc>
      </w:tr>
      <w:tr w14:paraId="3B00F7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933C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C3815F8">
            <w:pPr>
              <w:jc w:val="center"/>
            </w:pPr>
            <w:r>
              <w:rPr>
                <w:rFonts w:ascii="宋体" w:hAnsi="宋体" w:eastAsia="宋体"/>
                <w:sz w:val="16"/>
              </w:rPr>
              <w:t>叶城县动物卫生服务站</w:t>
            </w:r>
          </w:p>
        </w:tc>
      </w:tr>
      <w:tr w14:paraId="15C430B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3AA1F6">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0B21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EEDC6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B43B2">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47DCA">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356F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890F5">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40D26">
            <w:pPr>
              <w:jc w:val="center"/>
            </w:pPr>
            <w:r>
              <w:rPr>
                <w:rFonts w:ascii="宋体" w:hAnsi="宋体" w:eastAsia="宋体"/>
                <w:sz w:val="16"/>
              </w:rPr>
              <w:t>得分</w:t>
            </w:r>
          </w:p>
        </w:tc>
      </w:tr>
      <w:tr w14:paraId="1B6C66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FF30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1B38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00A80">
            <w:pPr>
              <w:jc w:val="center"/>
            </w:pPr>
            <w:r>
              <w:rPr>
                <w:rFonts w:ascii="宋体" w:hAnsi="宋体" w:eastAsia="宋体"/>
                <w:sz w:val="16"/>
              </w:rPr>
              <w:t>261.16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B1A9A">
            <w:pPr>
              <w:jc w:val="center"/>
            </w:pPr>
            <w:r>
              <w:rPr>
                <w:rFonts w:ascii="宋体" w:hAnsi="宋体" w:eastAsia="宋体"/>
                <w:sz w:val="16"/>
              </w:rPr>
              <w:t>193.58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323D5">
            <w:pPr>
              <w:jc w:val="center"/>
            </w:pPr>
            <w:r>
              <w:rPr>
                <w:rFonts w:ascii="宋体" w:hAnsi="宋体" w:eastAsia="宋体"/>
                <w:sz w:val="16"/>
              </w:rPr>
              <w:t>193.58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734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949AD">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4BE25">
            <w:pPr>
              <w:jc w:val="center"/>
            </w:pPr>
            <w:r>
              <w:rPr>
                <w:rFonts w:ascii="宋体" w:hAnsi="宋体" w:eastAsia="宋体"/>
                <w:sz w:val="16"/>
              </w:rPr>
              <w:t>10</w:t>
            </w:r>
          </w:p>
        </w:tc>
      </w:tr>
      <w:tr w14:paraId="555A7D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121A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7B09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A6B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92F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04E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0F0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64DD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02E01">
            <w:pPr>
              <w:jc w:val="center"/>
            </w:pPr>
            <w:r>
              <w:rPr>
                <w:rFonts w:ascii="宋体" w:hAnsi="宋体" w:eastAsia="宋体"/>
                <w:sz w:val="16"/>
              </w:rPr>
              <w:t>—</w:t>
            </w:r>
          </w:p>
        </w:tc>
      </w:tr>
      <w:tr w14:paraId="4ADF36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560E3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AE78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61DF6">
            <w:pPr>
              <w:jc w:val="center"/>
            </w:pPr>
            <w:r>
              <w:rPr>
                <w:rFonts w:ascii="宋体" w:hAnsi="宋体" w:eastAsia="宋体"/>
                <w:sz w:val="16"/>
              </w:rPr>
              <w:t>261.16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8BD28">
            <w:pPr>
              <w:jc w:val="center"/>
            </w:pPr>
            <w:r>
              <w:rPr>
                <w:rFonts w:ascii="宋体" w:hAnsi="宋体" w:eastAsia="宋体"/>
                <w:sz w:val="16"/>
              </w:rPr>
              <w:t>193.58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DBF8E">
            <w:pPr>
              <w:jc w:val="center"/>
            </w:pPr>
            <w:r>
              <w:rPr>
                <w:rFonts w:ascii="宋体" w:hAnsi="宋体" w:eastAsia="宋体"/>
                <w:sz w:val="16"/>
              </w:rPr>
              <w:t>193.58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F6D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8D8F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0B89F">
            <w:pPr>
              <w:jc w:val="center"/>
            </w:pPr>
            <w:r>
              <w:rPr>
                <w:rFonts w:ascii="宋体" w:hAnsi="宋体" w:eastAsia="宋体"/>
                <w:sz w:val="16"/>
              </w:rPr>
              <w:t>—</w:t>
            </w:r>
          </w:p>
        </w:tc>
      </w:tr>
      <w:tr w14:paraId="2725FC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F734D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5ED3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360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580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40B8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AC3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E2E9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DCA07">
            <w:pPr>
              <w:jc w:val="center"/>
            </w:pPr>
            <w:r>
              <w:rPr>
                <w:rFonts w:ascii="宋体" w:hAnsi="宋体" w:eastAsia="宋体"/>
                <w:sz w:val="16"/>
              </w:rPr>
              <w:t>—</w:t>
            </w:r>
          </w:p>
        </w:tc>
      </w:tr>
      <w:tr w14:paraId="3CE201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38E8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F1434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91F4F9">
            <w:pPr>
              <w:jc w:val="center"/>
            </w:pPr>
            <w:r>
              <w:rPr>
                <w:rFonts w:ascii="宋体" w:hAnsi="宋体" w:eastAsia="宋体"/>
                <w:sz w:val="16"/>
              </w:rPr>
              <w:t>实际完成情况</w:t>
            </w:r>
          </w:p>
        </w:tc>
      </w:tr>
      <w:tr w14:paraId="4374AA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DEE0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9149B6">
            <w:pPr>
              <w:jc w:val="both"/>
            </w:pPr>
            <w:r>
              <w:rPr>
                <w:rFonts w:ascii="宋体" w:hAnsi="宋体" w:eastAsia="宋体"/>
                <w:sz w:val="16"/>
              </w:rPr>
              <w:t>负责全县生猪、牛羊、家禽屠宰检疫、全县动物防疫工作、动物临时消毒检查站查证验物、各活畜交易市场进行监督检疫、查证验物、全县动物防疫技术指导。经组织进行培训不仅帮助专业技术人员，村级动物防疫员，改良人员，规模养殖场负责人员，农牧民群众解决日常养殖过程中出现的技术问题，更进一步提升科学饲养管理水平，疫病诊断治疗技术。提高了广大农牧民改变传统养殖方式的意识，加快科技致富的信心，持续提高了养殖效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DDAD2E">
            <w:pPr>
              <w:jc w:val="both"/>
            </w:pPr>
            <w:bookmarkStart w:id="0" w:name="_GoBack"/>
            <w:r>
              <w:rPr>
                <w:rFonts w:hint="eastAsia" w:ascii="宋体" w:hAnsi="宋体"/>
                <w:sz w:val="16"/>
                <w:lang w:eastAsia="zh-CN"/>
              </w:rPr>
              <w:t>截至2024</w:t>
            </w:r>
            <w:bookmarkEnd w:id="0"/>
            <w:r>
              <w:rPr>
                <w:rFonts w:ascii="宋体" w:hAnsi="宋体" w:eastAsia="宋体"/>
                <w:sz w:val="16"/>
              </w:rPr>
              <w:t>年12月31日，一是提升动物卫生监督能力，建立了“乡镇站（所）检疫员+协检员”为主要模式的基层产地检疫工作机制，设立产地检疫村级报检点30个，规模养殖场（区）产地检疫率达到100%，散养户检疫率保持在90%以上。5个定点屠宰场实行驻场检疫，屠宰检疫率达到100%。库地公路动物防疫监督检查站规范执法，严格把关，动物及动物产品调运监管工作不断强化。二是推进兽用抗菌药使用减量行动。督促指导养殖场（户）严格执行兽用处方药、休药期等制度，服务10场次，已创建地区级减量化达标示范场1个，县级达标示范场2个；三是深入落实兽药经营GSP制度，不断强化兽药经营、使用环节监管力度，严厉打击养殖环节添加违禁药物的违法行为。对全县54家兽药经营企业兽药二维码追溯覆盖率达到90％，开展检查22次，派出检查人员75人次，发现问题整改3条，宣传10场次，发放宣传资料270余份。四是动物及其产品监管，畜禽产地检疫63.54万头/只、羽，屠宰检疫21.57万头/只，调入牲畜15.26万头/只，家禽130.20万羽；调出畜禽24.84万头/只、羽，肉及副产品3.35万吨。五是严把屠宰检疫关。扎实开展屠宰环节的瘦肉精、非洲猪瘟等检测2.8万头只，无害化处理病死畜1877头只，动物产品1.7吨，保障畜产品质量安全。</w:t>
            </w:r>
          </w:p>
        </w:tc>
      </w:tr>
      <w:tr w14:paraId="7BC9A16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D112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B3AB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1AA3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445EC">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41F8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F30C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40A7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82915">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5D2DA">
            <w:pPr>
              <w:jc w:val="center"/>
            </w:pPr>
            <w:r>
              <w:rPr>
                <w:rFonts w:ascii="宋体" w:hAnsi="宋体" w:eastAsia="宋体"/>
                <w:sz w:val="16"/>
              </w:rPr>
              <w:t>得分</w:t>
            </w:r>
          </w:p>
        </w:tc>
      </w:tr>
      <w:tr w14:paraId="00CE1C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C076B">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F95E4">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F1F0C">
            <w:pPr>
              <w:jc w:val="center"/>
            </w:pPr>
            <w:r>
              <w:rPr>
                <w:rFonts w:ascii="宋体" w:hAnsi="宋体" w:eastAsia="宋体"/>
                <w:sz w:val="16"/>
              </w:rPr>
              <w:t>实现存栏牲畜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7D0A9">
            <w:pPr>
              <w:jc w:val="center"/>
            </w:pPr>
            <w:r>
              <w:rPr>
                <w:rFonts w:ascii="宋体" w:hAnsi="宋体" w:eastAsia="宋体"/>
                <w:sz w:val="16"/>
              </w:rPr>
              <w:t>=152万头/只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1921AF">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BA87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52F40">
            <w:pPr>
              <w:jc w:val="center"/>
            </w:pPr>
            <w:r>
              <w:rPr>
                <w:rFonts w:ascii="宋体" w:hAnsi="宋体" w:eastAsia="宋体"/>
                <w:sz w:val="16"/>
              </w:rPr>
              <w:t>152万提/只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2F2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F0C00">
            <w:pPr>
              <w:jc w:val="center"/>
            </w:pPr>
            <w:r>
              <w:rPr>
                <w:rFonts w:ascii="宋体" w:hAnsi="宋体" w:eastAsia="宋体"/>
                <w:sz w:val="16"/>
              </w:rPr>
              <w:t>20</w:t>
            </w:r>
          </w:p>
        </w:tc>
      </w:tr>
      <w:tr w14:paraId="318C15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C4426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9FF0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0155B">
            <w:pPr>
              <w:jc w:val="center"/>
            </w:pPr>
            <w:r>
              <w:rPr>
                <w:rFonts w:ascii="宋体" w:hAnsi="宋体" w:eastAsia="宋体"/>
                <w:sz w:val="16"/>
              </w:rPr>
              <w:t>实现家禽存栏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70C12">
            <w:pPr>
              <w:jc w:val="center"/>
            </w:pPr>
            <w:r>
              <w:rPr>
                <w:rFonts w:ascii="宋体" w:hAnsi="宋体" w:eastAsia="宋体"/>
                <w:sz w:val="16"/>
              </w:rPr>
              <w:t>=621.23万只/羽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A470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A150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72FBE">
            <w:pPr>
              <w:jc w:val="center"/>
            </w:pPr>
            <w:r>
              <w:rPr>
                <w:rFonts w:ascii="宋体" w:hAnsi="宋体" w:eastAsia="宋体"/>
                <w:sz w:val="16"/>
              </w:rPr>
              <w:t>621.23万只/羽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3B93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1C216">
            <w:pPr>
              <w:jc w:val="center"/>
            </w:pPr>
            <w:r>
              <w:rPr>
                <w:rFonts w:ascii="宋体" w:hAnsi="宋体" w:eastAsia="宋体"/>
                <w:sz w:val="16"/>
              </w:rPr>
              <w:t>20</w:t>
            </w:r>
          </w:p>
        </w:tc>
      </w:tr>
      <w:tr w14:paraId="66578C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70CC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F264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49994">
            <w:pPr>
              <w:jc w:val="center"/>
            </w:pPr>
            <w:r>
              <w:rPr>
                <w:rFonts w:ascii="宋体" w:hAnsi="宋体" w:eastAsia="宋体"/>
                <w:sz w:val="16"/>
              </w:rPr>
              <w:t>肉产量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847F9">
            <w:pPr>
              <w:jc w:val="center"/>
            </w:pPr>
            <w:r>
              <w:rPr>
                <w:rFonts w:ascii="宋体" w:hAnsi="宋体" w:eastAsia="宋体"/>
                <w:sz w:val="16"/>
              </w:rPr>
              <w:t>&gt;=4.43万吨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E183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B3CB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C54E1">
            <w:pPr>
              <w:jc w:val="center"/>
            </w:pPr>
            <w:r>
              <w:rPr>
                <w:rFonts w:ascii="宋体" w:hAnsi="宋体" w:eastAsia="宋体"/>
                <w:sz w:val="16"/>
              </w:rPr>
              <w:t>4.43万吨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0E3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06BED">
            <w:pPr>
              <w:jc w:val="center"/>
            </w:pPr>
            <w:r>
              <w:rPr>
                <w:rFonts w:ascii="宋体" w:hAnsi="宋体" w:eastAsia="宋体"/>
                <w:sz w:val="16"/>
              </w:rPr>
              <w:t>20</w:t>
            </w:r>
          </w:p>
        </w:tc>
      </w:tr>
      <w:tr w14:paraId="39E745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64B99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1683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12051">
            <w:pPr>
              <w:jc w:val="center"/>
            </w:pPr>
            <w:r>
              <w:rPr>
                <w:rFonts w:ascii="宋体" w:hAnsi="宋体" w:eastAsia="宋体"/>
                <w:sz w:val="16"/>
              </w:rPr>
              <w:t>蛋产量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57ACF">
            <w:pPr>
              <w:jc w:val="center"/>
            </w:pPr>
            <w:r>
              <w:rPr>
                <w:rFonts w:ascii="宋体" w:hAnsi="宋体" w:eastAsia="宋体"/>
                <w:sz w:val="16"/>
              </w:rPr>
              <w:t>&gt;=0.66万吨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7357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6456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BF6FD">
            <w:pPr>
              <w:jc w:val="center"/>
            </w:pPr>
            <w:r>
              <w:rPr>
                <w:rFonts w:ascii="宋体" w:hAnsi="宋体" w:eastAsia="宋体"/>
                <w:sz w:val="16"/>
              </w:rPr>
              <w:t>0.66万吨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FFB8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27A4B">
            <w:pPr>
              <w:jc w:val="center"/>
            </w:pPr>
            <w:r>
              <w:rPr>
                <w:rFonts w:ascii="宋体" w:hAnsi="宋体" w:eastAsia="宋体"/>
                <w:sz w:val="16"/>
              </w:rPr>
              <w:t>10</w:t>
            </w:r>
          </w:p>
        </w:tc>
      </w:tr>
      <w:tr w14:paraId="168548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37EE4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F16B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5FC53">
            <w:pPr>
              <w:jc w:val="center"/>
            </w:pPr>
            <w:r>
              <w:rPr>
                <w:rFonts w:ascii="宋体" w:hAnsi="宋体" w:eastAsia="宋体"/>
                <w:sz w:val="16"/>
              </w:rPr>
              <w:t>全县动物防疫、检疫工作覆盖率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D1A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99F40">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4DF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A69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F11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3E410">
            <w:pPr>
              <w:jc w:val="center"/>
            </w:pPr>
            <w:r>
              <w:rPr>
                <w:rFonts w:ascii="宋体" w:hAnsi="宋体" w:eastAsia="宋体"/>
                <w:sz w:val="16"/>
              </w:rPr>
              <w:t>10</w:t>
            </w:r>
          </w:p>
        </w:tc>
      </w:tr>
      <w:tr w14:paraId="0D3127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5F3F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DFB2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A9760">
            <w:pPr>
              <w:jc w:val="center"/>
            </w:pPr>
            <w:r>
              <w:rPr>
                <w:rFonts w:ascii="宋体" w:hAnsi="宋体" w:eastAsia="宋体"/>
                <w:sz w:val="16"/>
              </w:rPr>
              <w:t>对各活畜交易市场进行监督检疫</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9489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5538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617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346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57F1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ED4F3">
            <w:pPr>
              <w:jc w:val="center"/>
            </w:pPr>
            <w:r>
              <w:rPr>
                <w:rFonts w:ascii="宋体" w:hAnsi="宋体" w:eastAsia="宋体"/>
                <w:sz w:val="16"/>
              </w:rPr>
              <w:t>10</w:t>
            </w:r>
          </w:p>
        </w:tc>
      </w:tr>
    </w:tbl>
    <w:p w14:paraId="4C49AD96">
      <w:r>
        <w:br w:type="page"/>
      </w:r>
    </w:p>
    <w:p w14:paraId="49EE2DE9">
      <w:pPr>
        <w:spacing w:line="640" w:lineRule="exact"/>
        <w:ind w:firstLine="640"/>
        <w:jc w:val="both"/>
        <w:outlineLvl w:val="2"/>
      </w:pPr>
      <w:r>
        <w:rPr>
          <w:rFonts w:ascii="黑体" w:hAnsi="黑体" w:eastAsia="黑体"/>
          <w:sz w:val="32"/>
        </w:rPr>
        <w:t>十二、其他需说明的事项</w:t>
      </w:r>
    </w:p>
    <w:p w14:paraId="59139281">
      <w:pPr>
        <w:spacing w:line="580" w:lineRule="exact"/>
        <w:ind w:firstLine="640"/>
        <w:jc w:val="both"/>
      </w:pPr>
      <w:r>
        <w:rPr>
          <w:rFonts w:ascii="仿宋_GB2312" w:hAnsi="仿宋_GB2312" w:eastAsia="仿宋_GB2312"/>
          <w:b w:val="0"/>
          <w:sz w:val="32"/>
        </w:rPr>
        <w:t>本单位无其他需说明的事项。</w:t>
      </w:r>
    </w:p>
    <w:p w14:paraId="05A0F9AA">
      <w:r>
        <w:br w:type="page"/>
      </w:r>
    </w:p>
    <w:p w14:paraId="5E4DB149">
      <w:pPr>
        <w:spacing w:line="240" w:lineRule="auto"/>
        <w:jc w:val="center"/>
        <w:outlineLvl w:val="1"/>
      </w:pPr>
      <w:r>
        <w:rPr>
          <w:rFonts w:ascii="黑体" w:hAnsi="黑体" w:eastAsia="黑体"/>
          <w:sz w:val="32"/>
        </w:rPr>
        <w:t>第三部分 专业名词解释</w:t>
      </w:r>
    </w:p>
    <w:p w14:paraId="67FE12E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4951F6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B1A402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E9D69C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23272C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A32259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073191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FAA31F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40A9E1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72442E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CCC1A5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C14BAE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5920AF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11D3EA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2FA8BAA">
      <w:r>
        <w:br w:type="page"/>
      </w:r>
    </w:p>
    <w:p w14:paraId="5C436DFC">
      <w:pPr>
        <w:spacing w:line="240" w:lineRule="auto"/>
        <w:jc w:val="center"/>
        <w:outlineLvl w:val="1"/>
      </w:pPr>
      <w:r>
        <w:rPr>
          <w:rFonts w:ascii="黑体" w:hAnsi="黑体" w:eastAsia="黑体"/>
          <w:sz w:val="32"/>
        </w:rPr>
        <w:t>第四部分 部门决算报表（见附表）</w:t>
      </w:r>
    </w:p>
    <w:p w14:paraId="628672F7">
      <w:pPr>
        <w:spacing w:line="240" w:lineRule="auto"/>
        <w:ind w:firstLine="640"/>
        <w:jc w:val="both"/>
      </w:pPr>
      <w:r>
        <w:rPr>
          <w:rFonts w:ascii="仿宋_GB2312" w:hAnsi="仿宋_GB2312" w:eastAsia="仿宋_GB2312"/>
          <w:b w:val="0"/>
          <w:sz w:val="32"/>
        </w:rPr>
        <w:t>一、《收入支出决算总表》</w:t>
      </w:r>
    </w:p>
    <w:p w14:paraId="78B4B243">
      <w:pPr>
        <w:spacing w:line="240" w:lineRule="auto"/>
        <w:ind w:firstLine="640"/>
        <w:jc w:val="both"/>
      </w:pPr>
      <w:r>
        <w:rPr>
          <w:rFonts w:ascii="仿宋_GB2312" w:hAnsi="仿宋_GB2312" w:eastAsia="仿宋_GB2312"/>
          <w:b w:val="0"/>
          <w:sz w:val="32"/>
        </w:rPr>
        <w:t>二、《收入决算表》</w:t>
      </w:r>
    </w:p>
    <w:p w14:paraId="5AE41FB1">
      <w:pPr>
        <w:spacing w:line="240" w:lineRule="auto"/>
        <w:ind w:firstLine="640"/>
        <w:jc w:val="both"/>
      </w:pPr>
      <w:r>
        <w:rPr>
          <w:rFonts w:ascii="仿宋_GB2312" w:hAnsi="仿宋_GB2312" w:eastAsia="仿宋_GB2312"/>
          <w:b w:val="0"/>
          <w:sz w:val="32"/>
        </w:rPr>
        <w:t>三、《支出决算表》</w:t>
      </w:r>
    </w:p>
    <w:p w14:paraId="7D641F50">
      <w:pPr>
        <w:spacing w:line="240" w:lineRule="auto"/>
        <w:ind w:firstLine="640"/>
        <w:jc w:val="both"/>
      </w:pPr>
      <w:r>
        <w:rPr>
          <w:rFonts w:ascii="仿宋_GB2312" w:hAnsi="仿宋_GB2312" w:eastAsia="仿宋_GB2312"/>
          <w:b w:val="0"/>
          <w:sz w:val="32"/>
        </w:rPr>
        <w:t>四、《财政拨款收入支出决算总表》</w:t>
      </w:r>
    </w:p>
    <w:p w14:paraId="2A8C6025">
      <w:pPr>
        <w:spacing w:line="240" w:lineRule="auto"/>
        <w:ind w:firstLine="640"/>
        <w:jc w:val="both"/>
      </w:pPr>
      <w:r>
        <w:rPr>
          <w:rFonts w:ascii="仿宋_GB2312" w:hAnsi="仿宋_GB2312" w:eastAsia="仿宋_GB2312"/>
          <w:b w:val="0"/>
          <w:sz w:val="32"/>
        </w:rPr>
        <w:t>五、《一般公共预算财政拨款支出决算表》</w:t>
      </w:r>
    </w:p>
    <w:p w14:paraId="0F15E2C6">
      <w:pPr>
        <w:spacing w:line="240" w:lineRule="auto"/>
        <w:ind w:firstLine="640"/>
        <w:jc w:val="both"/>
      </w:pPr>
      <w:r>
        <w:rPr>
          <w:rFonts w:ascii="仿宋_GB2312" w:hAnsi="仿宋_GB2312" w:eastAsia="仿宋_GB2312"/>
          <w:b w:val="0"/>
          <w:sz w:val="32"/>
        </w:rPr>
        <w:t>六、《一般公共预算财政拨款基本支出决算表》</w:t>
      </w:r>
    </w:p>
    <w:p w14:paraId="645B14B0">
      <w:pPr>
        <w:spacing w:line="240" w:lineRule="auto"/>
        <w:ind w:firstLine="640"/>
        <w:jc w:val="both"/>
      </w:pPr>
      <w:r>
        <w:rPr>
          <w:rFonts w:ascii="仿宋_GB2312" w:hAnsi="仿宋_GB2312" w:eastAsia="仿宋_GB2312"/>
          <w:b w:val="0"/>
          <w:sz w:val="32"/>
        </w:rPr>
        <w:t>七、《政府性基金预算财政拨款收入支出决算表》</w:t>
      </w:r>
    </w:p>
    <w:p w14:paraId="2A69D13A">
      <w:pPr>
        <w:spacing w:line="240" w:lineRule="auto"/>
        <w:ind w:firstLine="640"/>
        <w:jc w:val="both"/>
      </w:pPr>
      <w:r>
        <w:rPr>
          <w:rFonts w:ascii="仿宋_GB2312" w:hAnsi="仿宋_GB2312" w:eastAsia="仿宋_GB2312"/>
          <w:b w:val="0"/>
          <w:sz w:val="32"/>
        </w:rPr>
        <w:t>八、《国有资本经营预算财政拨款收入支出决算表》</w:t>
      </w:r>
    </w:p>
    <w:p w14:paraId="07780AE3">
      <w:pPr>
        <w:spacing w:line="240" w:lineRule="auto"/>
        <w:ind w:firstLine="640"/>
        <w:jc w:val="both"/>
      </w:pPr>
      <w:r>
        <w:rPr>
          <w:rFonts w:ascii="仿宋_GB2312" w:hAnsi="仿宋_GB2312" w:eastAsia="仿宋_GB2312"/>
          <w:b w:val="0"/>
          <w:sz w:val="32"/>
        </w:rPr>
        <w:t>九、《财政拨款“三公”经费支出决算表》</w:t>
      </w:r>
    </w:p>
    <w:p w14:paraId="08AAAADE">
      <w:pPr>
        <w:spacing w:line="240" w:lineRule="auto"/>
        <w:ind w:firstLine="640"/>
        <w:jc w:val="both"/>
      </w:pPr>
    </w:p>
    <w:p w14:paraId="0D45846E">
      <w:pPr>
        <w:spacing w:line="240" w:lineRule="auto"/>
        <w:ind w:firstLine="640"/>
        <w:jc w:val="both"/>
      </w:pPr>
    </w:p>
    <w:p w14:paraId="73FAE0FF">
      <w:pPr>
        <w:spacing w:line="240" w:lineRule="auto"/>
        <w:ind w:firstLine="640"/>
        <w:jc w:val="both"/>
      </w:pPr>
    </w:p>
    <w:p w14:paraId="34B4C2AA">
      <w:pPr>
        <w:spacing w:line="240" w:lineRule="auto"/>
        <w:ind w:firstLine="640"/>
        <w:jc w:val="both"/>
      </w:pPr>
    </w:p>
    <w:p w14:paraId="7DD6570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0C27712"/>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3898</Words>
  <Characters>4520</Characters>
  <Lines>0</Lines>
  <Paragraphs>0</Paragraphs>
  <TotalTime>0</TotalTime>
  <ScaleCrop>false</ScaleCrop>
  <LinksUpToDate>false</LinksUpToDate>
  <CharactersWithSpaces>4528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2025-09-29T04:21:22Z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