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叶城县园艺工作站2024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5564976B">
      <w:r>
        <w:br w:type="page"/>
      </w:r>
    </w:p>
    <w:p w14:paraId="14884D44">
      <w:pPr>
        <w:spacing w:line="640" w:lineRule="exact"/>
        <w:jc w:val="center"/>
        <w:outlineLvl w:val="1"/>
      </w:pPr>
      <w:r>
        <w:rPr>
          <w:rFonts w:ascii="黑体" w:hAnsi="黑体" w:eastAsia="黑体"/>
          <w:sz w:val="32"/>
        </w:rPr>
        <w:t>第一部分 单位概况</w:t>
      </w:r>
    </w:p>
    <w:p w14:paraId="7CDE7B0C">
      <w:pPr>
        <w:spacing w:line="640" w:lineRule="exact"/>
        <w:ind w:firstLine="640"/>
        <w:jc w:val="both"/>
        <w:outlineLvl w:val="2"/>
      </w:pPr>
      <w:r>
        <w:rPr>
          <w:rFonts w:ascii="黑体" w:hAnsi="黑体" w:eastAsia="黑体"/>
          <w:sz w:val="32"/>
        </w:rPr>
        <w:t>一、主要职能</w:t>
      </w:r>
    </w:p>
    <w:p w14:paraId="5D97C7AA">
      <w:pPr>
        <w:spacing w:line="580" w:lineRule="exact"/>
        <w:ind w:firstLine="640"/>
        <w:jc w:val="both"/>
      </w:pPr>
      <w:r>
        <w:rPr>
          <w:rFonts w:ascii="仿宋_GB2312" w:hAnsi="仿宋_GB2312" w:eastAsia="仿宋_GB2312"/>
          <w:sz w:val="32"/>
        </w:rPr>
        <w:t>参与制定全县农业及农村经济工作发展规划，并将科研成果及实用技术应用于设施农业生产，促使设施农业增产增效，保障设施农业的持续快速发展，实现设施农业现代化；组织全县各乡（镇）设施农业技术培训，提高科技在设施农业生产中的含量；指导全县设施农业生产技术应用、各种蔬菜大棚病虫害防治，提供设施农业新技术、信息服务；对蔬菜的新品种、栽培新技术进行试验、示范及推广，为设施农业生产持续健康发展提供可靠依据。</w:t>
      </w:r>
    </w:p>
    <w:p w14:paraId="18D31316">
      <w:pPr>
        <w:spacing w:line="640" w:lineRule="exact"/>
        <w:ind w:firstLine="640"/>
        <w:jc w:val="both"/>
        <w:outlineLvl w:val="2"/>
      </w:pPr>
      <w:r>
        <w:rPr>
          <w:rFonts w:ascii="黑体" w:hAnsi="黑体" w:eastAsia="黑体"/>
          <w:sz w:val="32"/>
        </w:rPr>
        <w:t>二、机构设置及人员情况</w:t>
      </w:r>
    </w:p>
    <w:p w14:paraId="27C4A7A4">
      <w:pPr>
        <w:spacing w:line="580" w:lineRule="exact"/>
        <w:ind w:firstLine="640"/>
        <w:jc w:val="both"/>
      </w:pPr>
      <w:r>
        <w:rPr>
          <w:rFonts w:ascii="仿宋_GB2312" w:hAnsi="仿宋_GB2312" w:eastAsia="仿宋_GB2312"/>
          <w:sz w:val="32"/>
        </w:rPr>
        <w:t>叶城县园艺工作站2024年度，实有人数21人，其中：在职人员12人，减少3人；离休人员0人，增加0人；退休人员9人,增加3人。</w:t>
      </w:r>
    </w:p>
    <w:p w14:paraId="19C00470">
      <w:pPr>
        <w:spacing w:line="580" w:lineRule="exact"/>
        <w:ind w:firstLine="640"/>
        <w:jc w:val="both"/>
      </w:pPr>
      <w:r>
        <w:rPr>
          <w:rFonts w:ascii="仿宋_GB2312" w:hAnsi="仿宋_GB2312" w:eastAsia="仿宋_GB2312"/>
          <w:sz w:val="32"/>
        </w:rPr>
        <w:t>叶城县园艺工作站无下属预算单位，下设3个科室，分别是：办公室、财务室、党建办公室。</w:t>
      </w:r>
    </w:p>
    <w:p w14:paraId="4F9A388F">
      <w:r>
        <w:br w:type="page"/>
      </w:r>
    </w:p>
    <w:p w14:paraId="63E7DF20">
      <w:pPr>
        <w:spacing w:line="240" w:lineRule="auto"/>
        <w:jc w:val="center"/>
        <w:outlineLvl w:val="1"/>
      </w:pPr>
      <w:r>
        <w:rPr>
          <w:rFonts w:ascii="黑体" w:hAnsi="黑体" w:eastAsia="黑体"/>
          <w:sz w:val="32"/>
        </w:rPr>
        <w:t>第二部分 部门决算情况说明</w:t>
      </w:r>
    </w:p>
    <w:p w14:paraId="4BEB6741">
      <w:pPr>
        <w:spacing w:line="640" w:lineRule="exact"/>
        <w:ind w:firstLine="640"/>
        <w:jc w:val="both"/>
        <w:outlineLvl w:val="2"/>
      </w:pPr>
      <w:r>
        <w:rPr>
          <w:rFonts w:ascii="黑体" w:hAnsi="黑体" w:eastAsia="黑体"/>
          <w:sz w:val="32"/>
        </w:rPr>
        <w:t>一、收入支出决算总体情况说明</w:t>
      </w:r>
    </w:p>
    <w:p w14:paraId="325DA623">
      <w:pPr>
        <w:spacing w:line="580" w:lineRule="exact"/>
        <w:ind w:firstLine="640"/>
        <w:jc w:val="both"/>
      </w:pPr>
      <w:r>
        <w:rPr>
          <w:rFonts w:ascii="仿宋_GB2312" w:hAnsi="仿宋_GB2312" w:eastAsia="仿宋_GB2312"/>
          <w:b/>
          <w:sz w:val="32"/>
        </w:rPr>
        <w:t>2024年度收入总计1,698.51万元，</w:t>
      </w:r>
      <w:r>
        <w:rPr>
          <w:rFonts w:ascii="仿宋_GB2312" w:hAnsi="仿宋_GB2312" w:eastAsia="仿宋_GB2312"/>
          <w:b w:val="0"/>
          <w:sz w:val="32"/>
        </w:rPr>
        <w:t>其中：本年收入合计1,698.51万元，使用非财政拨款结余（含专用结余）0.00万元，年初结转和结余0.00万元。</w:t>
      </w:r>
    </w:p>
    <w:p w14:paraId="676AD6C0">
      <w:pPr>
        <w:spacing w:line="580" w:lineRule="exact"/>
        <w:ind w:firstLine="640"/>
        <w:jc w:val="both"/>
      </w:pPr>
      <w:r>
        <w:rPr>
          <w:rFonts w:ascii="仿宋_GB2312" w:hAnsi="仿宋_GB2312" w:eastAsia="仿宋_GB2312"/>
          <w:b/>
          <w:sz w:val="32"/>
        </w:rPr>
        <w:t>2024年度支出总计1,698.51万元，</w:t>
      </w:r>
      <w:r>
        <w:rPr>
          <w:rFonts w:ascii="仿宋_GB2312" w:hAnsi="仿宋_GB2312" w:eastAsia="仿宋_GB2312"/>
          <w:b w:val="0"/>
          <w:sz w:val="32"/>
        </w:rPr>
        <w:t>其中：本年支出合计1,698.51万元，结余分配0.00万元，年末结转和结余0.00万元。</w:t>
      </w:r>
    </w:p>
    <w:p w14:paraId="7AC46BD1">
      <w:pPr>
        <w:spacing w:line="580" w:lineRule="exact"/>
        <w:ind w:firstLine="640"/>
        <w:jc w:val="both"/>
      </w:pPr>
      <w:r>
        <w:rPr>
          <w:rFonts w:ascii="仿宋_GB2312" w:hAnsi="仿宋_GB2312" w:eastAsia="仿宋_GB2312"/>
          <w:b w:val="0"/>
          <w:sz w:val="32"/>
        </w:rPr>
        <w:t>收入支出总体与上年相比，减少7,929.52万元，下降82.36%，主要原因是：本年减少叶城县戈壁产业设施大棚建设项目、2023年中央农业经营主体能力提升资金</w:t>
      </w:r>
      <w:r>
        <w:rPr>
          <w:rFonts w:hint="eastAsia" w:ascii="仿宋_GB2312" w:hAnsi="仿宋_GB2312" w:eastAsia="仿宋_GB2312"/>
          <w:b w:val="0"/>
          <w:sz w:val="32"/>
          <w:lang w:eastAsia="zh-CN"/>
        </w:rPr>
        <w:t>－</w:t>
      </w:r>
      <w:r>
        <w:rPr>
          <w:rFonts w:ascii="仿宋_GB2312" w:hAnsi="仿宋_GB2312" w:eastAsia="仿宋_GB2312"/>
          <w:b w:val="0"/>
          <w:sz w:val="32"/>
        </w:rPr>
        <w:t>新型农业主体培育</w:t>
      </w:r>
      <w:r>
        <w:rPr>
          <w:rFonts w:hint="eastAsia" w:ascii="仿宋_GB2312" w:hAnsi="仿宋_GB2312" w:eastAsia="仿宋_GB2312"/>
          <w:b w:val="0"/>
          <w:sz w:val="32"/>
          <w:lang w:eastAsia="zh-CN"/>
        </w:rPr>
        <w:t>－</w:t>
      </w:r>
      <w:r>
        <w:rPr>
          <w:rFonts w:ascii="仿宋_GB2312" w:hAnsi="仿宋_GB2312" w:eastAsia="仿宋_GB2312"/>
          <w:b w:val="0"/>
          <w:sz w:val="32"/>
        </w:rPr>
        <w:t>生产设施条件改善资金项目、叶城县戈壁产业园附属设施配套项目。</w:t>
      </w:r>
    </w:p>
    <w:p w14:paraId="754D541E">
      <w:pPr>
        <w:spacing w:line="640" w:lineRule="exact"/>
        <w:ind w:firstLine="640"/>
        <w:jc w:val="both"/>
        <w:outlineLvl w:val="2"/>
      </w:pPr>
      <w:r>
        <w:rPr>
          <w:rFonts w:ascii="黑体" w:hAnsi="黑体" w:eastAsia="黑体"/>
          <w:sz w:val="32"/>
        </w:rPr>
        <w:t>二、收入决算情况说明</w:t>
      </w:r>
    </w:p>
    <w:p w14:paraId="283352F8">
      <w:pPr>
        <w:spacing w:line="580" w:lineRule="exact"/>
        <w:ind w:firstLine="640"/>
        <w:jc w:val="both"/>
      </w:pPr>
      <w:r>
        <w:rPr>
          <w:rFonts w:ascii="仿宋_GB2312" w:hAnsi="仿宋_GB2312" w:eastAsia="仿宋_GB2312"/>
          <w:b/>
          <w:sz w:val="32"/>
        </w:rPr>
        <w:t>本年收入1,698.51万元，</w:t>
      </w:r>
      <w:r>
        <w:rPr>
          <w:rFonts w:ascii="仿宋_GB2312" w:hAnsi="仿宋_GB2312" w:eastAsia="仿宋_GB2312"/>
          <w:b w:val="0"/>
          <w:sz w:val="32"/>
        </w:rPr>
        <w:t>其中：财政拨款收入1,689.74万元，占99.48%；上级补助收入0.00万元，占0.00%；事业收入0.00万元，占0.00%；经营收入0.00万元，占0.00%；附属单位上缴收入0.00万元，占0.00%；其他收入8.77万元，占0.52%。</w:t>
      </w:r>
    </w:p>
    <w:p w14:paraId="731860C0">
      <w:pPr>
        <w:spacing w:line="640" w:lineRule="exact"/>
        <w:ind w:firstLine="640"/>
        <w:jc w:val="both"/>
        <w:outlineLvl w:val="2"/>
      </w:pPr>
      <w:r>
        <w:rPr>
          <w:rFonts w:ascii="黑体" w:hAnsi="黑体" w:eastAsia="黑体"/>
          <w:sz w:val="32"/>
        </w:rPr>
        <w:t>三、支出决算情况说明</w:t>
      </w:r>
    </w:p>
    <w:p w14:paraId="38398142">
      <w:pPr>
        <w:spacing w:line="580" w:lineRule="exact"/>
        <w:ind w:firstLine="640"/>
        <w:jc w:val="both"/>
      </w:pPr>
      <w:r>
        <w:rPr>
          <w:rFonts w:ascii="仿宋_GB2312" w:hAnsi="仿宋_GB2312" w:eastAsia="仿宋_GB2312"/>
          <w:b/>
          <w:sz w:val="32"/>
        </w:rPr>
        <w:t>本年支出1,698.51万元，</w:t>
      </w:r>
      <w:r>
        <w:rPr>
          <w:rFonts w:ascii="仿宋_GB2312" w:hAnsi="仿宋_GB2312" w:eastAsia="仿宋_GB2312"/>
          <w:b w:val="0"/>
          <w:sz w:val="32"/>
        </w:rPr>
        <w:t>其中：基本支出382.21万元，占22.50%；项目支出1,316.30万元，占77.50%；上缴上级支出0.00万元，占0.00%；经营支出0.00万元，占0.00%；对附属单位补助支出0.00万元，占0.00%。</w:t>
      </w:r>
    </w:p>
    <w:p w14:paraId="5764287D">
      <w:pPr>
        <w:spacing w:line="640" w:lineRule="exact"/>
        <w:ind w:firstLine="640"/>
        <w:jc w:val="both"/>
        <w:outlineLvl w:val="2"/>
      </w:pPr>
      <w:r>
        <w:rPr>
          <w:rFonts w:ascii="黑体" w:hAnsi="黑体" w:eastAsia="黑体"/>
          <w:sz w:val="32"/>
        </w:rPr>
        <w:t>四、财政拨款收入支出决算总体情况说明</w:t>
      </w:r>
    </w:p>
    <w:p w14:paraId="58C399C7">
      <w:pPr>
        <w:spacing w:line="580" w:lineRule="exact"/>
        <w:ind w:firstLine="640"/>
        <w:jc w:val="both"/>
      </w:pPr>
      <w:r>
        <w:rPr>
          <w:rFonts w:ascii="仿宋_GB2312" w:hAnsi="仿宋_GB2312" w:eastAsia="仿宋_GB2312"/>
          <w:b/>
          <w:sz w:val="32"/>
        </w:rPr>
        <w:t>2024年度财政拨款收入总计1,689.74万元，</w:t>
      </w:r>
      <w:r>
        <w:rPr>
          <w:rFonts w:ascii="仿宋_GB2312" w:hAnsi="仿宋_GB2312" w:eastAsia="仿宋_GB2312"/>
          <w:b w:val="0"/>
          <w:sz w:val="32"/>
        </w:rPr>
        <w:t>其中：年初财政拨款结转和结余0.00万元，本年财政拨款收入1,689.74万元。</w:t>
      </w:r>
      <w:r>
        <w:rPr>
          <w:rFonts w:ascii="仿宋_GB2312" w:hAnsi="仿宋_GB2312" w:eastAsia="仿宋_GB2312"/>
          <w:b/>
          <w:sz w:val="32"/>
        </w:rPr>
        <w:t>财政拨款支出总计1,689.74万元，</w:t>
      </w:r>
      <w:r>
        <w:rPr>
          <w:rFonts w:ascii="仿宋_GB2312" w:hAnsi="仿宋_GB2312" w:eastAsia="仿宋_GB2312"/>
          <w:b w:val="0"/>
          <w:sz w:val="32"/>
        </w:rPr>
        <w:t>其中：年末财政拨款结转和结余0.00万元，本年财政拨款支出1,689.74万元。</w:t>
      </w:r>
    </w:p>
    <w:p w14:paraId="1D7A4688">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减少7,902.39万元，下降82.38%，主要原因是：本年减少叶城县戈壁产业设施大棚建设项目、2023年中央农业经营主体能力提升资金</w:t>
      </w:r>
      <w:r>
        <w:rPr>
          <w:rFonts w:hint="eastAsia" w:ascii="仿宋_GB2312" w:hAnsi="仿宋_GB2312" w:eastAsia="仿宋_GB2312"/>
          <w:b w:val="0"/>
          <w:sz w:val="32"/>
          <w:lang w:eastAsia="zh-CN"/>
        </w:rPr>
        <w:t>－</w:t>
      </w:r>
      <w:r>
        <w:rPr>
          <w:rFonts w:ascii="仿宋_GB2312" w:hAnsi="仿宋_GB2312" w:eastAsia="仿宋_GB2312"/>
          <w:b w:val="0"/>
          <w:sz w:val="32"/>
        </w:rPr>
        <w:t>新型农业主体培育</w:t>
      </w:r>
      <w:r>
        <w:rPr>
          <w:rFonts w:hint="eastAsia" w:ascii="仿宋_GB2312" w:hAnsi="仿宋_GB2312" w:eastAsia="仿宋_GB2312"/>
          <w:b w:val="0"/>
          <w:sz w:val="32"/>
          <w:lang w:eastAsia="zh-CN"/>
        </w:rPr>
        <w:t>－</w:t>
      </w:r>
      <w:r>
        <w:rPr>
          <w:rFonts w:ascii="仿宋_GB2312" w:hAnsi="仿宋_GB2312" w:eastAsia="仿宋_GB2312"/>
          <w:b w:val="0"/>
          <w:sz w:val="32"/>
        </w:rPr>
        <w:t>生产设施条件改善资金项目、叶城县戈壁产业园附属设施配套项目。</w:t>
      </w:r>
      <w:r>
        <w:rPr>
          <w:rFonts w:ascii="仿宋_GB2312" w:hAnsi="仿宋_GB2312" w:eastAsia="仿宋_GB2312"/>
          <w:b/>
          <w:sz w:val="32"/>
        </w:rPr>
        <w:t>与年初预算相比，</w:t>
      </w:r>
      <w:r>
        <w:rPr>
          <w:rFonts w:ascii="仿宋_GB2312" w:hAnsi="仿宋_GB2312" w:eastAsia="仿宋_GB2312"/>
          <w:b w:val="0"/>
          <w:sz w:val="32"/>
        </w:rPr>
        <w:t>年初预算数1,531.00万元，决算数1,689.74万元，预决算差异率10.37%，主要原因是：年中追加叶城县洛克乡特色产业设施林果温室种植土换填建设项目。</w:t>
      </w:r>
    </w:p>
    <w:p w14:paraId="3073900E">
      <w:pPr>
        <w:spacing w:line="640" w:lineRule="exact"/>
        <w:ind w:firstLine="640"/>
        <w:jc w:val="both"/>
        <w:outlineLvl w:val="2"/>
      </w:pPr>
      <w:r>
        <w:rPr>
          <w:rFonts w:ascii="黑体" w:hAnsi="黑体" w:eastAsia="黑体"/>
          <w:sz w:val="32"/>
        </w:rPr>
        <w:t>五、一般公共预算财政拨款支出决算情况说明</w:t>
      </w:r>
    </w:p>
    <w:p w14:paraId="5EFA495F">
      <w:pPr>
        <w:spacing w:line="640" w:lineRule="exact"/>
        <w:ind w:firstLine="640"/>
        <w:jc w:val="both"/>
        <w:outlineLvl w:val="3"/>
      </w:pPr>
      <w:r>
        <w:rPr>
          <w:rFonts w:ascii="楷体_GB2312" w:hAnsi="楷体_GB2312" w:eastAsia="楷体_GB2312"/>
          <w:b/>
          <w:sz w:val="32"/>
        </w:rPr>
        <w:t>（一）一般公共预算财政拨款支出决算总体情况</w:t>
      </w:r>
    </w:p>
    <w:p w14:paraId="168FE419">
      <w:pPr>
        <w:spacing w:line="580" w:lineRule="exact"/>
        <w:ind w:firstLine="640"/>
        <w:jc w:val="both"/>
      </w:pPr>
      <w:r>
        <w:rPr>
          <w:rFonts w:ascii="仿宋_GB2312" w:hAnsi="仿宋_GB2312" w:eastAsia="仿宋_GB2312"/>
          <w:b/>
          <w:sz w:val="32"/>
        </w:rPr>
        <w:t>2024年度一般公共预算财政拨款支出1,689.74万元，</w:t>
      </w:r>
      <w:r>
        <w:rPr>
          <w:rFonts w:ascii="仿宋_GB2312" w:hAnsi="仿宋_GB2312" w:eastAsia="仿宋_GB2312"/>
          <w:b w:val="0"/>
          <w:sz w:val="32"/>
        </w:rPr>
        <w:t>占本年支出合计的99.48%。</w:t>
      </w:r>
      <w:r>
        <w:rPr>
          <w:rFonts w:ascii="仿宋_GB2312" w:hAnsi="仿宋_GB2312" w:eastAsia="仿宋_GB2312"/>
          <w:b/>
          <w:sz w:val="32"/>
        </w:rPr>
        <w:t>与上年相比，</w:t>
      </w:r>
      <w:r>
        <w:rPr>
          <w:rFonts w:ascii="仿宋_GB2312" w:hAnsi="仿宋_GB2312" w:eastAsia="仿宋_GB2312"/>
          <w:b w:val="0"/>
          <w:sz w:val="32"/>
        </w:rPr>
        <w:t>减少7,902.39万元，下降82.38%，主要原因是：本年减少叶城县戈壁产业设施大棚建设项目、2023年中央农业经营主体能力提升资金</w:t>
      </w:r>
      <w:r>
        <w:rPr>
          <w:rFonts w:hint="eastAsia" w:ascii="仿宋_GB2312" w:hAnsi="仿宋_GB2312" w:eastAsia="仿宋_GB2312"/>
          <w:b w:val="0"/>
          <w:sz w:val="32"/>
          <w:lang w:eastAsia="zh-CN"/>
        </w:rPr>
        <w:t>－</w:t>
      </w:r>
      <w:r>
        <w:rPr>
          <w:rFonts w:ascii="仿宋_GB2312" w:hAnsi="仿宋_GB2312" w:eastAsia="仿宋_GB2312"/>
          <w:b w:val="0"/>
          <w:sz w:val="32"/>
        </w:rPr>
        <w:t>新型农业主体培育</w:t>
      </w:r>
      <w:r>
        <w:rPr>
          <w:rFonts w:hint="eastAsia" w:ascii="仿宋_GB2312" w:hAnsi="仿宋_GB2312" w:eastAsia="仿宋_GB2312"/>
          <w:b w:val="0"/>
          <w:sz w:val="32"/>
          <w:lang w:eastAsia="zh-CN"/>
        </w:rPr>
        <w:t>－</w:t>
      </w:r>
      <w:r>
        <w:rPr>
          <w:rFonts w:ascii="仿宋_GB2312" w:hAnsi="仿宋_GB2312" w:eastAsia="仿宋_GB2312"/>
          <w:b w:val="0"/>
          <w:sz w:val="32"/>
        </w:rPr>
        <w:t>生产设施条件改善资金项目、叶城县戈壁产业园附属设施配套项目。</w:t>
      </w:r>
      <w:r>
        <w:rPr>
          <w:rFonts w:ascii="仿宋_GB2312" w:hAnsi="仿宋_GB2312" w:eastAsia="仿宋_GB2312"/>
          <w:b/>
          <w:sz w:val="32"/>
        </w:rPr>
        <w:t>与年初预算相比,</w:t>
      </w:r>
      <w:r>
        <w:rPr>
          <w:rFonts w:ascii="仿宋_GB2312" w:hAnsi="仿宋_GB2312" w:eastAsia="仿宋_GB2312"/>
          <w:b w:val="0"/>
          <w:sz w:val="32"/>
        </w:rPr>
        <w:t>年初预算数1,531.00万元，决算数1,689.74万元，预决算差异率10.37%，主要原因是：年中追加叶城县洛克乡特色产业设施林果温室种植土换填建设项目。</w:t>
      </w:r>
    </w:p>
    <w:p w14:paraId="7D75EB7C">
      <w:pPr>
        <w:spacing w:line="640" w:lineRule="exact"/>
        <w:ind w:firstLine="640"/>
        <w:jc w:val="both"/>
        <w:outlineLvl w:val="3"/>
      </w:pPr>
      <w:r>
        <w:rPr>
          <w:rFonts w:ascii="楷体_GB2312" w:hAnsi="楷体_GB2312" w:eastAsia="楷体_GB2312"/>
          <w:b/>
          <w:sz w:val="32"/>
        </w:rPr>
        <w:t>（二）一般公共预算财政拨款支出决算结构情况</w:t>
      </w:r>
    </w:p>
    <w:p w14:paraId="4D8C8C85">
      <w:pPr>
        <w:spacing w:line="580" w:lineRule="exact"/>
        <w:ind w:firstLine="640"/>
        <w:jc w:val="both"/>
      </w:pPr>
      <w:r>
        <w:rPr>
          <w:rFonts w:ascii="仿宋_GB2312" w:hAnsi="仿宋_GB2312" w:eastAsia="仿宋_GB2312"/>
          <w:b w:val="0"/>
          <w:sz w:val="32"/>
        </w:rPr>
        <w:t>1.社会保障和就业支出(类)63.78万元,占3.77%。</w:t>
      </w:r>
    </w:p>
    <w:p w14:paraId="5F607213">
      <w:pPr>
        <w:spacing w:line="580" w:lineRule="exact"/>
        <w:ind w:firstLine="640"/>
        <w:jc w:val="both"/>
      </w:pPr>
      <w:r>
        <w:rPr>
          <w:rFonts w:ascii="仿宋_GB2312" w:hAnsi="仿宋_GB2312" w:eastAsia="仿宋_GB2312"/>
          <w:b w:val="0"/>
          <w:sz w:val="32"/>
        </w:rPr>
        <w:t>2.卫生健康支出(类)16.91万元,占1.00%。</w:t>
      </w:r>
    </w:p>
    <w:p w14:paraId="7383C7DB">
      <w:pPr>
        <w:spacing w:line="580" w:lineRule="exact"/>
        <w:ind w:firstLine="640"/>
        <w:jc w:val="both"/>
      </w:pPr>
      <w:r>
        <w:rPr>
          <w:rFonts w:ascii="仿宋_GB2312" w:hAnsi="仿宋_GB2312" w:eastAsia="仿宋_GB2312"/>
          <w:b w:val="0"/>
          <w:sz w:val="32"/>
        </w:rPr>
        <w:t>3.农林水支出(类)1,577.75万元,占93.37%。</w:t>
      </w:r>
    </w:p>
    <w:p w14:paraId="6DB2035C">
      <w:pPr>
        <w:spacing w:line="580" w:lineRule="exact"/>
        <w:ind w:firstLine="640"/>
        <w:jc w:val="both"/>
      </w:pPr>
      <w:r>
        <w:rPr>
          <w:rFonts w:ascii="仿宋_GB2312" w:hAnsi="仿宋_GB2312" w:eastAsia="仿宋_GB2312"/>
          <w:b w:val="0"/>
          <w:sz w:val="32"/>
        </w:rPr>
        <w:t>4.住房保障支出(类)31.30万元,占1.85%。</w:t>
      </w:r>
    </w:p>
    <w:p w14:paraId="774F69E6">
      <w:pPr>
        <w:spacing w:line="640" w:lineRule="exact"/>
        <w:ind w:firstLine="640"/>
        <w:jc w:val="both"/>
        <w:outlineLvl w:val="3"/>
      </w:pPr>
      <w:r>
        <w:rPr>
          <w:rFonts w:ascii="楷体_GB2312" w:hAnsi="楷体_GB2312" w:eastAsia="楷体_GB2312"/>
          <w:b/>
          <w:sz w:val="32"/>
        </w:rPr>
        <w:t>（三）一般公共预算财政拨款支出决算具体情况</w:t>
      </w:r>
    </w:p>
    <w:p w14:paraId="1F007865">
      <w:pPr>
        <w:spacing w:line="580" w:lineRule="exact"/>
        <w:ind w:firstLine="640"/>
        <w:jc w:val="both"/>
      </w:pPr>
      <w:r>
        <w:rPr>
          <w:rFonts w:ascii="仿宋_GB2312" w:hAnsi="仿宋_GB2312" w:eastAsia="仿宋_GB2312"/>
          <w:b w:val="0"/>
          <w:sz w:val="32"/>
        </w:rPr>
        <w:t>1.社会保障和就业支出(类)行政事业单位养老支出(款)事业单位离退休(项):支出决算数为9.15万元，比上年决算增加3.23万元，增长54.56%,主要原因是：本年退休人员增加，退休费支出增加。</w:t>
      </w:r>
    </w:p>
    <w:p w14:paraId="399B8845">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36.95万元，比上年决算增加6.69万元，增长22.11%,主要原因是：本年在职人员工资调增，养老保险缴费支出增加。</w:t>
      </w:r>
    </w:p>
    <w:p w14:paraId="30B5B43B">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3.社会保障和就业支出(类)行政事业单位养老支出(款)机关事业单位职业年金缴费支出(项):支出决算数为17.68万元，比上年决算增加7.98万元，增长82.27%,主要原因是：本年新增退休人员</w:t>
      </w:r>
      <w:r>
        <w:rPr>
          <w:rFonts w:hint="eastAsia" w:ascii="仿宋_GB2312" w:hAnsi="仿宋_GB2312" w:eastAsia="仿宋_GB2312"/>
          <w:b w:val="0"/>
          <w:sz w:val="32"/>
          <w:lang w:val="en-US" w:eastAsia="zh-CN"/>
        </w:rPr>
        <w:t>较上年增加</w:t>
      </w:r>
      <w:r>
        <w:rPr>
          <w:rFonts w:ascii="仿宋_GB2312" w:hAnsi="仿宋_GB2312" w:eastAsia="仿宋_GB2312"/>
          <w:b w:val="0"/>
          <w:sz w:val="32"/>
        </w:rPr>
        <w:t>，职业年金缴费支出增加。</w:t>
      </w:r>
    </w:p>
    <w:p w14:paraId="5B0ABE02">
      <w:pPr>
        <w:spacing w:line="580" w:lineRule="exact"/>
        <w:ind w:firstLine="640"/>
        <w:jc w:val="both"/>
      </w:pPr>
      <w:r>
        <w:rPr>
          <w:rFonts w:ascii="仿宋_GB2312" w:hAnsi="仿宋_GB2312" w:eastAsia="仿宋_GB2312"/>
          <w:b w:val="0"/>
          <w:sz w:val="32"/>
        </w:rPr>
        <w:t>4.卫生健康支出(类)行政事业单位医疗(款)事业单位医疗(项):支出决算数为15.71万元，比上年决算增加2.60万元，增长19.83%,主要原因是：本年在职人员工资基数调增，医疗缴费基数上涨，相应支出增加。</w:t>
      </w:r>
    </w:p>
    <w:p w14:paraId="19723C20">
      <w:pPr>
        <w:spacing w:line="580" w:lineRule="exact"/>
        <w:ind w:firstLine="640"/>
        <w:jc w:val="both"/>
      </w:pPr>
      <w:r>
        <w:rPr>
          <w:rFonts w:ascii="仿宋_GB2312" w:hAnsi="仿宋_GB2312" w:eastAsia="仿宋_GB2312"/>
          <w:b w:val="0"/>
          <w:sz w:val="32"/>
        </w:rPr>
        <w:t>5.卫生健康支出(类)行政事业单位医疗(款)公务员医疗补助(项):支出决算数为1.21万元，比上年决算减少0.30万元，下降19.87%,主要原因是：本年在职人员减少，公务员医疗补助较上年减少。</w:t>
      </w:r>
    </w:p>
    <w:p w14:paraId="335E4645">
      <w:pPr>
        <w:spacing w:line="580" w:lineRule="exact"/>
        <w:ind w:firstLine="640"/>
        <w:jc w:val="both"/>
      </w:pPr>
      <w:r>
        <w:rPr>
          <w:rFonts w:ascii="仿宋_GB2312" w:hAnsi="仿宋_GB2312" w:eastAsia="仿宋_GB2312"/>
          <w:b w:val="0"/>
          <w:sz w:val="32"/>
        </w:rPr>
        <w:t>6.农林水支出(类)农业农村(款)事业运行(项):支出决算数为270.21万元，比上年决算减少72.35万元，下降21.12%,主要原因是：本年度减少叶城县戈壁产业园附属设施配套项目。</w:t>
      </w:r>
    </w:p>
    <w:p w14:paraId="1A6870A2">
      <w:pPr>
        <w:spacing w:line="580" w:lineRule="exact"/>
        <w:ind w:firstLine="640"/>
        <w:jc w:val="both"/>
      </w:pPr>
      <w:r>
        <w:rPr>
          <w:rFonts w:ascii="仿宋_GB2312" w:hAnsi="仿宋_GB2312" w:eastAsia="仿宋_GB2312"/>
          <w:b w:val="0"/>
          <w:sz w:val="32"/>
        </w:rPr>
        <w:t>7.农林水支出(类)农业农村(款)农村合作经济(项):支出决算数为980.50万元，比上年决算增加961.00万元，增长4,928.21%,主要原因是：本年增加叶城县2024年设施农业电力配套建设项目、叶城县2024年阿克塔什镇设施农业补助项目、叶城县园艺工作站2020年叶城县育苗中心新型节能温室建设项目，农林水支出增加。</w:t>
      </w:r>
    </w:p>
    <w:p w14:paraId="359DF7E8">
      <w:pPr>
        <w:spacing w:line="580" w:lineRule="exact"/>
        <w:ind w:firstLine="640"/>
        <w:jc w:val="both"/>
      </w:pPr>
      <w:r>
        <w:rPr>
          <w:rFonts w:ascii="仿宋_GB2312" w:hAnsi="仿宋_GB2312" w:eastAsia="仿宋_GB2312"/>
          <w:b w:val="0"/>
          <w:sz w:val="32"/>
        </w:rPr>
        <w:t>8.农林水支出(类)</w:t>
      </w:r>
      <w:bookmarkStart w:id="0" w:name="_GoBack"/>
      <w:r>
        <w:rPr>
          <w:rFonts w:ascii="仿宋_GB2312" w:hAnsi="仿宋_GB2312" w:eastAsia="仿宋_GB2312"/>
          <w:b w:val="0"/>
          <w:sz w:val="32"/>
        </w:rPr>
        <w:t>巩固脱贫攻坚</w:t>
      </w:r>
      <w:bookmarkEnd w:id="0"/>
      <w:r>
        <w:rPr>
          <w:rFonts w:ascii="仿宋_GB2312" w:hAnsi="仿宋_GB2312" w:eastAsia="仿宋_GB2312"/>
          <w:b w:val="0"/>
          <w:sz w:val="32"/>
        </w:rPr>
        <w:t>成果衔接乡村振兴(款)生产发展(项):支出决算数为327.04万元，比上年决算减少8,819.80万元，下降96.42%,主要原因是：本年减少叶城县戈壁产业设施大棚建设项目、2023年中央农业经营主体能力提升资金</w:t>
      </w:r>
      <w:r>
        <w:rPr>
          <w:rFonts w:hint="eastAsia" w:ascii="仿宋_GB2312" w:hAnsi="仿宋_GB2312" w:eastAsia="仿宋_GB2312"/>
          <w:b w:val="0"/>
          <w:sz w:val="32"/>
          <w:lang w:eastAsia="zh-CN"/>
        </w:rPr>
        <w:t>－</w:t>
      </w:r>
      <w:r>
        <w:rPr>
          <w:rFonts w:ascii="仿宋_GB2312" w:hAnsi="仿宋_GB2312" w:eastAsia="仿宋_GB2312"/>
          <w:b w:val="0"/>
          <w:sz w:val="32"/>
        </w:rPr>
        <w:t>新型农业主体培育</w:t>
      </w:r>
      <w:r>
        <w:rPr>
          <w:rFonts w:hint="eastAsia" w:ascii="仿宋_GB2312" w:hAnsi="仿宋_GB2312" w:eastAsia="仿宋_GB2312"/>
          <w:b w:val="0"/>
          <w:sz w:val="32"/>
          <w:lang w:eastAsia="zh-CN"/>
        </w:rPr>
        <w:t>－</w:t>
      </w:r>
      <w:r>
        <w:rPr>
          <w:rFonts w:ascii="仿宋_GB2312" w:hAnsi="仿宋_GB2312" w:eastAsia="仿宋_GB2312"/>
          <w:b w:val="0"/>
          <w:sz w:val="32"/>
        </w:rPr>
        <w:t>生产设施条件改善资金项目、叶城县戈壁产业园附属设施配套项目。</w:t>
      </w:r>
    </w:p>
    <w:p w14:paraId="14DFD13D">
      <w:pPr>
        <w:spacing w:line="580" w:lineRule="exact"/>
        <w:ind w:firstLine="640"/>
        <w:jc w:val="both"/>
      </w:pPr>
      <w:r>
        <w:rPr>
          <w:rFonts w:ascii="仿宋_GB2312" w:hAnsi="仿宋_GB2312" w:eastAsia="仿宋_GB2312"/>
          <w:b w:val="0"/>
          <w:sz w:val="32"/>
        </w:rPr>
        <w:t>9.住房保障支出(类)住房改革支出(款)住房公积金(项):支出决算数为31.30万元，比上年决算增加8.58万元，增长37.76%,主要原因是：本年在职人员工资基数调增，公积金缴费基数上涨，相应支出增加。</w:t>
      </w:r>
    </w:p>
    <w:p w14:paraId="4C46AD91">
      <w:pPr>
        <w:spacing w:line="640" w:lineRule="exact"/>
        <w:ind w:firstLine="640"/>
        <w:jc w:val="both"/>
        <w:outlineLvl w:val="2"/>
      </w:pPr>
      <w:r>
        <w:rPr>
          <w:rFonts w:ascii="黑体" w:hAnsi="黑体" w:eastAsia="黑体"/>
          <w:sz w:val="32"/>
        </w:rPr>
        <w:t>六、一般公共预算财政拨款基本支出决算情况说明</w:t>
      </w:r>
    </w:p>
    <w:p w14:paraId="7A54AC19">
      <w:pPr>
        <w:spacing w:line="580" w:lineRule="exact"/>
        <w:ind w:firstLine="640"/>
        <w:jc w:val="both"/>
      </w:pPr>
      <w:r>
        <w:rPr>
          <w:rFonts w:ascii="仿宋_GB2312" w:hAnsi="仿宋_GB2312" w:eastAsia="仿宋_GB2312"/>
          <w:b w:val="0"/>
          <w:sz w:val="32"/>
        </w:rPr>
        <w:t>2024年度一般公共预算财政拨款基本支出382.21万元，其中：</w:t>
      </w:r>
      <w:r>
        <w:rPr>
          <w:rFonts w:ascii="仿宋_GB2312" w:hAnsi="仿宋_GB2312" w:eastAsia="仿宋_GB2312"/>
          <w:b/>
          <w:sz w:val="32"/>
        </w:rPr>
        <w:t>人员经费371.90万元，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包括：基本工资、津贴补贴、奖金、绩效工资、机关事业单位基本养老保险缴费、职业年金缴费、职工基本医疗保险缴费、公务员医疗补助缴费、其他社会保障缴费、住房公积金、退休费、生活补助。</w:t>
      </w:r>
    </w:p>
    <w:p w14:paraId="0C0F44E7">
      <w:pPr>
        <w:spacing w:line="580" w:lineRule="exact"/>
        <w:ind w:firstLine="640"/>
        <w:jc w:val="both"/>
      </w:pPr>
      <w:r>
        <w:rPr>
          <w:rFonts w:ascii="仿宋_GB2312" w:hAnsi="仿宋_GB2312" w:eastAsia="仿宋_GB2312"/>
          <w:b/>
          <w:sz w:val="32"/>
        </w:rPr>
        <w:t>公用经费10.31万元，</w:t>
      </w:r>
      <w:r>
        <w:rPr>
          <w:rFonts w:ascii="仿宋_GB2312" w:hAnsi="仿宋_GB2312" w:eastAsia="仿宋_GB2312"/>
          <w:b w:val="0"/>
          <w:sz w:val="32"/>
        </w:rPr>
        <w:t>包括：办公费、电费、邮电费、取暖费、公务用车运行维护费。</w:t>
      </w:r>
    </w:p>
    <w:p w14:paraId="422B469F">
      <w:pPr>
        <w:spacing w:line="640" w:lineRule="exact"/>
        <w:ind w:firstLine="640"/>
        <w:jc w:val="both"/>
        <w:outlineLvl w:val="2"/>
      </w:pPr>
      <w:r>
        <w:rPr>
          <w:rFonts w:ascii="黑体" w:hAnsi="黑体" w:eastAsia="黑体"/>
          <w:sz w:val="32"/>
        </w:rPr>
        <w:t>七、政府性基金预算财政拨款收入支出决算情况说明</w:t>
      </w:r>
    </w:p>
    <w:p w14:paraId="07FBF6A0">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1FF8A3EC">
      <w:pPr>
        <w:spacing w:line="640" w:lineRule="exact"/>
        <w:ind w:firstLine="640"/>
        <w:jc w:val="both"/>
        <w:outlineLvl w:val="2"/>
      </w:pPr>
      <w:r>
        <w:rPr>
          <w:rFonts w:ascii="黑体" w:hAnsi="黑体" w:eastAsia="黑体"/>
          <w:sz w:val="32"/>
        </w:rPr>
        <w:t>八、国有资本经营预算财政拨款收入支出决算情况说明</w:t>
      </w:r>
    </w:p>
    <w:p w14:paraId="2D03CB42">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50F98D9C">
      <w:pPr>
        <w:spacing w:line="640" w:lineRule="exact"/>
        <w:ind w:firstLine="640"/>
        <w:jc w:val="both"/>
        <w:outlineLvl w:val="2"/>
      </w:pPr>
      <w:r>
        <w:rPr>
          <w:rFonts w:ascii="黑体" w:hAnsi="黑体" w:eastAsia="黑体"/>
          <w:sz w:val="32"/>
        </w:rPr>
        <w:t>九、财政拨款“三公”经费支出决算情况说明</w:t>
      </w:r>
    </w:p>
    <w:p w14:paraId="49340EED">
      <w:pPr>
        <w:spacing w:line="580" w:lineRule="exact"/>
        <w:ind w:firstLine="640"/>
        <w:jc w:val="both"/>
      </w:pPr>
      <w:r>
        <w:rPr>
          <w:rFonts w:ascii="仿宋_GB2312" w:hAnsi="仿宋_GB2312" w:eastAsia="仿宋_GB2312"/>
          <w:b/>
          <w:sz w:val="32"/>
        </w:rPr>
        <w:t>2024年度财政拨款“三公”经费支出1.42万元，</w:t>
      </w:r>
      <w:r>
        <w:rPr>
          <w:rFonts w:ascii="仿宋_GB2312" w:hAnsi="仿宋_GB2312" w:eastAsia="仿宋_GB2312"/>
          <w:b w:val="0"/>
          <w:sz w:val="32"/>
        </w:rPr>
        <w:t>比上年增加0.00万元，增长0.00%，主要原因是：本单位“三公”经费与上年一致无变化。其中：因公出国（境）费支出0.00万元，占0.00%，比上年增加0.00万元，增长0.00%，主要原因是：2023年与2024年均未安排因公出国（境）费支出。公务用车购置及运行维护费支出1.42万元，占100.00%，比上年增加0.00万元，增长0.00%，主要原因是：本单位公务用车运行维护费与上年一致无变化。公务接待费支出0.00万元，占0.00%，比上年增加0.00万元，增长0.00%，主要原因是：2023年与2024年均未安排公务接待费支出。</w:t>
      </w:r>
    </w:p>
    <w:p w14:paraId="7A1FBC05">
      <w:pPr>
        <w:spacing w:line="580" w:lineRule="exact"/>
        <w:ind w:firstLine="640"/>
        <w:jc w:val="both"/>
      </w:pPr>
      <w:r>
        <w:rPr>
          <w:rFonts w:ascii="仿宋_GB2312" w:hAnsi="仿宋_GB2312" w:eastAsia="仿宋_GB2312"/>
          <w:b/>
          <w:sz w:val="32"/>
        </w:rPr>
        <w:t>具体情况如下：</w:t>
      </w:r>
    </w:p>
    <w:p w14:paraId="5A4D08CD">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478B1CCA">
      <w:pPr>
        <w:spacing w:line="580" w:lineRule="exact"/>
        <w:ind w:firstLine="640"/>
        <w:jc w:val="both"/>
      </w:pPr>
      <w:r>
        <w:rPr>
          <w:rFonts w:ascii="仿宋_GB2312" w:hAnsi="仿宋_GB2312" w:eastAsia="仿宋_GB2312"/>
          <w:b w:val="0"/>
          <w:sz w:val="32"/>
        </w:rPr>
        <w:t>公务用车购置及运行维护费1.42万元，其中：公务用车购置费0.00万元，公务用车运行维护费1.42万元。公务用车运行维护费开支内容包括车辆加油费、维修费、保险费、审车费、过路费等。公务用车购置数0辆，公务用车保有量2辆。国有资产占用情况中固定资产车辆2辆，与公务用车保有量差异原因是：本单位固定资产车辆与公务用车保有量一致无差异。</w:t>
      </w:r>
    </w:p>
    <w:p w14:paraId="3DE5C86D">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34746C25">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1.42万元，决算数1.42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1.42万元，决算数1.42万元，预决算差异率0.00%，主要原因是：严格按照预算执行，预决算无差异。公务接待费全年预算数0.00万元，决算数0.00万元，预决算差异率0.00%，主要原因是：本单位无公务接待费。</w:t>
      </w:r>
    </w:p>
    <w:p w14:paraId="6532664B">
      <w:pPr>
        <w:spacing w:line="640" w:lineRule="exact"/>
        <w:ind w:firstLine="640"/>
        <w:jc w:val="both"/>
        <w:outlineLvl w:val="2"/>
      </w:pPr>
      <w:r>
        <w:rPr>
          <w:rFonts w:ascii="黑体" w:hAnsi="黑体" w:eastAsia="黑体"/>
          <w:sz w:val="32"/>
        </w:rPr>
        <w:t>十、其他重要事项的情况说明</w:t>
      </w:r>
    </w:p>
    <w:p w14:paraId="5618F3C9">
      <w:pPr>
        <w:spacing w:line="640" w:lineRule="exact"/>
        <w:ind w:firstLine="640"/>
        <w:jc w:val="both"/>
        <w:outlineLvl w:val="3"/>
      </w:pPr>
      <w:r>
        <w:rPr>
          <w:rFonts w:ascii="楷体_GB2312" w:hAnsi="楷体_GB2312" w:eastAsia="楷体_GB2312"/>
          <w:b/>
          <w:sz w:val="32"/>
        </w:rPr>
        <w:t>（一）机关运行经费及公用经费支出情况</w:t>
      </w:r>
    </w:p>
    <w:p w14:paraId="74D8E61A">
      <w:pPr>
        <w:spacing w:line="580" w:lineRule="exact"/>
        <w:ind w:firstLine="640"/>
        <w:jc w:val="both"/>
      </w:pPr>
      <w:r>
        <w:rPr>
          <w:rFonts w:ascii="仿宋_GB2312" w:hAnsi="仿宋_GB2312" w:eastAsia="仿宋_GB2312"/>
          <w:b w:val="0"/>
          <w:sz w:val="32"/>
        </w:rPr>
        <w:t>2024年度叶城县园艺工作站（事业单位）公用经费支出10.31万元，比上年增加5.26万元，增长104.16%，主要原因是：本年更新、维护补充办公用品，导致公用经费较上年增加。</w:t>
      </w:r>
    </w:p>
    <w:p w14:paraId="12689B6E">
      <w:pPr>
        <w:spacing w:line="640" w:lineRule="exact"/>
        <w:ind w:firstLine="640"/>
        <w:jc w:val="both"/>
        <w:outlineLvl w:val="3"/>
      </w:pPr>
      <w:r>
        <w:rPr>
          <w:rFonts w:ascii="楷体_GB2312" w:hAnsi="楷体_GB2312" w:eastAsia="楷体_GB2312"/>
          <w:b/>
          <w:sz w:val="32"/>
        </w:rPr>
        <w:t>（二）政府采购情况</w:t>
      </w:r>
    </w:p>
    <w:p w14:paraId="20447ADE">
      <w:pPr>
        <w:spacing w:line="580" w:lineRule="exact"/>
        <w:ind w:firstLine="640"/>
        <w:jc w:val="both"/>
      </w:pPr>
      <w:r>
        <w:rPr>
          <w:rFonts w:ascii="仿宋_GB2312" w:hAnsi="仿宋_GB2312" w:eastAsia="仿宋_GB2312"/>
          <w:b w:val="0"/>
          <w:sz w:val="32"/>
        </w:rPr>
        <w:t>2024年度政府采购支出总额975.23万元，其中：政府采购货物支出974.73万元、政府采购工程支出0.00万元、政府采购服务支出0.50万元。</w:t>
      </w:r>
    </w:p>
    <w:p w14:paraId="0FA410C7">
      <w:pPr>
        <w:spacing w:line="580" w:lineRule="exact"/>
        <w:ind w:firstLine="640"/>
        <w:jc w:val="both"/>
      </w:pPr>
      <w:r>
        <w:rPr>
          <w:rFonts w:ascii="仿宋_GB2312" w:hAnsi="仿宋_GB2312" w:eastAsia="仿宋_GB2312"/>
          <w:b w:val="0"/>
          <w:sz w:val="32"/>
        </w:rPr>
        <w:t>授予中小企业合同金额926.37万元，占政府采购支出总额的94.99%，其中：授予小微企业合同金额0.43万元，占政府采购支出总额的0.04%。</w:t>
      </w:r>
    </w:p>
    <w:p w14:paraId="263CD9F6">
      <w:pPr>
        <w:spacing w:line="640" w:lineRule="exact"/>
        <w:ind w:firstLine="640"/>
        <w:jc w:val="both"/>
        <w:outlineLvl w:val="3"/>
      </w:pPr>
      <w:r>
        <w:rPr>
          <w:rFonts w:ascii="楷体_GB2312" w:hAnsi="楷体_GB2312" w:eastAsia="楷体_GB2312"/>
          <w:b/>
          <w:sz w:val="32"/>
        </w:rPr>
        <w:t>（三）国有资产占用情况说明</w:t>
      </w:r>
    </w:p>
    <w:p w14:paraId="79CB9A44">
      <w:pPr>
        <w:spacing w:line="580" w:lineRule="exact"/>
        <w:ind w:firstLine="640"/>
        <w:jc w:val="both"/>
      </w:pPr>
      <w:r>
        <w:rPr>
          <w:rFonts w:ascii="仿宋_GB2312" w:hAnsi="仿宋_GB2312" w:eastAsia="仿宋_GB2312"/>
          <w:b w:val="0"/>
          <w:sz w:val="32"/>
        </w:rPr>
        <w:t>截至2024年12月31日，房屋42.00平方米，价值1.43万元。车辆2辆，价值10.48万元，其中：副部（省）级及以上领导用车0辆、主要负责人用车0辆、机要通信用车0辆、应急保障用车0辆、执法执勤用车0辆、特种专业技术用车0辆、离退休干部服务用车0辆、其他用车2辆，其他用车主要是：一般公务用车。单价100万元（含）以上设备（不含车辆）0台（套）。</w:t>
      </w:r>
    </w:p>
    <w:p w14:paraId="01AE2D3A">
      <w:pPr>
        <w:spacing w:line="640" w:lineRule="exact"/>
        <w:ind w:firstLine="640"/>
        <w:jc w:val="both"/>
        <w:outlineLvl w:val="2"/>
      </w:pPr>
      <w:r>
        <w:rPr>
          <w:rFonts w:ascii="黑体" w:hAnsi="黑体" w:eastAsia="黑体"/>
          <w:sz w:val="32"/>
        </w:rPr>
        <w:t>十一、预算绩效的情况说明</w:t>
      </w:r>
    </w:p>
    <w:p w14:paraId="54204B40">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1,698.51万元，实际执行总额1,698.51万元；预算绩效评价项目0个，全年预算数0.00万元，全年执行数0.00万元。预算绩效管理取得的成效：本单位从预算收支管理、资产管理、政府采购管理、合同管理等方面，健全和完善单位财务管理制度、坚定实施各项内部控制制度；为加强预算管理，规范财务行为，已制定《叶城县园艺站部门单位预算绩效管理工作实施办法》，《叶城县园艺站单位财务管理制度》等健全完整的各项管理制度，有效保障了我单位高效</w:t>
      </w:r>
      <w:r>
        <w:rPr>
          <w:rFonts w:hint="eastAsia" w:ascii="仿宋_GB2312" w:hAnsi="仿宋_GB2312" w:eastAsia="仿宋_GB2312"/>
          <w:b w:val="0"/>
          <w:sz w:val="32"/>
          <w:lang w:eastAsia="zh-CN"/>
        </w:rPr>
        <w:t>地</w:t>
      </w:r>
      <w:r>
        <w:rPr>
          <w:rFonts w:ascii="仿宋_GB2312" w:hAnsi="仿宋_GB2312" w:eastAsia="仿宋_GB2312"/>
          <w:b w:val="0"/>
          <w:sz w:val="32"/>
        </w:rPr>
        <w:t>履行工作职能，较好</w:t>
      </w:r>
      <w:r>
        <w:rPr>
          <w:rFonts w:hint="eastAsia" w:ascii="仿宋_GB2312" w:hAnsi="仿宋_GB2312" w:eastAsia="仿宋_GB2312"/>
          <w:b w:val="0"/>
          <w:sz w:val="32"/>
          <w:lang w:eastAsia="zh-CN"/>
        </w:rPr>
        <w:t>地</w:t>
      </w:r>
      <w:r>
        <w:rPr>
          <w:rFonts w:ascii="仿宋_GB2312" w:hAnsi="仿宋_GB2312" w:eastAsia="仿宋_GB2312"/>
          <w:b w:val="0"/>
          <w:sz w:val="32"/>
        </w:rPr>
        <w:t>促进事业发展。发现的问题及原因：一是在绩效目标编制方面，绩效目标设置指向不清、预算和目标匹配不足，数量目标和质量目标量化不细，效益目标编制不完整。二是目前单位绩效评价结果还停留在反映情况、找问题、提建议层面，评价结果和预算安排有机结合的机制尚未真正建立。下一步改进措施：一是加大绩效工作宣传力度，强化绩效理念。加强预算绩效动态监控管理，及时跟踪项目进度，对资金实施中存在的具体问题采取纠偏措施。加强相关专业技术人员的业务培训，进一步提高预算绩效评价质量。二是年初做好资金计划，按照资金使用进度及时拨付资金，使资金使用效益最大化，减少不必要的浪费，节约成本。加强单位绩效管理制度体系的建立，保证资金合规合理</w:t>
      </w:r>
      <w:r>
        <w:rPr>
          <w:rFonts w:hint="eastAsia" w:ascii="仿宋_GB2312" w:hAnsi="仿宋_GB2312" w:eastAsia="仿宋_GB2312"/>
          <w:b w:val="0"/>
          <w:sz w:val="32"/>
          <w:lang w:eastAsia="zh-CN"/>
        </w:rPr>
        <w:t>地</w:t>
      </w:r>
      <w:r>
        <w:rPr>
          <w:rFonts w:ascii="仿宋_GB2312" w:hAnsi="仿宋_GB2312" w:eastAsia="仿宋_GB2312"/>
          <w:b w:val="0"/>
          <w:sz w:val="32"/>
        </w:rPr>
        <w:t>使用，为拨付工作提供有效依据。具体附整体支出绩效自评表。</w:t>
      </w:r>
    </w:p>
    <w:p w14:paraId="6508D13E">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665B2C2">
        <w:tblPrEx>
          <w:tblCellMar>
            <w:top w:w="0" w:type="dxa"/>
            <w:left w:w="108" w:type="dxa"/>
            <w:bottom w:w="0" w:type="dxa"/>
            <w:right w:w="108" w:type="dxa"/>
          </w:tblCellMar>
        </w:tblPrEx>
        <w:tc>
          <w:tcPr>
            <w:tcW w:w="8847" w:type="dxa"/>
            <w:gridSpan w:val="9"/>
            <w:vAlign w:val="center"/>
          </w:tcPr>
          <w:p w14:paraId="1FE4DCD0">
            <w:pPr>
              <w:jc w:val="center"/>
            </w:pPr>
            <w:r>
              <w:rPr>
                <w:rFonts w:ascii="宋体" w:hAnsi="宋体" w:eastAsia="宋体"/>
                <w:sz w:val="24"/>
              </w:rPr>
              <w:t>单位整体支出绩效自评表</w:t>
            </w:r>
          </w:p>
        </w:tc>
      </w:tr>
      <w:tr w14:paraId="06DEFE50">
        <w:tblPrEx>
          <w:tblCellMar>
            <w:top w:w="0" w:type="dxa"/>
            <w:left w:w="108" w:type="dxa"/>
            <w:bottom w:w="0" w:type="dxa"/>
            <w:right w:w="108" w:type="dxa"/>
          </w:tblCellMar>
        </w:tblPrEx>
        <w:tc>
          <w:tcPr>
            <w:tcW w:w="8847" w:type="dxa"/>
            <w:gridSpan w:val="9"/>
            <w:vAlign w:val="center"/>
          </w:tcPr>
          <w:p w14:paraId="2CEB3AAE">
            <w:pPr>
              <w:jc w:val="center"/>
            </w:pPr>
            <w:r>
              <w:rPr>
                <w:rFonts w:ascii="宋体" w:hAnsi="宋体" w:eastAsia="宋体"/>
                <w:sz w:val="24"/>
              </w:rPr>
              <w:t>（2024年度）</w:t>
            </w:r>
          </w:p>
        </w:tc>
      </w:tr>
      <w:tr w14:paraId="691B62C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02AA31">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7D6D3CC">
            <w:pPr>
              <w:jc w:val="center"/>
            </w:pPr>
            <w:r>
              <w:rPr>
                <w:rFonts w:ascii="宋体" w:hAnsi="宋体" w:eastAsia="宋体"/>
                <w:sz w:val="16"/>
              </w:rPr>
              <w:t>叶城县园艺工作站</w:t>
            </w:r>
          </w:p>
        </w:tc>
      </w:tr>
      <w:tr w14:paraId="7C3734B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C33839">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D4835D">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5DA371">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AA6097">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F9CF8D">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678789">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983031">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ACD6C5">
            <w:pPr>
              <w:jc w:val="center"/>
            </w:pPr>
            <w:r>
              <w:rPr>
                <w:rFonts w:ascii="宋体" w:hAnsi="宋体" w:eastAsia="宋体"/>
                <w:sz w:val="16"/>
              </w:rPr>
              <w:t>得分</w:t>
            </w:r>
          </w:p>
        </w:tc>
      </w:tr>
      <w:tr w14:paraId="6FF0BCD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BF25E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9817A3">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1FB595">
            <w:pPr>
              <w:jc w:val="center"/>
            </w:pPr>
            <w:r>
              <w:rPr>
                <w:rFonts w:ascii="宋体" w:hAnsi="宋体" w:eastAsia="宋体"/>
                <w:sz w:val="16"/>
              </w:rPr>
              <w:t>1,530.99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3D8006">
            <w:pPr>
              <w:jc w:val="center"/>
            </w:pPr>
            <w:r>
              <w:rPr>
                <w:rFonts w:ascii="宋体" w:hAnsi="宋体" w:eastAsia="宋体"/>
                <w:sz w:val="16"/>
              </w:rPr>
              <w:t>1,698.51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9DD30A">
            <w:pPr>
              <w:jc w:val="center"/>
            </w:pPr>
            <w:r>
              <w:rPr>
                <w:rFonts w:ascii="宋体" w:hAnsi="宋体" w:eastAsia="宋体"/>
                <w:sz w:val="16"/>
              </w:rPr>
              <w:t>1,698.51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B0E84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A34B0E">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1AA4CB">
            <w:pPr>
              <w:jc w:val="center"/>
            </w:pPr>
            <w:r>
              <w:rPr>
                <w:rFonts w:ascii="宋体" w:hAnsi="宋体" w:eastAsia="宋体"/>
                <w:sz w:val="16"/>
              </w:rPr>
              <w:t>10</w:t>
            </w:r>
          </w:p>
        </w:tc>
      </w:tr>
      <w:tr w14:paraId="15B4431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B05B7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D43506">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DF914C">
            <w:pPr>
              <w:jc w:val="center"/>
            </w:pPr>
            <w:r>
              <w:rPr>
                <w:rFonts w:ascii="宋体" w:hAnsi="宋体" w:eastAsia="宋体"/>
                <w:sz w:val="16"/>
              </w:rPr>
              <w:t>1,102.79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19687C">
            <w:pPr>
              <w:jc w:val="center"/>
            </w:pPr>
            <w:r>
              <w:rPr>
                <w:rFonts w:ascii="宋体" w:hAnsi="宋体" w:eastAsia="宋体"/>
                <w:sz w:val="16"/>
              </w:rPr>
              <w:t>1,316.30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38BE54">
            <w:pPr>
              <w:jc w:val="center"/>
            </w:pPr>
            <w:r>
              <w:rPr>
                <w:rFonts w:ascii="宋体" w:hAnsi="宋体" w:eastAsia="宋体"/>
                <w:sz w:val="16"/>
              </w:rPr>
              <w:t>1,316.30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00D5B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A77564">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F92B13">
            <w:pPr>
              <w:jc w:val="center"/>
            </w:pPr>
            <w:r>
              <w:rPr>
                <w:rFonts w:ascii="宋体" w:hAnsi="宋体" w:eastAsia="宋体"/>
                <w:sz w:val="16"/>
              </w:rPr>
              <w:t>—</w:t>
            </w:r>
          </w:p>
        </w:tc>
      </w:tr>
      <w:tr w14:paraId="2383452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B87A7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EEF74C">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F21B96">
            <w:pPr>
              <w:jc w:val="center"/>
            </w:pPr>
            <w:r>
              <w:rPr>
                <w:rFonts w:ascii="宋体" w:hAnsi="宋体" w:eastAsia="宋体"/>
                <w:sz w:val="16"/>
              </w:rPr>
              <w:t>428.20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516736">
            <w:pPr>
              <w:jc w:val="center"/>
            </w:pPr>
            <w:r>
              <w:rPr>
                <w:rFonts w:ascii="宋体" w:hAnsi="宋体" w:eastAsia="宋体"/>
                <w:sz w:val="16"/>
              </w:rPr>
              <w:t>382.21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A0B047">
            <w:pPr>
              <w:jc w:val="center"/>
            </w:pPr>
            <w:r>
              <w:rPr>
                <w:rFonts w:ascii="宋体" w:hAnsi="宋体" w:eastAsia="宋体"/>
                <w:sz w:val="16"/>
              </w:rPr>
              <w:t>382.21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01CAC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44C203">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237E1C">
            <w:pPr>
              <w:jc w:val="center"/>
            </w:pPr>
            <w:r>
              <w:rPr>
                <w:rFonts w:ascii="宋体" w:hAnsi="宋体" w:eastAsia="宋体"/>
                <w:sz w:val="16"/>
              </w:rPr>
              <w:t>—</w:t>
            </w:r>
          </w:p>
        </w:tc>
      </w:tr>
      <w:tr w14:paraId="0EC879B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34E21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9648C3">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BE731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FE870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50715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EE901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F93064">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740C1F">
            <w:pPr>
              <w:jc w:val="center"/>
            </w:pPr>
            <w:r>
              <w:rPr>
                <w:rFonts w:ascii="宋体" w:hAnsi="宋体" w:eastAsia="宋体"/>
                <w:sz w:val="16"/>
              </w:rPr>
              <w:t>—</w:t>
            </w:r>
          </w:p>
        </w:tc>
      </w:tr>
      <w:tr w14:paraId="7F9B030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429FC4">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C4B8F12">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8A44361">
            <w:pPr>
              <w:jc w:val="center"/>
            </w:pPr>
            <w:r>
              <w:rPr>
                <w:rFonts w:ascii="宋体" w:hAnsi="宋体" w:eastAsia="宋体"/>
                <w:sz w:val="16"/>
              </w:rPr>
              <w:t>实际完成情况</w:t>
            </w:r>
          </w:p>
        </w:tc>
      </w:tr>
      <w:tr w14:paraId="6789ADE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214537"/>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D6F6D9F">
            <w:pPr>
              <w:jc w:val="both"/>
            </w:pPr>
            <w:r>
              <w:rPr>
                <w:rFonts w:ascii="宋体" w:hAnsi="宋体" w:eastAsia="宋体"/>
                <w:sz w:val="16"/>
              </w:rPr>
              <w:t>负责宣传、贯彻、落实国家自治区、地区有关农业方面的方针、政策及法律法规；开展蔬菜、果品、瓜类、食用菌、花卉等经济作物的专业调查，制定全县蔬菜、果品、瓜类、食用菌、花卉等经济作物生产规划；开展蔬菜等经济作物新技术、新品种、新成果的引进、实验、示范和推广；制定蔬菜等经济作物标准化生产技术规程，开展蔬菜等经济作物无公害生产技术指导工作；指导乡镇、村、专业合作社、协会的蔬菜等经济作物产业化经营活动；开展全县蔬菜生产基地管理工作。</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A596FAA">
            <w:pPr>
              <w:jc w:val="both"/>
            </w:pPr>
            <w:r>
              <w:rPr>
                <w:rFonts w:ascii="宋体" w:hAnsi="宋体" w:eastAsia="宋体"/>
                <w:sz w:val="16"/>
              </w:rPr>
              <w:t>截至2024年12月31日，</w:t>
            </w:r>
            <w:r>
              <w:rPr>
                <w:rFonts w:hint="eastAsia" w:ascii="宋体" w:hAnsi="宋体"/>
                <w:sz w:val="16"/>
                <w:lang w:eastAsia="zh-CN"/>
              </w:rPr>
              <w:t>本单位</w:t>
            </w:r>
            <w:r>
              <w:rPr>
                <w:rFonts w:ascii="宋体" w:hAnsi="宋体" w:eastAsia="宋体"/>
                <w:sz w:val="16"/>
              </w:rPr>
              <w:t>2024年全面完成全年种植任务。一是完成正播蔬菜种植面积10.25万亩，复播蔬菜种植面积11.75万亩，蔬菜总产量达65万吨，产值约15亿元。二是加强订单生产。大力发展加工辣椒、豇豆、洋葱、萝卜、甜菜等订单农业，全年完成订单蔬菜种植任务6.7万亩。三是全力抓好育苗工作。春提早育苗集中育苗1800万株，按照种植计划100%完成育苗任务。四是抓好设施农业建设项目。新建高标准日光温室1144座，其中：白杨镇119座、吐古其乡200座、依提木孔镇445座、洛克乡80座、恰尔巴格镇300座，</w:t>
            </w:r>
            <w:r>
              <w:rPr>
                <w:rFonts w:hint="eastAsia" w:ascii="宋体" w:hAnsi="宋体"/>
                <w:sz w:val="16"/>
                <w:lang w:eastAsia="zh-CN"/>
              </w:rPr>
              <w:t>目前</w:t>
            </w:r>
            <w:r>
              <w:rPr>
                <w:rFonts w:ascii="宋体" w:hAnsi="宋体" w:eastAsia="宋体"/>
                <w:sz w:val="16"/>
              </w:rPr>
              <w:t>1144座温室均已完工。五是持续做好技术指导和培训工作。累计开展设施蔬菜生产管理技术的现场培训共31场次，1100余人次，全县没有发生大面积蔬菜病虫害，确保了我县蔬菜产业持续健康发展。</w:t>
            </w:r>
          </w:p>
        </w:tc>
      </w:tr>
      <w:tr w14:paraId="09A64E6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E14A1A">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3C0740">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0514FA">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A1C39E">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9A7F57">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04F87A">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F84206">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11309B">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ABCA94">
            <w:pPr>
              <w:jc w:val="center"/>
            </w:pPr>
            <w:r>
              <w:rPr>
                <w:rFonts w:ascii="宋体" w:hAnsi="宋体" w:eastAsia="宋体"/>
                <w:sz w:val="16"/>
              </w:rPr>
              <w:t>得分</w:t>
            </w:r>
          </w:p>
        </w:tc>
      </w:tr>
      <w:tr w14:paraId="2E90EC7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336C92">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273485">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DEE19B">
            <w:pPr>
              <w:jc w:val="center"/>
            </w:pPr>
            <w:r>
              <w:rPr>
                <w:rFonts w:ascii="宋体" w:hAnsi="宋体" w:eastAsia="宋体"/>
                <w:sz w:val="16"/>
              </w:rPr>
              <w:t>新建温室大棚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8A28C2">
            <w:pPr>
              <w:jc w:val="center"/>
            </w:pPr>
            <w:r>
              <w:rPr>
                <w:rFonts w:ascii="宋体" w:hAnsi="宋体" w:eastAsia="宋体"/>
                <w:sz w:val="16"/>
              </w:rPr>
              <w:t>=7座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47CB5B">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F87030">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B6A91E">
            <w:pPr>
              <w:jc w:val="center"/>
            </w:pPr>
            <w:r>
              <w:rPr>
                <w:rFonts w:ascii="宋体" w:hAnsi="宋体" w:eastAsia="宋体"/>
                <w:sz w:val="16"/>
              </w:rPr>
              <w:t>7座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1DF2B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995C06">
            <w:pPr>
              <w:jc w:val="center"/>
            </w:pPr>
            <w:r>
              <w:rPr>
                <w:rFonts w:ascii="宋体" w:hAnsi="宋体" w:eastAsia="宋体"/>
                <w:sz w:val="16"/>
              </w:rPr>
              <w:t>15</w:t>
            </w:r>
          </w:p>
        </w:tc>
      </w:tr>
      <w:tr w14:paraId="6A92556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6AEFF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FEAF7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6D4016">
            <w:pPr>
              <w:jc w:val="center"/>
            </w:pPr>
            <w:r>
              <w:rPr>
                <w:rFonts w:ascii="宋体" w:hAnsi="宋体" w:eastAsia="宋体"/>
                <w:sz w:val="16"/>
              </w:rPr>
              <w:t>技术指导培训</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5DB0E0">
            <w:pPr>
              <w:jc w:val="center"/>
            </w:pPr>
            <w:r>
              <w:rPr>
                <w:rFonts w:ascii="宋体" w:hAnsi="宋体" w:eastAsia="宋体"/>
                <w:sz w:val="16"/>
              </w:rPr>
              <w:t>&gt;=150人次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6C4E87">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DE6774">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9E29B6">
            <w:pPr>
              <w:jc w:val="center"/>
            </w:pPr>
            <w:r>
              <w:rPr>
                <w:rFonts w:ascii="宋体" w:hAnsi="宋体" w:eastAsia="宋体"/>
                <w:sz w:val="16"/>
              </w:rPr>
              <w:t>150人次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B0806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8C9C08">
            <w:pPr>
              <w:jc w:val="center"/>
            </w:pPr>
            <w:r>
              <w:rPr>
                <w:rFonts w:ascii="宋体" w:hAnsi="宋体" w:eastAsia="宋体"/>
                <w:sz w:val="16"/>
              </w:rPr>
              <w:t>15</w:t>
            </w:r>
          </w:p>
        </w:tc>
      </w:tr>
      <w:tr w14:paraId="0223653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C20EF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CA5E1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EB7BFD">
            <w:pPr>
              <w:jc w:val="center"/>
            </w:pPr>
            <w:r>
              <w:rPr>
                <w:rFonts w:ascii="宋体" w:hAnsi="宋体" w:eastAsia="宋体"/>
                <w:sz w:val="16"/>
              </w:rPr>
              <w:t>引进专利成果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AEFAEC">
            <w:pPr>
              <w:jc w:val="center"/>
            </w:pPr>
            <w:r>
              <w:rPr>
                <w:rFonts w:ascii="宋体" w:hAnsi="宋体" w:eastAsia="宋体"/>
                <w:sz w:val="16"/>
              </w:rPr>
              <w:t>&gt;=3项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E3947A">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E3BA60">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2C8FAB">
            <w:pPr>
              <w:jc w:val="center"/>
            </w:pPr>
            <w:r>
              <w:rPr>
                <w:rFonts w:ascii="宋体" w:hAnsi="宋体" w:eastAsia="宋体"/>
                <w:sz w:val="16"/>
              </w:rPr>
              <w:t>3项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1AC60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6EE2FA">
            <w:pPr>
              <w:jc w:val="center"/>
            </w:pPr>
            <w:r>
              <w:rPr>
                <w:rFonts w:ascii="宋体" w:hAnsi="宋体" w:eastAsia="宋体"/>
                <w:sz w:val="16"/>
              </w:rPr>
              <w:t>15</w:t>
            </w:r>
          </w:p>
        </w:tc>
      </w:tr>
      <w:tr w14:paraId="3DC3AB1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62211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63D39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2DCA08">
            <w:pPr>
              <w:jc w:val="center"/>
            </w:pPr>
            <w:r>
              <w:rPr>
                <w:rFonts w:ascii="宋体" w:hAnsi="宋体" w:eastAsia="宋体"/>
                <w:sz w:val="16"/>
              </w:rPr>
              <w:t>专家技术服务引进人才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801CFA">
            <w:pPr>
              <w:jc w:val="center"/>
            </w:pPr>
            <w:r>
              <w:rPr>
                <w:rFonts w:ascii="宋体" w:hAnsi="宋体" w:eastAsia="宋体"/>
                <w:sz w:val="16"/>
              </w:rPr>
              <w:t>&gt;=3人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E70F8C">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04A5B7">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A1D922">
            <w:pPr>
              <w:jc w:val="center"/>
            </w:pPr>
            <w:r>
              <w:rPr>
                <w:rFonts w:ascii="宋体" w:hAnsi="宋体" w:eastAsia="宋体"/>
                <w:sz w:val="16"/>
              </w:rPr>
              <w:t>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91181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4E5D4A">
            <w:pPr>
              <w:jc w:val="center"/>
            </w:pPr>
            <w:r>
              <w:rPr>
                <w:rFonts w:ascii="宋体" w:hAnsi="宋体" w:eastAsia="宋体"/>
                <w:sz w:val="16"/>
              </w:rPr>
              <w:t>15</w:t>
            </w:r>
          </w:p>
        </w:tc>
      </w:tr>
      <w:tr w14:paraId="4BC7F30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DCC4E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55B22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D21F78">
            <w:pPr>
              <w:jc w:val="center"/>
            </w:pPr>
            <w:r>
              <w:rPr>
                <w:rFonts w:ascii="宋体" w:hAnsi="宋体" w:eastAsia="宋体"/>
                <w:sz w:val="16"/>
              </w:rPr>
              <w:t>新品种新技术引进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29542C">
            <w:pPr>
              <w:jc w:val="center"/>
            </w:pPr>
            <w:r>
              <w:rPr>
                <w:rFonts w:ascii="宋体" w:hAnsi="宋体" w:eastAsia="宋体"/>
                <w:sz w:val="16"/>
              </w:rPr>
              <w:t>&gt;=3个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4417A3">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ACFAC2">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61C763">
            <w:pPr>
              <w:jc w:val="center"/>
            </w:pPr>
            <w:r>
              <w:rPr>
                <w:rFonts w:ascii="宋体" w:hAnsi="宋体" w:eastAsia="宋体"/>
                <w:sz w:val="16"/>
              </w:rPr>
              <w: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B7C4B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0873E1">
            <w:pPr>
              <w:jc w:val="center"/>
            </w:pPr>
            <w:r>
              <w:rPr>
                <w:rFonts w:ascii="宋体" w:hAnsi="宋体" w:eastAsia="宋体"/>
                <w:sz w:val="16"/>
              </w:rPr>
              <w:t>15</w:t>
            </w:r>
          </w:p>
        </w:tc>
      </w:tr>
      <w:tr w14:paraId="5A2A905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EB4AA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21BD3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3BAB5F">
            <w:pPr>
              <w:jc w:val="center"/>
            </w:pPr>
            <w:r>
              <w:rPr>
                <w:rFonts w:ascii="宋体" w:hAnsi="宋体" w:eastAsia="宋体"/>
                <w:sz w:val="16"/>
              </w:rPr>
              <w:t>新能源装备运用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5D3E10">
            <w:pPr>
              <w:jc w:val="center"/>
            </w:pPr>
            <w:r>
              <w:rPr>
                <w:rFonts w:ascii="宋体" w:hAnsi="宋体" w:eastAsia="宋体"/>
                <w:sz w:val="16"/>
              </w:rPr>
              <w:t>&gt;=7套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0A3510">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5CD9F0">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023390">
            <w:pPr>
              <w:jc w:val="center"/>
            </w:pPr>
            <w:r>
              <w:rPr>
                <w:rFonts w:ascii="宋体" w:hAnsi="宋体" w:eastAsia="宋体"/>
                <w:sz w:val="16"/>
              </w:rPr>
              <w:t>7套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F319E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C5624B">
            <w:pPr>
              <w:jc w:val="center"/>
            </w:pPr>
            <w:r>
              <w:rPr>
                <w:rFonts w:ascii="宋体" w:hAnsi="宋体" w:eastAsia="宋体"/>
                <w:sz w:val="16"/>
              </w:rPr>
              <w:t>15</w:t>
            </w:r>
          </w:p>
        </w:tc>
      </w:tr>
    </w:tbl>
    <w:p w14:paraId="28ADBE4F">
      <w:r>
        <w:br w:type="page"/>
      </w:r>
    </w:p>
    <w:p w14:paraId="2B933419">
      <w:pPr>
        <w:spacing w:line="640" w:lineRule="exact"/>
        <w:ind w:firstLine="640"/>
        <w:jc w:val="both"/>
        <w:outlineLvl w:val="2"/>
      </w:pPr>
      <w:r>
        <w:rPr>
          <w:rFonts w:ascii="黑体" w:hAnsi="黑体" w:eastAsia="黑体"/>
          <w:sz w:val="32"/>
        </w:rPr>
        <w:t>十二、其他需说明的事项</w:t>
      </w:r>
    </w:p>
    <w:p w14:paraId="79323AC6">
      <w:pPr>
        <w:spacing w:line="580" w:lineRule="exact"/>
        <w:ind w:firstLine="640"/>
        <w:jc w:val="both"/>
      </w:pPr>
      <w:r>
        <w:rPr>
          <w:rFonts w:ascii="仿宋_GB2312" w:hAnsi="仿宋_GB2312" w:eastAsia="仿宋_GB2312"/>
          <w:b w:val="0"/>
          <w:sz w:val="32"/>
        </w:rPr>
        <w:t>本单位无其他需说明的事项。</w:t>
      </w:r>
    </w:p>
    <w:p w14:paraId="3408D993">
      <w:r>
        <w:br w:type="page"/>
      </w:r>
    </w:p>
    <w:p w14:paraId="02F8397F">
      <w:pPr>
        <w:spacing w:line="240" w:lineRule="auto"/>
        <w:jc w:val="center"/>
        <w:outlineLvl w:val="1"/>
      </w:pPr>
      <w:r>
        <w:rPr>
          <w:rFonts w:ascii="黑体" w:hAnsi="黑体" w:eastAsia="黑体"/>
          <w:sz w:val="32"/>
        </w:rPr>
        <w:t>第三部分 专业名词解释</w:t>
      </w:r>
    </w:p>
    <w:p w14:paraId="79DC05AC">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70922ED">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C08A06C">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684CC5E">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7022891">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2752A58">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4FE26AF4">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06785B5">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B5B6B90">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8670591">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40AC91D">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14F9960B">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8FD9B97">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8BD5AFD">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52A8AD4F">
      <w:r>
        <w:br w:type="page"/>
      </w:r>
    </w:p>
    <w:p w14:paraId="3BEA78CA">
      <w:pPr>
        <w:spacing w:line="240" w:lineRule="auto"/>
        <w:jc w:val="center"/>
        <w:outlineLvl w:val="1"/>
      </w:pPr>
      <w:r>
        <w:rPr>
          <w:rFonts w:ascii="黑体" w:hAnsi="黑体" w:eastAsia="黑体"/>
          <w:sz w:val="32"/>
        </w:rPr>
        <w:t>第四部分 部门决算报表（见附表）</w:t>
      </w:r>
    </w:p>
    <w:p w14:paraId="74D24509">
      <w:pPr>
        <w:spacing w:line="240" w:lineRule="auto"/>
        <w:ind w:firstLine="640"/>
        <w:jc w:val="both"/>
      </w:pPr>
      <w:r>
        <w:rPr>
          <w:rFonts w:ascii="仿宋_GB2312" w:hAnsi="仿宋_GB2312" w:eastAsia="仿宋_GB2312"/>
          <w:b w:val="0"/>
          <w:sz w:val="32"/>
        </w:rPr>
        <w:t>一、《收入支出决算总表》</w:t>
      </w:r>
    </w:p>
    <w:p w14:paraId="6E078160">
      <w:pPr>
        <w:spacing w:line="240" w:lineRule="auto"/>
        <w:ind w:firstLine="640"/>
        <w:jc w:val="both"/>
      </w:pPr>
      <w:r>
        <w:rPr>
          <w:rFonts w:ascii="仿宋_GB2312" w:hAnsi="仿宋_GB2312" w:eastAsia="仿宋_GB2312"/>
          <w:b w:val="0"/>
          <w:sz w:val="32"/>
        </w:rPr>
        <w:t>二、《收入决算表》</w:t>
      </w:r>
    </w:p>
    <w:p w14:paraId="25EDBBB4">
      <w:pPr>
        <w:spacing w:line="240" w:lineRule="auto"/>
        <w:ind w:firstLine="640"/>
        <w:jc w:val="both"/>
      </w:pPr>
      <w:r>
        <w:rPr>
          <w:rFonts w:ascii="仿宋_GB2312" w:hAnsi="仿宋_GB2312" w:eastAsia="仿宋_GB2312"/>
          <w:b w:val="0"/>
          <w:sz w:val="32"/>
        </w:rPr>
        <w:t>三、《支出决算表》</w:t>
      </w:r>
    </w:p>
    <w:p w14:paraId="125B74F3">
      <w:pPr>
        <w:spacing w:line="240" w:lineRule="auto"/>
        <w:ind w:firstLine="640"/>
        <w:jc w:val="both"/>
      </w:pPr>
      <w:r>
        <w:rPr>
          <w:rFonts w:ascii="仿宋_GB2312" w:hAnsi="仿宋_GB2312" w:eastAsia="仿宋_GB2312"/>
          <w:b w:val="0"/>
          <w:sz w:val="32"/>
        </w:rPr>
        <w:t>四、《财政拨款收入支出决算总表》</w:t>
      </w:r>
    </w:p>
    <w:p w14:paraId="7580E4D5">
      <w:pPr>
        <w:spacing w:line="240" w:lineRule="auto"/>
        <w:ind w:firstLine="640"/>
        <w:jc w:val="both"/>
      </w:pPr>
      <w:r>
        <w:rPr>
          <w:rFonts w:ascii="仿宋_GB2312" w:hAnsi="仿宋_GB2312" w:eastAsia="仿宋_GB2312"/>
          <w:b w:val="0"/>
          <w:sz w:val="32"/>
        </w:rPr>
        <w:t>五、《一般公共预算财政拨款支出决算表》</w:t>
      </w:r>
    </w:p>
    <w:p w14:paraId="2D151CD3">
      <w:pPr>
        <w:spacing w:line="240" w:lineRule="auto"/>
        <w:ind w:firstLine="640"/>
        <w:jc w:val="both"/>
      </w:pPr>
      <w:r>
        <w:rPr>
          <w:rFonts w:ascii="仿宋_GB2312" w:hAnsi="仿宋_GB2312" w:eastAsia="仿宋_GB2312"/>
          <w:b w:val="0"/>
          <w:sz w:val="32"/>
        </w:rPr>
        <w:t>六、《一般公共预算财政拨款基本支出决算表》</w:t>
      </w:r>
    </w:p>
    <w:p w14:paraId="2EFF5AAC">
      <w:pPr>
        <w:spacing w:line="240" w:lineRule="auto"/>
        <w:ind w:firstLine="640"/>
        <w:jc w:val="both"/>
      </w:pPr>
      <w:r>
        <w:rPr>
          <w:rFonts w:ascii="仿宋_GB2312" w:hAnsi="仿宋_GB2312" w:eastAsia="仿宋_GB2312"/>
          <w:b w:val="0"/>
          <w:sz w:val="32"/>
        </w:rPr>
        <w:t>七、《政府性基金预算财政拨款收入支出决算表》</w:t>
      </w:r>
    </w:p>
    <w:p w14:paraId="0F7669E7">
      <w:pPr>
        <w:spacing w:line="240" w:lineRule="auto"/>
        <w:ind w:firstLine="640"/>
        <w:jc w:val="both"/>
      </w:pPr>
      <w:r>
        <w:rPr>
          <w:rFonts w:ascii="仿宋_GB2312" w:hAnsi="仿宋_GB2312" w:eastAsia="仿宋_GB2312"/>
          <w:b w:val="0"/>
          <w:sz w:val="32"/>
        </w:rPr>
        <w:t>八、《国有资本经营预算财政拨款收入支出决算表》</w:t>
      </w:r>
    </w:p>
    <w:p w14:paraId="279B1A88">
      <w:pPr>
        <w:spacing w:line="240" w:lineRule="auto"/>
        <w:ind w:firstLine="640"/>
        <w:jc w:val="both"/>
      </w:pPr>
      <w:r>
        <w:rPr>
          <w:rFonts w:ascii="仿宋_GB2312" w:hAnsi="仿宋_GB2312" w:eastAsia="仿宋_GB2312"/>
          <w:b w:val="0"/>
          <w:sz w:val="32"/>
        </w:rPr>
        <w:t>九、《财政拨款“三公”经费支出决算表》</w:t>
      </w:r>
    </w:p>
    <w:p w14:paraId="276B77BB">
      <w:pPr>
        <w:spacing w:line="240" w:lineRule="auto"/>
        <w:ind w:firstLine="640"/>
        <w:jc w:val="both"/>
      </w:pPr>
    </w:p>
    <w:p w14:paraId="4E657CCC">
      <w:pPr>
        <w:spacing w:line="240" w:lineRule="auto"/>
        <w:ind w:firstLine="640"/>
        <w:jc w:val="both"/>
      </w:pPr>
    </w:p>
    <w:p w14:paraId="21FD342C">
      <w:pPr>
        <w:spacing w:line="240" w:lineRule="auto"/>
        <w:ind w:firstLine="640"/>
        <w:jc w:val="both"/>
      </w:pPr>
    </w:p>
    <w:p w14:paraId="05B52364">
      <w:pPr>
        <w:spacing w:line="240" w:lineRule="auto"/>
        <w:ind w:firstLine="640"/>
        <w:jc w:val="both"/>
      </w:pPr>
    </w:p>
    <w:p w14:paraId="133BB045">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1D4326A-0572-456F-9BD9-AEE4D4F8F90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4DC801A7-87AB-457F-991A-69D8D1D0C797}"/>
  </w:font>
  <w:font w:name="仿宋_GB2312">
    <w:panose1 w:val="02010609030101010101"/>
    <w:charset w:val="86"/>
    <w:family w:val="modern"/>
    <w:pitch w:val="default"/>
    <w:sig w:usb0="00000001" w:usb1="080E0000" w:usb2="00000000" w:usb3="00000000" w:csb0="00040000" w:csb1="00000000"/>
    <w:embedRegular r:id="rId3" w:fontKey="{53CE5B67-C678-4417-8EDA-9DD1662E9C63}"/>
  </w:font>
  <w:font w:name="楷体_GB2312">
    <w:panose1 w:val="02010609030101010101"/>
    <w:charset w:val="86"/>
    <w:family w:val="auto"/>
    <w:pitch w:val="default"/>
    <w:sig w:usb0="00000001" w:usb1="080E0000" w:usb2="00000000" w:usb3="00000000" w:csb0="00040000" w:csb1="00000000"/>
    <w:embedRegular r:id="rId4" w:fontKey="{0A7741F9-0187-4E0F-B7F7-60C8D93733A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64E83"/>
    <w:rsid w:val="62DD7D21"/>
    <w:rsid w:val="63B66BF8"/>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6732</Words>
  <Characters>7650</Characters>
  <Lines>0</Lines>
  <Paragraphs>0</Paragraphs>
  <TotalTime>4</TotalTime>
  <ScaleCrop>false</ScaleCrop>
  <LinksUpToDate>false</LinksUpToDate>
  <CharactersWithSpaces>7660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2025-09-30T03:15:59Z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eyJoZGlkIjoiYjM4NWYyMWE2NWU1OGNiMmIxMmZkYzA5MWEwNzJlZmIiLCJ1c2VySWQiOiI0MzE2NzY3NzkifQ==</vt:lpwstr>
  </property>
</Properties>
</file>