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叶城县林场2024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355549E">
      <w:r>
        <w:br w:type="page"/>
      </w:r>
    </w:p>
    <w:p w14:paraId="046CB716">
      <w:pPr>
        <w:spacing w:line="640" w:lineRule="exact"/>
        <w:jc w:val="center"/>
        <w:outlineLvl w:val="1"/>
      </w:pPr>
      <w:r>
        <w:rPr>
          <w:rFonts w:ascii="黑体" w:hAnsi="黑体" w:eastAsia="黑体"/>
          <w:sz w:val="32"/>
        </w:rPr>
        <w:t>第一部分 单位概况</w:t>
      </w:r>
    </w:p>
    <w:p w14:paraId="79BA4B21">
      <w:pPr>
        <w:spacing w:line="640" w:lineRule="exact"/>
        <w:ind w:firstLine="640"/>
        <w:jc w:val="both"/>
        <w:outlineLvl w:val="2"/>
      </w:pPr>
      <w:r>
        <w:rPr>
          <w:rFonts w:ascii="黑体" w:hAnsi="黑体" w:eastAsia="黑体"/>
          <w:sz w:val="32"/>
        </w:rPr>
        <w:t>一、主要职能</w:t>
      </w:r>
    </w:p>
    <w:p w14:paraId="784B9D68">
      <w:pPr>
        <w:spacing w:line="580" w:lineRule="exact"/>
        <w:ind w:firstLine="640"/>
        <w:jc w:val="both"/>
      </w:pPr>
      <w:r>
        <w:rPr>
          <w:rFonts w:ascii="仿宋_GB2312" w:hAnsi="仿宋_GB2312" w:eastAsia="仿宋_GB2312"/>
          <w:sz w:val="32"/>
        </w:rPr>
        <w:t>以生态建设为主，主要负责和承担全县生态防护林的管控，全县林果业发展的产业链延伸、研发、培训工作。落实</w:t>
      </w:r>
      <w:r>
        <w:rPr>
          <w:rFonts w:hint="eastAsia" w:ascii="仿宋_GB2312" w:hAnsi="仿宋_GB2312" w:eastAsia="仿宋_GB2312"/>
          <w:sz w:val="32"/>
          <w:lang w:eastAsia="zh-CN"/>
        </w:rPr>
        <w:t>县委、县政府</w:t>
      </w:r>
      <w:r>
        <w:rPr>
          <w:rFonts w:ascii="仿宋_GB2312" w:hAnsi="仿宋_GB2312" w:eastAsia="仿宋_GB2312"/>
          <w:sz w:val="32"/>
        </w:rPr>
        <w:t>重大决策、重要工作部署的贯彻执行和落实情况；具有参与政务、处理事务、履行服务三大职能。</w:t>
      </w:r>
    </w:p>
    <w:p w14:paraId="25D27C5B">
      <w:pPr>
        <w:spacing w:line="640" w:lineRule="exact"/>
        <w:ind w:firstLine="640"/>
        <w:jc w:val="both"/>
        <w:outlineLvl w:val="2"/>
      </w:pPr>
      <w:r>
        <w:rPr>
          <w:rFonts w:ascii="黑体" w:hAnsi="黑体" w:eastAsia="黑体"/>
          <w:sz w:val="32"/>
        </w:rPr>
        <w:t>二、机构设置及人员情况</w:t>
      </w:r>
    </w:p>
    <w:p w14:paraId="6F516B9E">
      <w:pPr>
        <w:spacing w:line="580" w:lineRule="exact"/>
        <w:ind w:firstLine="640"/>
        <w:jc w:val="both"/>
      </w:pPr>
      <w:r>
        <w:rPr>
          <w:rFonts w:ascii="仿宋_GB2312" w:hAnsi="仿宋_GB2312" w:eastAsia="仿宋_GB2312"/>
          <w:sz w:val="32"/>
        </w:rPr>
        <w:t>叶城县林场2024年度，实有人数12人，其中：在职人员8人，增加0人；离休人员0人，增加0人；退休人员4人,增加1人。</w:t>
      </w:r>
    </w:p>
    <w:p w14:paraId="35BDF75E">
      <w:pPr>
        <w:spacing w:line="580" w:lineRule="exact"/>
        <w:ind w:firstLine="640"/>
        <w:jc w:val="both"/>
      </w:pPr>
      <w:r>
        <w:rPr>
          <w:rFonts w:ascii="仿宋_GB2312" w:hAnsi="仿宋_GB2312" w:eastAsia="仿宋_GB2312"/>
          <w:sz w:val="32"/>
        </w:rPr>
        <w:t>叶城县林场无下属预算单位，下设3个科室，分别是：党政办、综治办、农村经济发展办。</w:t>
      </w:r>
    </w:p>
    <w:p w14:paraId="494EC1B4">
      <w:r>
        <w:br w:type="page"/>
      </w:r>
    </w:p>
    <w:p w14:paraId="166E3C43">
      <w:pPr>
        <w:spacing w:line="240" w:lineRule="auto"/>
        <w:jc w:val="center"/>
        <w:outlineLvl w:val="1"/>
      </w:pPr>
      <w:r>
        <w:rPr>
          <w:rFonts w:ascii="黑体" w:hAnsi="黑体" w:eastAsia="黑体"/>
          <w:sz w:val="32"/>
        </w:rPr>
        <w:t>第二部分 部门决算情况说明</w:t>
      </w:r>
    </w:p>
    <w:p w14:paraId="2F56FE74">
      <w:pPr>
        <w:spacing w:line="640" w:lineRule="exact"/>
        <w:ind w:firstLine="640"/>
        <w:jc w:val="both"/>
        <w:outlineLvl w:val="2"/>
      </w:pPr>
      <w:r>
        <w:rPr>
          <w:rFonts w:ascii="黑体" w:hAnsi="黑体" w:eastAsia="黑体"/>
          <w:sz w:val="32"/>
        </w:rPr>
        <w:t>一、收入支出决算总体情况说明</w:t>
      </w:r>
    </w:p>
    <w:p w14:paraId="0F077884">
      <w:pPr>
        <w:spacing w:line="580" w:lineRule="exact"/>
        <w:ind w:firstLine="640"/>
        <w:jc w:val="both"/>
      </w:pPr>
      <w:r>
        <w:rPr>
          <w:rFonts w:ascii="仿宋_GB2312" w:hAnsi="仿宋_GB2312" w:eastAsia="仿宋_GB2312"/>
          <w:b/>
          <w:sz w:val="32"/>
        </w:rPr>
        <w:t>2024年度收入总计259.39万元，</w:t>
      </w:r>
      <w:r>
        <w:rPr>
          <w:rFonts w:ascii="仿宋_GB2312" w:hAnsi="仿宋_GB2312" w:eastAsia="仿宋_GB2312"/>
          <w:b w:val="0"/>
          <w:sz w:val="32"/>
        </w:rPr>
        <w:t>其中：本年收入合计259.39万元，使用非财政拨款结余（含专用结余）0.00万元，年初结转和结余0.00万元。</w:t>
      </w:r>
    </w:p>
    <w:p w14:paraId="2167AA2E">
      <w:pPr>
        <w:spacing w:line="580" w:lineRule="exact"/>
        <w:ind w:firstLine="640"/>
        <w:jc w:val="both"/>
      </w:pPr>
      <w:r>
        <w:rPr>
          <w:rFonts w:ascii="仿宋_GB2312" w:hAnsi="仿宋_GB2312" w:eastAsia="仿宋_GB2312"/>
          <w:b/>
          <w:sz w:val="32"/>
        </w:rPr>
        <w:t>2024年度支出总计259.39万元，</w:t>
      </w:r>
      <w:r>
        <w:rPr>
          <w:rFonts w:ascii="仿宋_GB2312" w:hAnsi="仿宋_GB2312" w:eastAsia="仿宋_GB2312"/>
          <w:b w:val="0"/>
          <w:sz w:val="32"/>
        </w:rPr>
        <w:t>其中：本年支出合计259.39万元，结余分配0.00万元，年末结转和结余0.00万元。</w:t>
      </w:r>
    </w:p>
    <w:p w14:paraId="3F74BDBE">
      <w:pPr>
        <w:spacing w:line="580" w:lineRule="exact"/>
        <w:ind w:firstLine="640"/>
        <w:jc w:val="both"/>
      </w:pPr>
      <w:r>
        <w:rPr>
          <w:rFonts w:ascii="仿宋_GB2312" w:hAnsi="仿宋_GB2312" w:eastAsia="仿宋_GB2312"/>
          <w:b w:val="0"/>
          <w:sz w:val="32"/>
        </w:rPr>
        <w:t>收入支出总体与上年相比，增加27.22万元，增长11.72%，主要原因是：本年在职人员工资调增，社保、公积金基数调增，人员经费增加；本年地方国有农牧场税费改革转移支付资金项目增加；本年新增退休人员，职业年金缴费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退休人员生活补助</w:t>
      </w:r>
      <w:r>
        <w:rPr>
          <w:rFonts w:ascii="仿宋_GB2312" w:hAnsi="仿宋_GB2312" w:eastAsia="仿宋_GB2312"/>
          <w:b w:val="0"/>
          <w:sz w:val="32"/>
        </w:rPr>
        <w:t>增加。</w:t>
      </w:r>
    </w:p>
    <w:p w14:paraId="1718E079">
      <w:pPr>
        <w:spacing w:line="640" w:lineRule="exact"/>
        <w:ind w:firstLine="640"/>
        <w:jc w:val="both"/>
        <w:outlineLvl w:val="2"/>
      </w:pPr>
      <w:r>
        <w:rPr>
          <w:rFonts w:ascii="黑体" w:hAnsi="黑体" w:eastAsia="黑体"/>
          <w:sz w:val="32"/>
        </w:rPr>
        <w:t>二、收入决算情况说明</w:t>
      </w:r>
    </w:p>
    <w:p w14:paraId="138B330F">
      <w:pPr>
        <w:spacing w:line="580" w:lineRule="exact"/>
        <w:ind w:firstLine="640"/>
        <w:jc w:val="both"/>
      </w:pPr>
      <w:r>
        <w:rPr>
          <w:rFonts w:ascii="仿宋_GB2312" w:hAnsi="仿宋_GB2312" w:eastAsia="仿宋_GB2312"/>
          <w:b/>
          <w:sz w:val="32"/>
        </w:rPr>
        <w:t>本年收入259.39万元，</w:t>
      </w:r>
      <w:r>
        <w:rPr>
          <w:rFonts w:ascii="仿宋_GB2312" w:hAnsi="仿宋_GB2312" w:eastAsia="仿宋_GB2312"/>
          <w:b w:val="0"/>
          <w:sz w:val="32"/>
        </w:rPr>
        <w:t>其中：财政拨款收入259.39万元，占100.00%；上级补助收入0.00万元，占0.00%；事业收入0.00万元，占0.00%；经营收入0.00万元，占0.00%；附属单位上缴收入0.00万元，占0.00%；其他收入0.00万元，占0.00%。</w:t>
      </w:r>
    </w:p>
    <w:p w14:paraId="77F1804A">
      <w:pPr>
        <w:spacing w:line="640" w:lineRule="exact"/>
        <w:ind w:firstLine="640"/>
        <w:jc w:val="both"/>
        <w:outlineLvl w:val="2"/>
      </w:pPr>
      <w:r>
        <w:rPr>
          <w:rFonts w:ascii="黑体" w:hAnsi="黑体" w:eastAsia="黑体"/>
          <w:sz w:val="32"/>
        </w:rPr>
        <w:t>三、支出决算情况说明</w:t>
      </w:r>
    </w:p>
    <w:p w14:paraId="691410DD">
      <w:pPr>
        <w:spacing w:line="580" w:lineRule="exact"/>
        <w:ind w:firstLine="640"/>
        <w:jc w:val="both"/>
      </w:pPr>
      <w:r>
        <w:rPr>
          <w:rFonts w:ascii="仿宋_GB2312" w:hAnsi="仿宋_GB2312" w:eastAsia="仿宋_GB2312"/>
          <w:b/>
          <w:sz w:val="32"/>
        </w:rPr>
        <w:t>本年支出259.39万元，</w:t>
      </w:r>
      <w:r>
        <w:rPr>
          <w:rFonts w:ascii="仿宋_GB2312" w:hAnsi="仿宋_GB2312" w:eastAsia="仿宋_GB2312"/>
          <w:b w:val="0"/>
          <w:sz w:val="32"/>
        </w:rPr>
        <w:t>其中：基本支出211.64万元，占81.59%；项目支出47.75万元，占18.41%；上缴上级支出0.00万元，占0.00%；经营支出0.00万元，占0.00%；对附属单位补助支出0.00万元，占0.00%。</w:t>
      </w:r>
    </w:p>
    <w:p w14:paraId="0CC8151B">
      <w:pPr>
        <w:spacing w:line="640" w:lineRule="exact"/>
        <w:ind w:firstLine="640"/>
        <w:jc w:val="both"/>
        <w:outlineLvl w:val="2"/>
      </w:pPr>
      <w:r>
        <w:rPr>
          <w:rFonts w:ascii="黑体" w:hAnsi="黑体" w:eastAsia="黑体"/>
          <w:sz w:val="32"/>
        </w:rPr>
        <w:t>四、财政拨款收入支出决算总体情况说明</w:t>
      </w:r>
    </w:p>
    <w:p w14:paraId="6D6488C6">
      <w:pPr>
        <w:spacing w:line="580" w:lineRule="exact"/>
        <w:ind w:firstLine="640"/>
        <w:jc w:val="both"/>
      </w:pPr>
      <w:r>
        <w:rPr>
          <w:rFonts w:ascii="仿宋_GB2312" w:hAnsi="仿宋_GB2312" w:eastAsia="仿宋_GB2312"/>
          <w:b/>
          <w:sz w:val="32"/>
        </w:rPr>
        <w:t>2024年度财政拨款收入总计259.39万元，</w:t>
      </w:r>
      <w:r>
        <w:rPr>
          <w:rFonts w:ascii="仿宋_GB2312" w:hAnsi="仿宋_GB2312" w:eastAsia="仿宋_GB2312"/>
          <w:b w:val="0"/>
          <w:sz w:val="32"/>
        </w:rPr>
        <w:t>其中：年初财政拨款结转和结余0.00万元，本年财政拨款收入259.39万元。</w:t>
      </w:r>
      <w:r>
        <w:rPr>
          <w:rFonts w:ascii="仿宋_GB2312" w:hAnsi="仿宋_GB2312" w:eastAsia="仿宋_GB2312"/>
          <w:b/>
          <w:sz w:val="32"/>
        </w:rPr>
        <w:t>财政拨款支出总计259.39万元，</w:t>
      </w:r>
      <w:r>
        <w:rPr>
          <w:rFonts w:ascii="仿宋_GB2312" w:hAnsi="仿宋_GB2312" w:eastAsia="仿宋_GB2312"/>
          <w:b w:val="0"/>
          <w:sz w:val="32"/>
        </w:rPr>
        <w:t>其中：年末财政拨款结转和结余0.00万元，本年财政拨款支出259.39万元。</w:t>
      </w:r>
    </w:p>
    <w:p w14:paraId="48A0B3A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增加27.22万元，增长11.72%，主要原因是：本年在职人员工资调增，社保、公积金基数调增，人员经费增加；本年地方国有农牧场税费改革转移支付资金项目增加；本年新增退休人员，职业年金缴费支出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退休人员生活补助</w:t>
      </w:r>
      <w:r>
        <w:rPr>
          <w:rFonts w:ascii="仿宋_GB2312" w:hAnsi="仿宋_GB2312" w:eastAsia="仿宋_GB2312"/>
          <w:b w:val="0"/>
          <w:sz w:val="32"/>
        </w:rPr>
        <w:t>增加。</w:t>
      </w:r>
      <w:r>
        <w:rPr>
          <w:rFonts w:ascii="仿宋_GB2312" w:hAnsi="仿宋_GB2312" w:eastAsia="仿宋_GB2312"/>
          <w:b/>
          <w:sz w:val="32"/>
        </w:rPr>
        <w:t>与年初预算相比，</w:t>
      </w:r>
      <w:r>
        <w:rPr>
          <w:rFonts w:ascii="仿宋_GB2312" w:hAnsi="仿宋_GB2312" w:eastAsia="仿宋_GB2312"/>
          <w:b w:val="0"/>
          <w:sz w:val="32"/>
        </w:rPr>
        <w:t>年初预算数185.49万元，决算数259.39万元，预决算差异率39.84%，主要原因是：年中追加在职人员工资、社保、公积金基数调增部分资金，</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地方国有农牧场税费改革转移支付资金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导致预决算差异。</w:t>
      </w:r>
    </w:p>
    <w:p w14:paraId="5F680DDA">
      <w:pPr>
        <w:spacing w:line="640" w:lineRule="exact"/>
        <w:ind w:firstLine="640"/>
        <w:jc w:val="both"/>
        <w:outlineLvl w:val="2"/>
      </w:pPr>
      <w:r>
        <w:rPr>
          <w:rFonts w:ascii="黑体" w:hAnsi="黑体" w:eastAsia="黑体"/>
          <w:sz w:val="32"/>
        </w:rPr>
        <w:t>五、一般公共预算财政拨款支出决算情况说明</w:t>
      </w:r>
    </w:p>
    <w:p w14:paraId="34C6FBEB">
      <w:pPr>
        <w:spacing w:line="640" w:lineRule="exact"/>
        <w:ind w:firstLine="640"/>
        <w:jc w:val="both"/>
        <w:outlineLvl w:val="3"/>
      </w:pPr>
      <w:r>
        <w:rPr>
          <w:rFonts w:ascii="楷体_GB2312" w:hAnsi="楷体_GB2312" w:eastAsia="楷体_GB2312"/>
          <w:b/>
          <w:sz w:val="32"/>
        </w:rPr>
        <w:t>（一）一般公共预算财政拨款支出决算总体情况</w:t>
      </w:r>
    </w:p>
    <w:p w14:paraId="089660DC">
      <w:pPr>
        <w:spacing w:line="580" w:lineRule="exact"/>
        <w:ind w:firstLine="640"/>
        <w:jc w:val="both"/>
      </w:pPr>
      <w:r>
        <w:rPr>
          <w:rFonts w:ascii="仿宋_GB2312" w:hAnsi="仿宋_GB2312" w:eastAsia="仿宋_GB2312"/>
          <w:b/>
          <w:sz w:val="32"/>
        </w:rPr>
        <w:t>2024年度一般公共预算财政拨款支出259.39万元，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增加27.22万元，增长11.72%，主要原因是：本年在职人员工资调增，社保、公积金基数调增，人员经费增加；本年地方国有农牧场税费改革转移支付资金项目增加；本年新增退休人员，职业年金缴费支出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退休人员生活补助</w:t>
      </w:r>
      <w:r>
        <w:rPr>
          <w:rFonts w:ascii="仿宋_GB2312" w:hAnsi="仿宋_GB2312" w:eastAsia="仿宋_GB2312"/>
          <w:b w:val="0"/>
          <w:sz w:val="32"/>
        </w:rPr>
        <w:t>增加。</w:t>
      </w:r>
      <w:r>
        <w:rPr>
          <w:rFonts w:ascii="仿宋_GB2312" w:hAnsi="仿宋_GB2312" w:eastAsia="仿宋_GB2312"/>
          <w:b/>
          <w:sz w:val="32"/>
        </w:rPr>
        <w:t>与年初预算相比,</w:t>
      </w:r>
      <w:r>
        <w:rPr>
          <w:rFonts w:ascii="仿宋_GB2312" w:hAnsi="仿宋_GB2312" w:eastAsia="仿宋_GB2312"/>
          <w:b w:val="0"/>
          <w:sz w:val="32"/>
        </w:rPr>
        <w:t>年初预算数185.49万元，决算数259.39万元，预决算差异率39.84%，主要原因是：年中追加在职人员工资、社保、公积金基数调增部分资金，</w:t>
      </w:r>
      <w:r>
        <w:rPr>
          <w:rFonts w:hint="eastAsia" w:ascii="仿宋_GB2312" w:hAnsi="仿宋_GB2312" w:eastAsia="仿宋_GB2312"/>
          <w:b w:val="0"/>
          <w:sz w:val="32"/>
          <w:lang w:val="en-US" w:eastAsia="zh-CN"/>
        </w:rPr>
        <w:t>追加</w:t>
      </w:r>
      <w:r>
        <w:rPr>
          <w:rFonts w:hint="eastAsia" w:ascii="仿宋_GB2312" w:hAnsi="仿宋_GB2312" w:eastAsia="仿宋_GB2312"/>
          <w:b w:val="0"/>
          <w:sz w:val="32"/>
        </w:rPr>
        <w:t>地方国有农牧场税费改革转移支付资金</w:t>
      </w:r>
      <w:r>
        <w:rPr>
          <w:rFonts w:hint="eastAsia" w:ascii="仿宋_GB2312" w:hAnsi="仿宋_GB2312" w:eastAsia="仿宋_GB2312"/>
          <w:b w:val="0"/>
          <w:sz w:val="32"/>
          <w:lang w:eastAsia="zh-CN"/>
        </w:rPr>
        <w:t>，</w:t>
      </w:r>
      <w:r>
        <w:rPr>
          <w:rFonts w:ascii="仿宋_GB2312" w:hAnsi="仿宋_GB2312" w:eastAsia="仿宋_GB2312"/>
          <w:b w:val="0"/>
          <w:sz w:val="32"/>
        </w:rPr>
        <w:t>导致预决算差异。</w:t>
      </w:r>
    </w:p>
    <w:p w14:paraId="618DDFE3">
      <w:pPr>
        <w:spacing w:line="640" w:lineRule="exact"/>
        <w:ind w:firstLine="640"/>
        <w:jc w:val="both"/>
        <w:outlineLvl w:val="3"/>
      </w:pPr>
      <w:r>
        <w:rPr>
          <w:rFonts w:ascii="楷体_GB2312" w:hAnsi="楷体_GB2312" w:eastAsia="楷体_GB2312"/>
          <w:b/>
          <w:sz w:val="32"/>
        </w:rPr>
        <w:t>（二）一般公共预算财政拨款支出决算结构情况</w:t>
      </w:r>
    </w:p>
    <w:p w14:paraId="7960174A">
      <w:pPr>
        <w:spacing w:line="580" w:lineRule="exact"/>
        <w:ind w:firstLine="640"/>
        <w:jc w:val="both"/>
      </w:pPr>
      <w:r>
        <w:rPr>
          <w:rFonts w:ascii="仿宋_GB2312" w:hAnsi="仿宋_GB2312" w:eastAsia="仿宋_GB2312"/>
          <w:b w:val="0"/>
          <w:sz w:val="32"/>
        </w:rPr>
        <w:t>1.一般公共服务支出(类)4.91万元,占1.89%。</w:t>
      </w:r>
    </w:p>
    <w:p w14:paraId="38DB0F9A">
      <w:pPr>
        <w:spacing w:line="580" w:lineRule="exact"/>
        <w:ind w:firstLine="640"/>
        <w:jc w:val="both"/>
      </w:pPr>
      <w:r>
        <w:rPr>
          <w:rFonts w:ascii="仿宋_GB2312" w:hAnsi="仿宋_GB2312" w:eastAsia="仿宋_GB2312"/>
          <w:b w:val="0"/>
          <w:sz w:val="32"/>
        </w:rPr>
        <w:t>2.文化旅游体育与传媒支出(类)1.50万元,占0.58%。</w:t>
      </w:r>
    </w:p>
    <w:p w14:paraId="47504EB4">
      <w:pPr>
        <w:spacing w:line="580" w:lineRule="exact"/>
        <w:ind w:firstLine="640"/>
        <w:jc w:val="both"/>
      </w:pPr>
      <w:r>
        <w:rPr>
          <w:rFonts w:ascii="仿宋_GB2312" w:hAnsi="仿宋_GB2312" w:eastAsia="仿宋_GB2312"/>
          <w:b w:val="0"/>
          <w:sz w:val="32"/>
        </w:rPr>
        <w:t>3.社会保障和就业支出(类)70.28万元,占27.09%。</w:t>
      </w:r>
    </w:p>
    <w:p w14:paraId="5D0ACE09">
      <w:pPr>
        <w:spacing w:line="580" w:lineRule="exact"/>
        <w:ind w:firstLine="640"/>
        <w:jc w:val="both"/>
      </w:pPr>
      <w:r>
        <w:rPr>
          <w:rFonts w:ascii="仿宋_GB2312" w:hAnsi="仿宋_GB2312" w:eastAsia="仿宋_GB2312"/>
          <w:b w:val="0"/>
          <w:sz w:val="32"/>
        </w:rPr>
        <w:t>4.卫生健康支出(类)7.01万元,占2.70%。</w:t>
      </w:r>
    </w:p>
    <w:p w14:paraId="5FD042AD">
      <w:pPr>
        <w:spacing w:line="580" w:lineRule="exact"/>
        <w:ind w:firstLine="640"/>
        <w:jc w:val="both"/>
      </w:pPr>
      <w:r>
        <w:rPr>
          <w:rFonts w:ascii="仿宋_GB2312" w:hAnsi="仿宋_GB2312" w:eastAsia="仿宋_GB2312"/>
          <w:b w:val="0"/>
          <w:sz w:val="32"/>
        </w:rPr>
        <w:t>5.农林水支出(类)162.96万元,占62.82%。</w:t>
      </w:r>
    </w:p>
    <w:p w14:paraId="57C16CAD">
      <w:pPr>
        <w:spacing w:line="580" w:lineRule="exact"/>
        <w:ind w:firstLine="640"/>
        <w:jc w:val="both"/>
      </w:pPr>
      <w:r>
        <w:rPr>
          <w:rFonts w:ascii="仿宋_GB2312" w:hAnsi="仿宋_GB2312" w:eastAsia="仿宋_GB2312"/>
          <w:b w:val="0"/>
          <w:sz w:val="32"/>
        </w:rPr>
        <w:t>6.住房保障支出(类)12.74万元,占4.91%。</w:t>
      </w:r>
    </w:p>
    <w:p w14:paraId="3A726D63">
      <w:pPr>
        <w:spacing w:line="640" w:lineRule="exact"/>
        <w:ind w:firstLine="640"/>
        <w:jc w:val="both"/>
        <w:outlineLvl w:val="3"/>
      </w:pPr>
      <w:r>
        <w:rPr>
          <w:rFonts w:ascii="楷体_GB2312" w:hAnsi="楷体_GB2312" w:eastAsia="楷体_GB2312"/>
          <w:b/>
          <w:sz w:val="32"/>
        </w:rPr>
        <w:t>（三）一般公共预算财政拨款支出决算具体情况</w:t>
      </w:r>
    </w:p>
    <w:p w14:paraId="0EF34882">
      <w:pPr>
        <w:spacing w:line="580" w:lineRule="exact"/>
        <w:ind w:firstLine="640"/>
        <w:jc w:val="both"/>
      </w:pPr>
      <w:r>
        <w:rPr>
          <w:rFonts w:ascii="仿宋_GB2312" w:hAnsi="仿宋_GB2312" w:eastAsia="仿宋_GB2312"/>
          <w:b w:val="0"/>
          <w:sz w:val="32"/>
        </w:rPr>
        <w:t>1.一般公共服务支出(类)组织事务(款)其他组织事务支出(项):支出决算数为4.91万元，比上年决算增加1.28万元，增长35.26%,主要原因是：本年办公费、邮电费增加。</w:t>
      </w:r>
    </w:p>
    <w:p w14:paraId="67404269">
      <w:pPr>
        <w:spacing w:line="580" w:lineRule="exact"/>
        <w:ind w:firstLine="640"/>
        <w:jc w:val="both"/>
      </w:pPr>
      <w:r>
        <w:rPr>
          <w:rFonts w:ascii="仿宋_GB2312" w:hAnsi="仿宋_GB2312" w:eastAsia="仿宋_GB2312"/>
          <w:b w:val="0"/>
          <w:sz w:val="32"/>
        </w:rPr>
        <w:t>2.文化旅游体育与传媒支出(类)文化和旅游(款)其他文化和旅游支出(项):支出决算数为1.50万元，比上年决算减少3.42万元，下降69.51%,主要原因是：本年减少文化站免费开放经费资金。</w:t>
      </w:r>
    </w:p>
    <w:p w14:paraId="74BF81F8">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3.社会保障和就业支出(类)行政事业单位养老支出(款)事业单位离退休(项):支出决算数为24.69万元，比上年决算增加21.70万元，增长725.75%,主要原因是：本年退休人员</w:t>
      </w:r>
      <w:r>
        <w:rPr>
          <w:rFonts w:hint="eastAsia" w:ascii="仿宋_GB2312" w:hAnsi="仿宋_GB2312" w:eastAsia="仿宋_GB2312"/>
          <w:b w:val="0"/>
          <w:sz w:val="32"/>
          <w:lang w:val="en-US" w:eastAsia="zh-CN"/>
        </w:rPr>
        <w:t>增加</w:t>
      </w:r>
      <w:r>
        <w:rPr>
          <w:rFonts w:ascii="仿宋_GB2312" w:hAnsi="仿宋_GB2312" w:eastAsia="仿宋_GB2312"/>
          <w:b w:val="0"/>
          <w:sz w:val="32"/>
        </w:rPr>
        <w:t>，增加</w:t>
      </w:r>
      <w:r>
        <w:rPr>
          <w:rFonts w:hint="eastAsia" w:ascii="仿宋_GB2312" w:hAnsi="仿宋_GB2312" w:eastAsia="仿宋_GB2312"/>
          <w:b w:val="0"/>
          <w:sz w:val="32"/>
          <w:lang w:val="en-US" w:eastAsia="zh-CN"/>
        </w:rPr>
        <w:t>退休人员生活补助</w:t>
      </w:r>
      <w:r>
        <w:rPr>
          <w:rFonts w:ascii="仿宋_GB2312" w:hAnsi="仿宋_GB2312" w:eastAsia="仿宋_GB2312"/>
          <w:b w:val="0"/>
          <w:sz w:val="32"/>
        </w:rPr>
        <w:t>。</w:t>
      </w:r>
    </w:p>
    <w:p w14:paraId="5B86C637">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38.06万元，比上年决算增加24.61万元，增长182.97%,主要原因是：本年在职人员工资基数调增，养老缴费基数上涨，相应支出增加。</w:t>
      </w:r>
    </w:p>
    <w:p w14:paraId="7EA3789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5.社会保障和就业支出(类)行政事业单位养老支出(款)机关事业单位职业年金缴费支出(项):支出决算数为7.53万元，比上年决算增加7.53万元，增长100.00%,主要原因是：本年新增退休人员，职业年金缴费支出增加。</w:t>
      </w:r>
    </w:p>
    <w:p w14:paraId="0DD38A89">
      <w:pPr>
        <w:spacing w:line="580" w:lineRule="exact"/>
        <w:ind w:firstLine="640"/>
        <w:jc w:val="both"/>
      </w:pPr>
      <w:r>
        <w:rPr>
          <w:rFonts w:ascii="仿宋_GB2312" w:hAnsi="仿宋_GB2312" w:eastAsia="仿宋_GB2312"/>
          <w:b w:val="0"/>
          <w:sz w:val="32"/>
        </w:rPr>
        <w:t>6.卫生健康支出(类)行政事业单位医疗(款)事业单位医疗(项):支出决算数为7.01万元，比上年决算增加1.20万元，增长20.65%,主要原因是：本年在职人员工资基数调增，医疗缴费基数上涨，相应支出增加。</w:t>
      </w:r>
    </w:p>
    <w:p w14:paraId="65FBA3E8">
      <w:pPr>
        <w:spacing w:line="580" w:lineRule="exact"/>
        <w:ind w:firstLine="640"/>
        <w:jc w:val="both"/>
      </w:pPr>
      <w:r>
        <w:rPr>
          <w:rFonts w:ascii="仿宋_GB2312" w:hAnsi="仿宋_GB2312" w:eastAsia="仿宋_GB2312"/>
          <w:b w:val="0"/>
          <w:sz w:val="32"/>
        </w:rPr>
        <w:t>7.农林水支出(类)林业和草原(款)事业机构(项):支出决算数为121.62万元，比上年决算减少36.19万元，下降22.93%,主要原因是：本年聘用人员劳务费减少。</w:t>
      </w:r>
    </w:p>
    <w:p w14:paraId="6485CA58">
      <w:pPr>
        <w:spacing w:line="580" w:lineRule="exact"/>
        <w:ind w:firstLine="640"/>
        <w:jc w:val="both"/>
      </w:pPr>
      <w:r>
        <w:rPr>
          <w:rFonts w:ascii="仿宋_GB2312" w:hAnsi="仿宋_GB2312" w:eastAsia="仿宋_GB2312"/>
          <w:b w:val="0"/>
          <w:sz w:val="32"/>
        </w:rPr>
        <w:t>8.农林水支出(类)农村综合改革(款)其他农村综合改革支出(项):支出决算数为41.33万元，比上年决算增加7.87万元，增长23.52%,主要原因是：2024年度地方国有农牧场税费改革转移支付资金项目增加。</w:t>
      </w:r>
    </w:p>
    <w:p w14:paraId="67F2FF20">
      <w:pPr>
        <w:spacing w:line="580" w:lineRule="exact"/>
        <w:ind w:firstLine="640"/>
        <w:jc w:val="both"/>
      </w:pPr>
      <w:r>
        <w:rPr>
          <w:rFonts w:ascii="仿宋_GB2312" w:hAnsi="仿宋_GB2312" w:eastAsia="仿宋_GB2312"/>
          <w:b w:val="0"/>
          <w:sz w:val="32"/>
        </w:rPr>
        <w:t>9.住房保障支出(类)住房改革支出(款)住房公积金(项):支出决算数为12.74万元，比上年决算增加2.65万元，增长26.26%,主要原因是：本年在职人员工资基数调增，公积金缴费基数上涨，相应支出增加。</w:t>
      </w:r>
    </w:p>
    <w:p w14:paraId="23E96AC9">
      <w:pPr>
        <w:spacing w:line="640" w:lineRule="exact"/>
        <w:ind w:firstLine="640"/>
        <w:jc w:val="both"/>
        <w:outlineLvl w:val="2"/>
      </w:pPr>
      <w:r>
        <w:rPr>
          <w:rFonts w:ascii="黑体" w:hAnsi="黑体" w:eastAsia="黑体"/>
          <w:sz w:val="32"/>
        </w:rPr>
        <w:t>六、一般公共预算财政拨款基本支出决算情况说明</w:t>
      </w:r>
    </w:p>
    <w:p w14:paraId="16090542">
      <w:pPr>
        <w:spacing w:line="580" w:lineRule="exact"/>
        <w:ind w:firstLine="640"/>
        <w:jc w:val="both"/>
      </w:pPr>
      <w:r>
        <w:rPr>
          <w:rFonts w:ascii="仿宋_GB2312" w:hAnsi="仿宋_GB2312" w:eastAsia="仿宋_GB2312"/>
          <w:b w:val="0"/>
          <w:sz w:val="32"/>
        </w:rPr>
        <w:t>2024年度一般公共预算财政拨款基本支出211.64万元，其中：</w:t>
      </w:r>
      <w:r>
        <w:rPr>
          <w:rFonts w:ascii="仿宋_GB2312" w:hAnsi="仿宋_GB2312" w:eastAsia="仿宋_GB2312"/>
          <w:b/>
          <w:sz w:val="32"/>
        </w:rPr>
        <w:t>人员经费208.75万元，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w:t>
      </w:r>
    </w:p>
    <w:p w14:paraId="69FB0DFB">
      <w:pPr>
        <w:spacing w:line="580" w:lineRule="exact"/>
        <w:ind w:firstLine="640"/>
        <w:jc w:val="both"/>
      </w:pPr>
      <w:r>
        <w:rPr>
          <w:rFonts w:ascii="仿宋_GB2312" w:hAnsi="仿宋_GB2312" w:eastAsia="仿宋_GB2312"/>
          <w:b/>
          <w:sz w:val="32"/>
        </w:rPr>
        <w:t>公用经费2.89万元，</w:t>
      </w:r>
      <w:r>
        <w:rPr>
          <w:rFonts w:ascii="仿宋_GB2312" w:hAnsi="仿宋_GB2312" w:eastAsia="仿宋_GB2312"/>
          <w:b w:val="0"/>
          <w:sz w:val="32"/>
        </w:rPr>
        <w:t>包括：办公费、邮电费。</w:t>
      </w:r>
    </w:p>
    <w:p w14:paraId="7563973E">
      <w:pPr>
        <w:spacing w:line="640" w:lineRule="exact"/>
        <w:ind w:firstLine="640"/>
        <w:jc w:val="both"/>
        <w:outlineLvl w:val="2"/>
      </w:pPr>
      <w:r>
        <w:rPr>
          <w:rFonts w:ascii="黑体" w:hAnsi="黑体" w:eastAsia="黑体"/>
          <w:sz w:val="32"/>
        </w:rPr>
        <w:t>七、政府性基金预算财政拨款收入支出决算情况说明</w:t>
      </w:r>
    </w:p>
    <w:p w14:paraId="1B00ED5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C0C8A9">
      <w:pPr>
        <w:spacing w:line="640" w:lineRule="exact"/>
        <w:ind w:firstLine="640"/>
        <w:jc w:val="both"/>
        <w:outlineLvl w:val="2"/>
      </w:pPr>
      <w:r>
        <w:rPr>
          <w:rFonts w:ascii="黑体" w:hAnsi="黑体" w:eastAsia="黑体"/>
          <w:sz w:val="32"/>
        </w:rPr>
        <w:t>八、国有资本经营预算财政拨款收入支出决算情况说明</w:t>
      </w:r>
    </w:p>
    <w:p w14:paraId="299F8E7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EDE11BA">
      <w:pPr>
        <w:spacing w:line="640" w:lineRule="exact"/>
        <w:ind w:firstLine="640"/>
        <w:jc w:val="both"/>
        <w:outlineLvl w:val="2"/>
      </w:pPr>
      <w:r>
        <w:rPr>
          <w:rFonts w:ascii="黑体" w:hAnsi="黑体" w:eastAsia="黑体"/>
          <w:sz w:val="32"/>
        </w:rPr>
        <w:t>九、财政拨款“三公”经费支出决算情况说明</w:t>
      </w:r>
    </w:p>
    <w:p w14:paraId="0FBCB44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F9C0A37">
      <w:pPr>
        <w:spacing w:line="580" w:lineRule="exact"/>
        <w:ind w:firstLine="640"/>
        <w:jc w:val="both"/>
      </w:pPr>
      <w:r>
        <w:rPr>
          <w:rFonts w:ascii="仿宋_GB2312" w:hAnsi="仿宋_GB2312" w:eastAsia="仿宋_GB2312"/>
          <w:b/>
          <w:sz w:val="32"/>
        </w:rPr>
        <w:t>具体情况如下：</w:t>
      </w:r>
    </w:p>
    <w:p w14:paraId="7E2D686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1B6267">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72C53D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D4122A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D57891C">
      <w:pPr>
        <w:spacing w:line="640" w:lineRule="exact"/>
        <w:ind w:firstLine="640"/>
        <w:jc w:val="both"/>
        <w:outlineLvl w:val="2"/>
      </w:pPr>
      <w:r>
        <w:rPr>
          <w:rFonts w:ascii="黑体" w:hAnsi="黑体" w:eastAsia="黑体"/>
          <w:sz w:val="32"/>
        </w:rPr>
        <w:t>十、其他重要事项的情况说明</w:t>
      </w:r>
    </w:p>
    <w:p w14:paraId="1562F63B">
      <w:pPr>
        <w:spacing w:line="640" w:lineRule="exact"/>
        <w:ind w:firstLine="640"/>
        <w:jc w:val="both"/>
        <w:outlineLvl w:val="3"/>
      </w:pPr>
      <w:r>
        <w:rPr>
          <w:rFonts w:ascii="楷体_GB2312" w:hAnsi="楷体_GB2312" w:eastAsia="楷体_GB2312"/>
          <w:b/>
          <w:sz w:val="32"/>
        </w:rPr>
        <w:t>（一）机关运行经费及公用经费支出情况</w:t>
      </w:r>
    </w:p>
    <w:p w14:paraId="354781DB">
      <w:pPr>
        <w:spacing w:line="580" w:lineRule="exact"/>
        <w:ind w:firstLine="640"/>
        <w:jc w:val="both"/>
      </w:pPr>
      <w:r>
        <w:rPr>
          <w:rFonts w:ascii="仿宋_GB2312" w:hAnsi="仿宋_GB2312" w:eastAsia="仿宋_GB2312"/>
          <w:b w:val="0"/>
          <w:sz w:val="32"/>
        </w:rPr>
        <w:t>2024年度叶城县林场（事业单位）公用经费支出2.89万元，比上年增加1.69万元，增长140.83%，主要原因是：本年办公费增加，导致公用经费增加。</w:t>
      </w:r>
    </w:p>
    <w:p w14:paraId="2F3D6136">
      <w:pPr>
        <w:spacing w:line="640" w:lineRule="exact"/>
        <w:ind w:firstLine="640"/>
        <w:jc w:val="both"/>
        <w:outlineLvl w:val="3"/>
      </w:pPr>
      <w:r>
        <w:rPr>
          <w:rFonts w:ascii="楷体_GB2312" w:hAnsi="楷体_GB2312" w:eastAsia="楷体_GB2312"/>
          <w:b/>
          <w:sz w:val="32"/>
        </w:rPr>
        <w:t>（二）政府采购情况</w:t>
      </w:r>
    </w:p>
    <w:p w14:paraId="45A27FF1">
      <w:pPr>
        <w:spacing w:line="580" w:lineRule="exact"/>
        <w:ind w:firstLine="640"/>
        <w:jc w:val="both"/>
      </w:pPr>
      <w:r>
        <w:rPr>
          <w:rFonts w:ascii="仿宋_GB2312" w:hAnsi="仿宋_GB2312" w:eastAsia="仿宋_GB2312"/>
          <w:b w:val="0"/>
          <w:sz w:val="32"/>
        </w:rPr>
        <w:t>2024年度政府采购支出总额3.83万元，其中：政府采购货物支出3.83万元、政府采购工程支出0.00万元、政府采购服务支出0.00万元。</w:t>
      </w:r>
    </w:p>
    <w:p w14:paraId="3DA5B52E">
      <w:pPr>
        <w:spacing w:line="580" w:lineRule="exact"/>
        <w:ind w:firstLine="640"/>
        <w:jc w:val="both"/>
      </w:pPr>
      <w:r>
        <w:rPr>
          <w:rFonts w:ascii="仿宋_GB2312" w:hAnsi="仿宋_GB2312" w:eastAsia="仿宋_GB2312"/>
          <w:b w:val="0"/>
          <w:sz w:val="32"/>
        </w:rPr>
        <w:t>授予中小企业合同金额3.83万元，占政府采购支出总额的100.00%，其中：授予小微企业合同金额2.50万元，占政府采购支出总额的65.27%。</w:t>
      </w:r>
    </w:p>
    <w:p w14:paraId="3A5C6D2B">
      <w:pPr>
        <w:spacing w:line="640" w:lineRule="exact"/>
        <w:ind w:firstLine="640"/>
        <w:jc w:val="both"/>
        <w:outlineLvl w:val="3"/>
      </w:pPr>
      <w:r>
        <w:rPr>
          <w:rFonts w:ascii="楷体_GB2312" w:hAnsi="楷体_GB2312" w:eastAsia="楷体_GB2312"/>
          <w:b/>
          <w:sz w:val="32"/>
        </w:rPr>
        <w:t>（三）国有资产占用情况说明</w:t>
      </w:r>
    </w:p>
    <w:p w14:paraId="43B91940">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6FAB5AF7">
      <w:pPr>
        <w:spacing w:line="640" w:lineRule="exact"/>
        <w:ind w:firstLine="640"/>
        <w:jc w:val="both"/>
        <w:outlineLvl w:val="2"/>
      </w:pPr>
      <w:r>
        <w:rPr>
          <w:rFonts w:ascii="黑体" w:hAnsi="黑体" w:eastAsia="黑体"/>
          <w:sz w:val="32"/>
        </w:rPr>
        <w:t>十一、预算绩效的情况说明</w:t>
      </w:r>
    </w:p>
    <w:p w14:paraId="0745BFA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259.38万元，实际执行总额259.38万元；预算绩效评价项目1个，全年预算数70.00万元，全年执行数41.33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效果；二是严格按照工作职责和相关文件依据，确保专款专用；三是严格控制资金的流出方向，确保资金的合规性。发现的问题及原因：一是部分业务人员绩效管理意识有待增强，未能全面深入认识理解绩效管理工作的意义；二是绩效管理经验不足，预算绩效管理工作有待进一步落实。下一步改进措施：加大绩效工作宣传力度，强化绩效理念。加强新行政单位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行政单位会计制度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单位财务规则》等学习培训,规范部门预算收支核算。加强学习。进一步明确如何参照考核体系，科学合理设定绩效目标，充分发挥预算绩效管理工作效用。具体附整体支出绩效自评表，项目支出绩效自评表和评价报告。</w:t>
      </w:r>
    </w:p>
    <w:p w14:paraId="20320D6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9F4A00">
        <w:tblPrEx>
          <w:tblCellMar>
            <w:top w:w="0" w:type="dxa"/>
            <w:left w:w="108" w:type="dxa"/>
            <w:bottom w:w="0" w:type="dxa"/>
            <w:right w:w="108" w:type="dxa"/>
          </w:tblCellMar>
        </w:tblPrEx>
        <w:tc>
          <w:tcPr>
            <w:tcW w:w="8847" w:type="dxa"/>
            <w:gridSpan w:val="9"/>
            <w:vAlign w:val="center"/>
          </w:tcPr>
          <w:p w14:paraId="40DAC00B">
            <w:pPr>
              <w:jc w:val="center"/>
            </w:pPr>
            <w:r>
              <w:rPr>
                <w:rFonts w:ascii="宋体" w:hAnsi="宋体" w:eastAsia="宋体"/>
                <w:sz w:val="24"/>
              </w:rPr>
              <w:t>单位整体支出绩效自评表</w:t>
            </w:r>
          </w:p>
        </w:tc>
      </w:tr>
      <w:tr w14:paraId="625C812C">
        <w:tblPrEx>
          <w:tblCellMar>
            <w:top w:w="0" w:type="dxa"/>
            <w:left w:w="108" w:type="dxa"/>
            <w:bottom w:w="0" w:type="dxa"/>
            <w:right w:w="108" w:type="dxa"/>
          </w:tblCellMar>
        </w:tblPrEx>
        <w:tc>
          <w:tcPr>
            <w:tcW w:w="8847" w:type="dxa"/>
            <w:gridSpan w:val="9"/>
            <w:vAlign w:val="center"/>
          </w:tcPr>
          <w:p w14:paraId="715FE922">
            <w:pPr>
              <w:jc w:val="center"/>
            </w:pPr>
            <w:r>
              <w:rPr>
                <w:rFonts w:ascii="宋体" w:hAnsi="宋体" w:eastAsia="宋体"/>
                <w:sz w:val="24"/>
              </w:rPr>
              <w:t>（2024年度）</w:t>
            </w:r>
          </w:p>
        </w:tc>
      </w:tr>
      <w:tr w14:paraId="1657E4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9DE7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99C0611">
            <w:pPr>
              <w:jc w:val="center"/>
            </w:pPr>
            <w:r>
              <w:rPr>
                <w:rFonts w:ascii="宋体" w:hAnsi="宋体" w:eastAsia="宋体"/>
                <w:sz w:val="16"/>
              </w:rPr>
              <w:t>叶城县林场</w:t>
            </w:r>
          </w:p>
        </w:tc>
      </w:tr>
      <w:tr w14:paraId="5D0BD8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799C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B856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543E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87C6D">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5C2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0A45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C099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24CAA">
            <w:pPr>
              <w:jc w:val="center"/>
            </w:pPr>
            <w:r>
              <w:rPr>
                <w:rFonts w:ascii="宋体" w:hAnsi="宋体" w:eastAsia="宋体"/>
                <w:sz w:val="16"/>
              </w:rPr>
              <w:t>得分</w:t>
            </w:r>
          </w:p>
        </w:tc>
      </w:tr>
      <w:tr w14:paraId="68A141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D07B5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2C5BD">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4D369">
            <w:pPr>
              <w:jc w:val="center"/>
            </w:pPr>
            <w:r>
              <w:rPr>
                <w:rFonts w:ascii="宋体" w:hAnsi="宋体" w:eastAsia="宋体"/>
                <w:sz w:val="16"/>
              </w:rPr>
              <w:t>185.47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6A5D7">
            <w:pPr>
              <w:jc w:val="center"/>
            </w:pPr>
            <w:r>
              <w:rPr>
                <w:rFonts w:ascii="宋体" w:hAnsi="宋体" w:eastAsia="宋体"/>
                <w:sz w:val="16"/>
              </w:rPr>
              <w:t>259.38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4EA9B">
            <w:pPr>
              <w:jc w:val="center"/>
            </w:pPr>
            <w:r>
              <w:rPr>
                <w:rFonts w:ascii="宋体" w:hAnsi="宋体" w:eastAsia="宋体"/>
                <w:sz w:val="16"/>
              </w:rPr>
              <w:t>259.38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0DDF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43117">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D1E5B">
            <w:pPr>
              <w:jc w:val="center"/>
            </w:pPr>
            <w:r>
              <w:rPr>
                <w:rFonts w:ascii="宋体" w:hAnsi="宋体" w:eastAsia="宋体"/>
                <w:sz w:val="16"/>
              </w:rPr>
              <w:t>10</w:t>
            </w:r>
          </w:p>
        </w:tc>
      </w:tr>
      <w:tr w14:paraId="5B412B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E54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3E2F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E5FDC">
            <w:pPr>
              <w:jc w:val="center"/>
            </w:pPr>
            <w:r>
              <w:rPr>
                <w:rFonts w:ascii="宋体" w:hAnsi="宋体" w:eastAsia="宋体"/>
                <w:sz w:val="16"/>
              </w:rPr>
              <w:t>0.08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DD49E">
            <w:pPr>
              <w:jc w:val="center"/>
            </w:pPr>
            <w:r>
              <w:rPr>
                <w:rFonts w:ascii="宋体" w:hAnsi="宋体" w:eastAsia="宋体"/>
                <w:sz w:val="16"/>
              </w:rPr>
              <w:t>47.74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CAF50">
            <w:pPr>
              <w:jc w:val="center"/>
            </w:pPr>
            <w:r>
              <w:rPr>
                <w:rFonts w:ascii="宋体" w:hAnsi="宋体" w:eastAsia="宋体"/>
                <w:sz w:val="16"/>
              </w:rPr>
              <w:t>47.74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342E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0C6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1C4E3">
            <w:pPr>
              <w:jc w:val="center"/>
            </w:pPr>
            <w:r>
              <w:rPr>
                <w:rFonts w:ascii="宋体" w:hAnsi="宋体" w:eastAsia="宋体"/>
                <w:sz w:val="16"/>
              </w:rPr>
              <w:t>—</w:t>
            </w:r>
          </w:p>
        </w:tc>
      </w:tr>
      <w:tr w14:paraId="7FD46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617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6B83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52621">
            <w:pPr>
              <w:jc w:val="center"/>
            </w:pPr>
            <w:r>
              <w:rPr>
                <w:rFonts w:ascii="宋体" w:hAnsi="宋体" w:eastAsia="宋体"/>
                <w:sz w:val="16"/>
              </w:rPr>
              <w:t>185.39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2F58C">
            <w:pPr>
              <w:jc w:val="center"/>
            </w:pPr>
            <w:r>
              <w:rPr>
                <w:rFonts w:ascii="宋体" w:hAnsi="宋体" w:eastAsia="宋体"/>
                <w:sz w:val="16"/>
              </w:rPr>
              <w:t>211.64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A8D2E">
            <w:pPr>
              <w:jc w:val="center"/>
            </w:pPr>
            <w:r>
              <w:rPr>
                <w:rFonts w:ascii="宋体" w:hAnsi="宋体" w:eastAsia="宋体"/>
                <w:sz w:val="16"/>
              </w:rPr>
              <w:t>211.64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8D4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A4993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D62B">
            <w:pPr>
              <w:jc w:val="center"/>
            </w:pPr>
            <w:r>
              <w:rPr>
                <w:rFonts w:ascii="宋体" w:hAnsi="宋体" w:eastAsia="宋体"/>
                <w:sz w:val="16"/>
              </w:rPr>
              <w:t>—</w:t>
            </w:r>
          </w:p>
        </w:tc>
      </w:tr>
      <w:tr w14:paraId="0FFD0C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D8A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3D5C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C5B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BEF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B4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82F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6F69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BDA13">
            <w:pPr>
              <w:jc w:val="center"/>
            </w:pPr>
            <w:r>
              <w:rPr>
                <w:rFonts w:ascii="宋体" w:hAnsi="宋体" w:eastAsia="宋体"/>
                <w:sz w:val="16"/>
              </w:rPr>
              <w:t>—</w:t>
            </w:r>
          </w:p>
        </w:tc>
      </w:tr>
      <w:tr w14:paraId="41B9B4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A7E3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C8A58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85451">
            <w:pPr>
              <w:jc w:val="center"/>
            </w:pPr>
            <w:r>
              <w:rPr>
                <w:rFonts w:ascii="宋体" w:hAnsi="宋体" w:eastAsia="宋体"/>
                <w:sz w:val="16"/>
              </w:rPr>
              <w:t>实际完成情况</w:t>
            </w:r>
          </w:p>
        </w:tc>
      </w:tr>
      <w:tr w14:paraId="7519FE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1D25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708365">
            <w:pPr>
              <w:jc w:val="both"/>
            </w:pPr>
            <w:r>
              <w:rPr>
                <w:rFonts w:ascii="宋体" w:hAnsi="宋体" w:eastAsia="宋体"/>
                <w:sz w:val="16"/>
              </w:rPr>
              <w:t>负责全场管理事务，贯彻落实党的二十大、</w:t>
            </w:r>
            <w:r>
              <w:rPr>
                <w:rFonts w:hint="eastAsia" w:ascii="宋体" w:hAnsi="宋体"/>
                <w:sz w:val="16"/>
                <w:lang w:eastAsia="zh-CN"/>
              </w:rPr>
              <w:t>第三次中央新疆工作座谈会</w:t>
            </w:r>
            <w:r>
              <w:rPr>
                <w:rFonts w:ascii="宋体" w:hAnsi="宋体" w:eastAsia="宋体"/>
                <w:sz w:val="16"/>
              </w:rPr>
              <w:t>精神，以</w:t>
            </w:r>
            <w:r>
              <w:rPr>
                <w:rFonts w:hint="eastAsia" w:ascii="宋体" w:hAnsi="宋体"/>
                <w:sz w:val="16"/>
                <w:lang w:eastAsia="zh-CN"/>
              </w:rPr>
              <w:t>习近平总书记重要讲话精神</w:t>
            </w:r>
            <w:r>
              <w:rPr>
                <w:rFonts w:ascii="宋体" w:hAnsi="宋体" w:eastAsia="宋体"/>
                <w:sz w:val="16"/>
              </w:rPr>
              <w:t>、自治区、地委扩大会议要求为指导，坚决贯彻县委、县人民政府、镇党委、镇政府各项指示，负责全场经济社会发展、社会事务管理、安全稳定、基层组织建设等全面工作。以乡村振兴为引领实现社会发展“总目标”，不断铸牢全乡经济社会发展基础，为全乡各族群众提供社会服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9A1970">
            <w:pPr>
              <w:jc w:val="both"/>
            </w:pPr>
            <w:r>
              <w:rPr>
                <w:rFonts w:hint="eastAsia" w:ascii="宋体" w:hAnsi="宋体"/>
                <w:sz w:val="16"/>
                <w:lang w:eastAsia="zh-CN"/>
              </w:rPr>
              <w:t>截至</w:t>
            </w:r>
            <w:r>
              <w:rPr>
                <w:rFonts w:ascii="宋体" w:hAnsi="宋体" w:eastAsia="宋体"/>
                <w:sz w:val="16"/>
              </w:rPr>
              <w:t>2024年12月31日，在上级部门的领导下，贯彻落实党的二十大、</w:t>
            </w:r>
            <w:r>
              <w:rPr>
                <w:rFonts w:hint="eastAsia" w:ascii="宋体" w:hAnsi="宋体"/>
                <w:sz w:val="16"/>
                <w:lang w:eastAsia="zh-CN"/>
              </w:rPr>
              <w:t>第三次中央新疆工作座谈会</w:t>
            </w:r>
            <w:r>
              <w:rPr>
                <w:rFonts w:ascii="宋体" w:hAnsi="宋体" w:eastAsia="宋体"/>
                <w:sz w:val="16"/>
              </w:rPr>
              <w:t>精神，以</w:t>
            </w:r>
            <w:r>
              <w:rPr>
                <w:rFonts w:hint="eastAsia" w:ascii="宋体" w:hAnsi="宋体"/>
                <w:sz w:val="16"/>
                <w:lang w:eastAsia="zh-CN"/>
              </w:rPr>
              <w:t>习近平总书记重要讲话精神</w:t>
            </w:r>
            <w:r>
              <w:rPr>
                <w:rFonts w:ascii="宋体" w:hAnsi="宋体" w:eastAsia="宋体"/>
                <w:sz w:val="16"/>
              </w:rPr>
              <w:t>、自治区、地委扩大会议要求为指导，坚决贯彻县委、县人民政府、镇党委、镇政府各项指示，负责全场经济社会发展、社会事务管理、安全稳定、基层组织建设等全面工作。改造苹果园6.3亩，育苗6万株，种植小麦178.50亩，正播玉米300亩，发展党员3人，以乡村振兴为引领实现社会发展“总目标”，不断铸牢全乡经济社会发展基础，为全乡各族群众提供社会服务，圆满完成各项工作，在经济社会发展社会事务发展安全稳定基层组织建设方面取得了优秀成绩。</w:t>
            </w:r>
          </w:p>
        </w:tc>
      </w:tr>
      <w:tr w14:paraId="2D0A358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78C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32BD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4EE0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56D34">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4ECA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7DE6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BA74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F75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B77B6">
            <w:pPr>
              <w:jc w:val="center"/>
            </w:pPr>
            <w:r>
              <w:rPr>
                <w:rFonts w:ascii="宋体" w:hAnsi="宋体" w:eastAsia="宋体"/>
                <w:sz w:val="16"/>
              </w:rPr>
              <w:t>得分</w:t>
            </w:r>
          </w:p>
        </w:tc>
      </w:tr>
      <w:tr w14:paraId="525ADDB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8E056">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D1AF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0D843">
            <w:pPr>
              <w:jc w:val="center"/>
            </w:pPr>
            <w:r>
              <w:rPr>
                <w:rFonts w:ascii="宋体" w:hAnsi="宋体" w:eastAsia="宋体"/>
                <w:sz w:val="16"/>
              </w:rPr>
              <w:t>种植小麦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F9D97">
            <w:pPr>
              <w:jc w:val="center"/>
            </w:pPr>
            <w:r>
              <w:rPr>
                <w:rFonts w:ascii="宋体" w:hAnsi="宋体" w:eastAsia="宋体"/>
                <w:sz w:val="16"/>
              </w:rPr>
              <w:t>&gt;=178.50亩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55B2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42BA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3F143">
            <w:pPr>
              <w:jc w:val="center"/>
            </w:pPr>
            <w:r>
              <w:rPr>
                <w:rFonts w:ascii="宋体" w:hAnsi="宋体" w:eastAsia="宋体"/>
                <w:sz w:val="16"/>
              </w:rPr>
              <w:t>178.5亩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03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04048">
            <w:pPr>
              <w:jc w:val="center"/>
            </w:pPr>
            <w:r>
              <w:rPr>
                <w:rFonts w:ascii="宋体" w:hAnsi="宋体" w:eastAsia="宋体"/>
                <w:sz w:val="16"/>
              </w:rPr>
              <w:t>18</w:t>
            </w:r>
          </w:p>
        </w:tc>
      </w:tr>
      <w:tr w14:paraId="6C6D96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6D1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8644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370BB">
            <w:pPr>
              <w:jc w:val="center"/>
            </w:pPr>
            <w:r>
              <w:rPr>
                <w:rFonts w:ascii="宋体" w:hAnsi="宋体" w:eastAsia="宋体"/>
                <w:sz w:val="16"/>
              </w:rPr>
              <w:t>正播玉米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E822A">
            <w:pPr>
              <w:jc w:val="center"/>
            </w:pPr>
            <w:r>
              <w:rPr>
                <w:rFonts w:ascii="宋体" w:hAnsi="宋体" w:eastAsia="宋体"/>
                <w:sz w:val="16"/>
              </w:rPr>
              <w:t>&gt;=300亩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AAFC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41F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FD546">
            <w:pPr>
              <w:jc w:val="center"/>
            </w:pPr>
            <w:r>
              <w:rPr>
                <w:rFonts w:ascii="宋体" w:hAnsi="宋体" w:eastAsia="宋体"/>
                <w:sz w:val="16"/>
              </w:rPr>
              <w:t>300亩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FE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E60B7">
            <w:pPr>
              <w:jc w:val="center"/>
            </w:pPr>
            <w:r>
              <w:rPr>
                <w:rFonts w:ascii="宋体" w:hAnsi="宋体" w:eastAsia="宋体"/>
                <w:sz w:val="16"/>
              </w:rPr>
              <w:t>18</w:t>
            </w:r>
          </w:p>
        </w:tc>
      </w:tr>
      <w:tr w14:paraId="6F356B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39A1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4D77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92FDD">
            <w:pPr>
              <w:jc w:val="center"/>
            </w:pPr>
            <w:r>
              <w:rPr>
                <w:rFonts w:ascii="宋体" w:hAnsi="宋体" w:eastAsia="宋体"/>
                <w:sz w:val="16"/>
              </w:rPr>
              <w:t>发展党员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C0D18">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2FB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AB50E5">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9956A">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BE09D">
            <w:pPr>
              <w:jc w:val="center"/>
            </w:pPr>
            <w:r>
              <w:rPr>
                <w:rFonts w:ascii="宋体" w:hAnsi="宋体" w:eastAsia="宋体"/>
                <w:sz w:val="16"/>
              </w:rPr>
              <w:t>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2E4D">
            <w:pPr>
              <w:jc w:val="center"/>
            </w:pPr>
            <w:r>
              <w:rPr>
                <w:rFonts w:ascii="宋体" w:hAnsi="宋体" w:eastAsia="宋体"/>
                <w:sz w:val="16"/>
              </w:rPr>
              <w:t>13.5</w:t>
            </w:r>
          </w:p>
        </w:tc>
      </w:tr>
      <w:tr w14:paraId="49382C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02B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9CD4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8682B">
            <w:pPr>
              <w:jc w:val="center"/>
            </w:pPr>
            <w:r>
              <w:rPr>
                <w:rFonts w:ascii="宋体" w:hAnsi="宋体" w:eastAsia="宋体"/>
                <w:sz w:val="16"/>
              </w:rPr>
              <w:t>育苗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3AAC4">
            <w:pPr>
              <w:jc w:val="center"/>
            </w:pPr>
            <w:r>
              <w:rPr>
                <w:rFonts w:ascii="宋体" w:hAnsi="宋体" w:eastAsia="宋体"/>
                <w:sz w:val="16"/>
              </w:rPr>
              <w:t>&gt;=5万株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820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C61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FDD4A0">
            <w:pPr>
              <w:jc w:val="center"/>
            </w:pPr>
            <w:r>
              <w:rPr>
                <w:rFonts w:ascii="宋体" w:hAnsi="宋体" w:eastAsia="宋体"/>
                <w:sz w:val="16"/>
              </w:rPr>
              <w:t>6万株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29E8C">
            <w:pPr>
              <w:jc w:val="center"/>
            </w:pPr>
            <w:r>
              <w:rPr>
                <w:rFonts w:ascii="宋体" w:hAnsi="宋体" w:eastAsia="宋体"/>
                <w:sz w:val="16"/>
              </w:rPr>
              <w:t>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02CF1">
            <w:pPr>
              <w:jc w:val="center"/>
            </w:pPr>
            <w:r>
              <w:rPr>
                <w:rFonts w:ascii="宋体" w:hAnsi="宋体" w:eastAsia="宋体"/>
                <w:sz w:val="16"/>
              </w:rPr>
              <w:t>18</w:t>
            </w:r>
          </w:p>
        </w:tc>
      </w:tr>
      <w:tr w14:paraId="3740E6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CC2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F88C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907EA">
            <w:pPr>
              <w:jc w:val="center"/>
            </w:pPr>
            <w:r>
              <w:rPr>
                <w:rFonts w:ascii="宋体" w:hAnsi="宋体" w:eastAsia="宋体"/>
                <w:sz w:val="16"/>
              </w:rPr>
              <w:t>改造苹果园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C6B6">
            <w:pPr>
              <w:jc w:val="center"/>
            </w:pPr>
            <w:r>
              <w:rPr>
                <w:rFonts w:ascii="宋体" w:hAnsi="宋体" w:eastAsia="宋体"/>
                <w:sz w:val="16"/>
              </w:rPr>
              <w:t>&gt;=5亩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062F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F046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F8106">
            <w:pPr>
              <w:jc w:val="center"/>
            </w:pPr>
            <w:r>
              <w:rPr>
                <w:rFonts w:ascii="宋体" w:hAnsi="宋体" w:eastAsia="宋体"/>
                <w:sz w:val="16"/>
              </w:rPr>
              <w:t>6.3亩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2F8B">
            <w:pPr>
              <w:jc w:val="center"/>
            </w:pPr>
            <w:r>
              <w:rPr>
                <w:rFonts w:ascii="宋体" w:hAnsi="宋体" w:eastAsia="宋体"/>
                <w:sz w:val="16"/>
              </w:rPr>
              <w:t>126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B3CCB">
            <w:pPr>
              <w:jc w:val="center"/>
            </w:pPr>
            <w:r>
              <w:rPr>
                <w:rFonts w:ascii="宋体" w:hAnsi="宋体" w:eastAsia="宋体"/>
                <w:sz w:val="16"/>
              </w:rPr>
              <w:t>18</w:t>
            </w:r>
          </w:p>
        </w:tc>
      </w:tr>
    </w:tbl>
    <w:p w14:paraId="6F4977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130E3DBA">
        <w:tblPrEx>
          <w:tblCellMar>
            <w:top w:w="0" w:type="dxa"/>
            <w:left w:w="108" w:type="dxa"/>
            <w:bottom w:w="0" w:type="dxa"/>
            <w:right w:w="108" w:type="dxa"/>
          </w:tblCellMar>
        </w:tblPrEx>
        <w:tc>
          <w:tcPr>
            <w:tcW w:w="8848" w:type="dxa"/>
            <w:gridSpan w:val="14"/>
            <w:vAlign w:val="center"/>
          </w:tcPr>
          <w:p w14:paraId="7C1B2586">
            <w:pPr>
              <w:jc w:val="center"/>
            </w:pPr>
            <w:r>
              <w:rPr>
                <w:rFonts w:ascii="宋体" w:hAnsi="宋体" w:eastAsia="宋体"/>
                <w:sz w:val="24"/>
              </w:rPr>
              <w:t>项目支出绩效自评表</w:t>
            </w:r>
          </w:p>
        </w:tc>
      </w:tr>
      <w:tr w14:paraId="68C21D5C">
        <w:tblPrEx>
          <w:tblCellMar>
            <w:top w:w="0" w:type="dxa"/>
            <w:left w:w="108" w:type="dxa"/>
            <w:bottom w:w="0" w:type="dxa"/>
            <w:right w:w="108" w:type="dxa"/>
          </w:tblCellMar>
        </w:tblPrEx>
        <w:tc>
          <w:tcPr>
            <w:tcW w:w="8848" w:type="dxa"/>
            <w:gridSpan w:val="14"/>
            <w:vAlign w:val="center"/>
          </w:tcPr>
          <w:p w14:paraId="4D2DD7B4">
            <w:pPr>
              <w:jc w:val="center"/>
            </w:pPr>
            <w:r>
              <w:rPr>
                <w:rFonts w:ascii="宋体" w:hAnsi="宋体" w:eastAsia="宋体"/>
                <w:sz w:val="24"/>
              </w:rPr>
              <w:t>(2024年度)</w:t>
            </w:r>
          </w:p>
        </w:tc>
      </w:tr>
      <w:tr w14:paraId="38CAE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9E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2AEC8C">
            <w:pPr>
              <w:jc w:val="center"/>
            </w:pPr>
            <w:r>
              <w:rPr>
                <w:rFonts w:ascii="宋体" w:hAnsi="宋体" w:eastAsia="宋体"/>
                <w:sz w:val="16"/>
              </w:rPr>
              <w:t>2024年度地方农牧场水费改革转移支付资金项目</w:t>
            </w:r>
          </w:p>
        </w:tc>
      </w:tr>
      <w:tr w14:paraId="5F5BD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28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F5FDBE">
            <w:pPr>
              <w:jc w:val="center"/>
            </w:pPr>
            <w:r>
              <w:rPr>
                <w:rFonts w:ascii="宋体" w:hAnsi="宋体" w:eastAsia="宋体"/>
                <w:sz w:val="16"/>
              </w:rPr>
              <w:t>叶城县林业草原局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90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A08C4E">
            <w:pPr>
              <w:jc w:val="center"/>
            </w:pPr>
            <w:r>
              <w:rPr>
                <w:rFonts w:ascii="宋体" w:hAnsi="宋体" w:eastAsia="宋体"/>
                <w:sz w:val="16"/>
              </w:rPr>
              <w:t>叶城县林场</w:t>
            </w:r>
          </w:p>
        </w:tc>
      </w:tr>
      <w:tr w14:paraId="4A679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B7CC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B1D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AD1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59B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937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210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AEF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BD30">
            <w:pPr>
              <w:jc w:val="center"/>
            </w:pPr>
            <w:r>
              <w:rPr>
                <w:rFonts w:ascii="宋体" w:hAnsi="宋体" w:eastAsia="宋体"/>
                <w:sz w:val="16"/>
              </w:rPr>
              <w:t>得分</w:t>
            </w:r>
          </w:p>
        </w:tc>
      </w:tr>
      <w:tr w14:paraId="30D21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9BD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FB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B588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D381">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774A1">
            <w:pPr>
              <w:jc w:val="center"/>
            </w:pPr>
            <w:r>
              <w:rPr>
                <w:rFonts w:ascii="宋体" w:hAnsi="宋体" w:eastAsia="宋体"/>
                <w:sz w:val="16"/>
              </w:rPr>
              <w:t>41.33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AA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164F2">
            <w:pPr>
              <w:jc w:val="center"/>
            </w:pPr>
            <w:r>
              <w:rPr>
                <w:rFonts w:ascii="宋体" w:hAnsi="宋体" w:eastAsia="宋体"/>
                <w:sz w:val="16"/>
              </w:rPr>
              <w:t>59.0%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01B8">
            <w:pPr>
              <w:jc w:val="center"/>
            </w:pPr>
            <w:r>
              <w:rPr>
                <w:rFonts w:ascii="宋体" w:hAnsi="宋体" w:eastAsia="宋体"/>
                <w:sz w:val="16"/>
              </w:rPr>
              <w:t>0.00分</w:t>
            </w:r>
          </w:p>
        </w:tc>
      </w:tr>
      <w:tr w14:paraId="3E3E5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BDD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708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B106E">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D56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77657">
            <w:pPr>
              <w:jc w:val="center"/>
            </w:pPr>
            <w:r>
              <w:rPr>
                <w:rFonts w:ascii="宋体" w:hAnsi="宋体" w:eastAsia="宋体"/>
                <w:sz w:val="16"/>
              </w:rPr>
              <w:t>41.33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5E0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93F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BC1A">
            <w:pPr>
              <w:jc w:val="center"/>
            </w:pPr>
            <w:r>
              <w:rPr>
                <w:rFonts w:ascii="宋体" w:hAnsi="宋体" w:eastAsia="宋体"/>
                <w:sz w:val="16"/>
              </w:rPr>
              <w:t>—</w:t>
            </w:r>
          </w:p>
        </w:tc>
      </w:tr>
      <w:tr w14:paraId="3C893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62D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F52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4A7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237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BC7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61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DD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B78">
            <w:pPr>
              <w:jc w:val="center"/>
            </w:pPr>
            <w:r>
              <w:rPr>
                <w:rFonts w:ascii="宋体" w:hAnsi="宋体" w:eastAsia="宋体"/>
                <w:sz w:val="16"/>
              </w:rPr>
              <w:t>—</w:t>
            </w:r>
          </w:p>
        </w:tc>
      </w:tr>
      <w:tr w14:paraId="46561F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09CA6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DFA8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DAC67F">
            <w:pPr>
              <w:jc w:val="center"/>
            </w:pPr>
            <w:r>
              <w:rPr>
                <w:rFonts w:ascii="宋体" w:hAnsi="宋体" w:eastAsia="宋体"/>
                <w:sz w:val="16"/>
              </w:rPr>
              <w:t>实际完成情况</w:t>
            </w:r>
          </w:p>
        </w:tc>
      </w:tr>
      <w:tr w14:paraId="0C4EA6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F99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65FB07">
            <w:pPr>
              <w:jc w:val="both"/>
            </w:pPr>
            <w:r>
              <w:rPr>
                <w:rFonts w:ascii="宋体" w:hAnsi="宋体" w:eastAsia="宋体"/>
                <w:sz w:val="16"/>
              </w:rPr>
              <w:t>项目安排资金70万元，其中工资44万元，办公经费26万元，为保障林场各项工作正常开展，</w:t>
            </w:r>
            <w:r>
              <w:rPr>
                <w:rFonts w:hint="eastAsia" w:ascii="宋体" w:hAnsi="宋体"/>
                <w:sz w:val="16"/>
                <w:lang w:eastAsia="zh-CN"/>
              </w:rPr>
              <w:t>更好地服务</w:t>
            </w:r>
            <w:r>
              <w:rPr>
                <w:rFonts w:ascii="宋体" w:hAnsi="宋体" w:eastAsia="宋体"/>
                <w:sz w:val="16"/>
              </w:rPr>
              <w:t>群众，引导群众“</w:t>
            </w:r>
            <w:bookmarkStart w:id="0" w:name="_GoBack"/>
            <w:r>
              <w:rPr>
                <w:rFonts w:hint="eastAsia" w:ascii="宋体" w:hAnsi="宋体"/>
                <w:sz w:val="16"/>
                <w:lang w:eastAsia="zh-CN"/>
              </w:rPr>
              <w:t>听党话、感党恩、跟党走</w:t>
            </w:r>
            <w:bookmarkEnd w:id="0"/>
            <w:r>
              <w:rPr>
                <w:rFonts w:ascii="宋体" w:hAnsi="宋体" w:eastAsia="宋体"/>
                <w:sz w:val="16"/>
              </w:rPr>
              <w:t>”，共建社会主义和谐社会。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BEE629">
            <w:pPr>
              <w:jc w:val="both"/>
            </w:pPr>
            <w:r>
              <w:rPr>
                <w:rFonts w:hint="eastAsia" w:ascii="宋体" w:hAnsi="宋体"/>
                <w:sz w:val="16"/>
                <w:lang w:eastAsia="zh-CN"/>
              </w:rPr>
              <w:t>截至2024</w:t>
            </w:r>
            <w:r>
              <w:rPr>
                <w:rFonts w:ascii="宋体" w:hAnsi="宋体" w:eastAsia="宋体"/>
                <w:sz w:val="16"/>
              </w:rPr>
              <w:t>年12月31日，项目支出合计41.33万无，其中：办公费支出41.33万元(办公费0.83万元；电费3万元；取暖费2.74万元；劳务费34.76万元)，项目的实施</w:t>
            </w:r>
            <w:r>
              <w:rPr>
                <w:rFonts w:hint="eastAsia" w:ascii="宋体" w:hAnsi="宋体"/>
                <w:sz w:val="16"/>
                <w:lang w:eastAsia="zh-CN"/>
              </w:rPr>
              <w:t>更好地服务</w:t>
            </w:r>
            <w:r>
              <w:rPr>
                <w:rFonts w:ascii="宋体" w:hAnsi="宋体" w:eastAsia="宋体"/>
                <w:sz w:val="16"/>
              </w:rPr>
              <w:t>群众，引导群众“</w:t>
            </w:r>
            <w:r>
              <w:rPr>
                <w:rFonts w:hint="eastAsia" w:ascii="宋体" w:hAnsi="宋体"/>
                <w:sz w:val="16"/>
                <w:lang w:eastAsia="zh-CN"/>
              </w:rPr>
              <w:t>听党话、感党恩、跟党走</w:t>
            </w:r>
            <w:r>
              <w:rPr>
                <w:rFonts w:ascii="宋体" w:hAnsi="宋体" w:eastAsia="宋体"/>
                <w:sz w:val="16"/>
              </w:rPr>
              <w:t>”，共建社会主义和谐社会。</w:t>
            </w:r>
          </w:p>
        </w:tc>
      </w:tr>
      <w:tr w14:paraId="092FA0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E22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3EA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E00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52A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86D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81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5A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FE2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64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25E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B91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28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06AD6">
            <w:pPr>
              <w:jc w:val="center"/>
            </w:pPr>
            <w:r>
              <w:rPr>
                <w:rFonts w:ascii="宋体" w:hAnsi="宋体" w:eastAsia="宋体"/>
                <w:sz w:val="16"/>
              </w:rPr>
              <w:t>偏差原因分析及改进措施</w:t>
            </w:r>
          </w:p>
        </w:tc>
      </w:tr>
      <w:tr w14:paraId="48A254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8E0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D196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A43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7730">
            <w:pPr>
              <w:jc w:val="center"/>
            </w:pPr>
            <w:r>
              <w:rPr>
                <w:rFonts w:ascii="宋体" w:hAnsi="宋体" w:eastAsia="宋体"/>
                <w:sz w:val="16"/>
              </w:rPr>
              <w:t>保障工资发放人数（人）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1A4E">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1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F38C">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10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14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1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CEA5">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01F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7C32F">
            <w:pPr>
              <w:jc w:val="center"/>
            </w:pPr>
          </w:p>
        </w:tc>
      </w:tr>
      <w:tr w14:paraId="3D16B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C07F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7C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F83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5AB64">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5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F6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67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3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1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E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1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7A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A4518">
            <w:pPr>
              <w:jc w:val="center"/>
            </w:pPr>
          </w:p>
        </w:tc>
      </w:tr>
      <w:tr w14:paraId="076686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60E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98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970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754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FD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F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8D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3A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6C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C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A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7B2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C09D8">
            <w:pPr>
              <w:jc w:val="center"/>
            </w:pPr>
            <w:r>
              <w:rPr>
                <w:rFonts w:ascii="宋体" w:hAnsi="宋体" w:eastAsia="宋体"/>
                <w:sz w:val="16"/>
              </w:rPr>
              <w:t>偏差原因：项目支付进度缓慢，未能达到序时进度；改进措施：加快项目支付进度</w:t>
            </w:r>
          </w:p>
        </w:tc>
      </w:tr>
      <w:tr w14:paraId="7A693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D3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81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B0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7F0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9517">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55D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52E43">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555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C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28E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BE0C9">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D747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8FB9E">
            <w:pPr>
              <w:jc w:val="center"/>
            </w:pPr>
            <w:r>
              <w:rPr>
                <w:rFonts w:ascii="宋体" w:hAnsi="宋体" w:eastAsia="宋体"/>
                <w:sz w:val="16"/>
              </w:rPr>
              <w:t>偏差原因：因项目资料不齐全，未能及时与相关部门进行对接，造成资金未支付完毕；改进措施：加快项目实施进度。</w:t>
            </w:r>
          </w:p>
        </w:tc>
      </w:tr>
      <w:tr w14:paraId="4359D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0E4C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18C1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592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37C4">
            <w:pPr>
              <w:jc w:val="center"/>
            </w:pPr>
            <w:r>
              <w:rPr>
                <w:rFonts w:ascii="宋体" w:hAnsi="宋体" w:eastAsia="宋体"/>
                <w:sz w:val="16"/>
              </w:rPr>
              <w:t>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AC69B">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A1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881E">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BC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5E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FB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7BF2">
            <w:pPr>
              <w:jc w:val="center"/>
            </w:pPr>
            <w:r>
              <w:rPr>
                <w:rFonts w:ascii="宋体" w:hAnsi="宋体" w:eastAsia="宋体"/>
                <w:sz w:val="16"/>
              </w:rPr>
              <w:t>=41.33万元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997C">
            <w:pPr>
              <w:jc w:val="center"/>
            </w:pPr>
            <w:r>
              <w:rPr>
                <w:rFonts w:ascii="宋体" w:hAnsi="宋体" w:eastAsia="宋体"/>
                <w:sz w:val="16"/>
              </w:rPr>
              <w:t>8.25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1389">
            <w:pPr>
              <w:jc w:val="center"/>
            </w:pPr>
            <w:r>
              <w:rPr>
                <w:rFonts w:ascii="宋体" w:hAnsi="宋体" w:eastAsia="宋体"/>
                <w:sz w:val="16"/>
              </w:rPr>
              <w:t>偏差原因：因项目资料不齐全，未能及时与相关部门进行对接，造成资金未支付完毕；改进措施：加快项目实施进度。</w:t>
            </w:r>
          </w:p>
        </w:tc>
      </w:tr>
      <w:tr w14:paraId="2AB12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A9A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6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EBA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DE83">
            <w:pPr>
              <w:jc w:val="center"/>
            </w:pPr>
            <w:r>
              <w:rPr>
                <w:rFonts w:ascii="宋体" w:hAnsi="宋体" w:eastAsia="宋体"/>
                <w:sz w:val="16"/>
              </w:rPr>
              <w:t>办公经费（万元）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E155">
            <w:pPr>
              <w:jc w:val="center"/>
            </w:pPr>
            <w:r>
              <w:rPr>
                <w:rFonts w:ascii="宋体" w:hAnsi="宋体" w:eastAsia="宋体"/>
                <w:sz w:val="16"/>
              </w:rPr>
              <w:t>&lt;=26万元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E7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86BA">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8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5D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524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57E4">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EE1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8402B">
            <w:pPr>
              <w:jc w:val="center"/>
            </w:pPr>
            <w:r>
              <w:rPr>
                <w:rFonts w:ascii="宋体" w:hAnsi="宋体" w:eastAsia="宋体"/>
                <w:sz w:val="16"/>
              </w:rPr>
              <w:t>偏差原因：因项目资料不齐全，未能及时与相关部门进行对接，造成资金未支付完毕；改进措施：加快项目实施进度。</w:t>
            </w:r>
          </w:p>
        </w:tc>
      </w:tr>
      <w:tr w14:paraId="7D95F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EC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37C1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B96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C7931">
            <w:pPr>
              <w:jc w:val="center"/>
            </w:pPr>
            <w:r>
              <w:rPr>
                <w:rFonts w:ascii="宋体" w:hAnsi="宋体" w:eastAsia="宋体"/>
                <w:sz w:val="16"/>
              </w:rPr>
              <w:t>保障单位运转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451A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C4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1F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5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37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36E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A09B">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9A2E">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6FB3A">
            <w:pPr>
              <w:jc w:val="center"/>
            </w:pPr>
            <w:r>
              <w:rPr>
                <w:rFonts w:ascii="宋体" w:hAnsi="宋体" w:eastAsia="宋体"/>
                <w:sz w:val="16"/>
              </w:rPr>
              <w:t>偏差原因：项目支付进度缓慢，未能达到序时进度；改进措施：加快项目支付进度</w:t>
            </w:r>
          </w:p>
        </w:tc>
      </w:tr>
      <w:tr w14:paraId="155DB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40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8F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B4B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7F3">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D3C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10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9C1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E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87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23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EE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4D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7E452">
            <w:pPr>
              <w:jc w:val="center"/>
            </w:pPr>
          </w:p>
        </w:tc>
      </w:tr>
      <w:tr w14:paraId="3F41ED3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FF22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55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94FD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28AA">
            <w:pPr>
              <w:jc w:val="center"/>
            </w:pPr>
            <w:r>
              <w:rPr>
                <w:rFonts w:ascii="宋体" w:hAnsi="宋体" w:eastAsia="宋体"/>
                <w:sz w:val="16"/>
              </w:rPr>
              <w:t>50.25分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746A5B0"/>
        </w:tc>
      </w:tr>
    </w:tbl>
    <w:p w14:paraId="0E5F78FE">
      <w:r>
        <w:br w:type="page"/>
      </w:r>
    </w:p>
    <w:p w14:paraId="07B0AB44">
      <w:pPr>
        <w:spacing w:line="640" w:lineRule="exact"/>
        <w:ind w:firstLine="640"/>
        <w:jc w:val="both"/>
        <w:outlineLvl w:val="2"/>
      </w:pPr>
      <w:r>
        <w:rPr>
          <w:rFonts w:ascii="黑体" w:hAnsi="黑体" w:eastAsia="黑体"/>
          <w:sz w:val="32"/>
        </w:rPr>
        <w:t>十二、其他需说明的事项</w:t>
      </w:r>
    </w:p>
    <w:p w14:paraId="5F7369A7">
      <w:pPr>
        <w:spacing w:line="580" w:lineRule="exact"/>
        <w:ind w:firstLine="640"/>
        <w:jc w:val="both"/>
      </w:pPr>
      <w:r>
        <w:rPr>
          <w:rFonts w:ascii="仿宋_GB2312" w:hAnsi="仿宋_GB2312" w:eastAsia="仿宋_GB2312"/>
          <w:b w:val="0"/>
          <w:sz w:val="32"/>
        </w:rPr>
        <w:t>本单位无其他需说明的事项。</w:t>
      </w:r>
    </w:p>
    <w:p w14:paraId="04629AA5">
      <w:r>
        <w:br w:type="page"/>
      </w:r>
    </w:p>
    <w:p w14:paraId="47B83310">
      <w:pPr>
        <w:spacing w:line="240" w:lineRule="auto"/>
        <w:jc w:val="center"/>
        <w:outlineLvl w:val="1"/>
      </w:pPr>
      <w:r>
        <w:rPr>
          <w:rFonts w:ascii="黑体" w:hAnsi="黑体" w:eastAsia="黑体"/>
          <w:sz w:val="32"/>
        </w:rPr>
        <w:t>第三部分 专业名词解释</w:t>
      </w:r>
    </w:p>
    <w:p w14:paraId="1AA871B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2F3492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27AB99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4612FA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5958DD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3D972D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A14B7A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FE52A70">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9DEA1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9847E3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EC60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8D98D3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599E6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57655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86832E4">
      <w:r>
        <w:br w:type="page"/>
      </w:r>
    </w:p>
    <w:p w14:paraId="413B4858">
      <w:pPr>
        <w:spacing w:line="240" w:lineRule="auto"/>
        <w:jc w:val="center"/>
        <w:outlineLvl w:val="1"/>
      </w:pPr>
      <w:r>
        <w:rPr>
          <w:rFonts w:ascii="黑体" w:hAnsi="黑体" w:eastAsia="黑体"/>
          <w:sz w:val="32"/>
        </w:rPr>
        <w:t>第四部分 部门决算报表（见附表）</w:t>
      </w:r>
    </w:p>
    <w:p w14:paraId="57EF4702">
      <w:pPr>
        <w:spacing w:line="240" w:lineRule="auto"/>
        <w:ind w:firstLine="640"/>
        <w:jc w:val="both"/>
      </w:pPr>
      <w:r>
        <w:rPr>
          <w:rFonts w:ascii="仿宋_GB2312" w:hAnsi="仿宋_GB2312" w:eastAsia="仿宋_GB2312"/>
          <w:b w:val="0"/>
          <w:sz w:val="32"/>
        </w:rPr>
        <w:t>一、《收入支出决算总表》</w:t>
      </w:r>
    </w:p>
    <w:p w14:paraId="7838548B">
      <w:pPr>
        <w:spacing w:line="240" w:lineRule="auto"/>
        <w:ind w:firstLine="640"/>
        <w:jc w:val="both"/>
      </w:pPr>
      <w:r>
        <w:rPr>
          <w:rFonts w:ascii="仿宋_GB2312" w:hAnsi="仿宋_GB2312" w:eastAsia="仿宋_GB2312"/>
          <w:b w:val="0"/>
          <w:sz w:val="32"/>
        </w:rPr>
        <w:t>二、《收入决算表》</w:t>
      </w:r>
    </w:p>
    <w:p w14:paraId="2456B769">
      <w:pPr>
        <w:spacing w:line="240" w:lineRule="auto"/>
        <w:ind w:firstLine="640"/>
        <w:jc w:val="both"/>
      </w:pPr>
      <w:r>
        <w:rPr>
          <w:rFonts w:ascii="仿宋_GB2312" w:hAnsi="仿宋_GB2312" w:eastAsia="仿宋_GB2312"/>
          <w:b w:val="0"/>
          <w:sz w:val="32"/>
        </w:rPr>
        <w:t>三、《支出决算表》</w:t>
      </w:r>
    </w:p>
    <w:p w14:paraId="2341B20C">
      <w:pPr>
        <w:spacing w:line="240" w:lineRule="auto"/>
        <w:ind w:firstLine="640"/>
        <w:jc w:val="both"/>
      </w:pPr>
      <w:r>
        <w:rPr>
          <w:rFonts w:ascii="仿宋_GB2312" w:hAnsi="仿宋_GB2312" w:eastAsia="仿宋_GB2312"/>
          <w:b w:val="0"/>
          <w:sz w:val="32"/>
        </w:rPr>
        <w:t>四、《财政拨款收入支出决算总表》</w:t>
      </w:r>
    </w:p>
    <w:p w14:paraId="69248345">
      <w:pPr>
        <w:spacing w:line="240" w:lineRule="auto"/>
        <w:ind w:firstLine="640"/>
        <w:jc w:val="both"/>
      </w:pPr>
      <w:r>
        <w:rPr>
          <w:rFonts w:ascii="仿宋_GB2312" w:hAnsi="仿宋_GB2312" w:eastAsia="仿宋_GB2312"/>
          <w:b w:val="0"/>
          <w:sz w:val="32"/>
        </w:rPr>
        <w:t>五、《一般公共预算财政拨款支出决算表》</w:t>
      </w:r>
    </w:p>
    <w:p w14:paraId="4BD15843">
      <w:pPr>
        <w:spacing w:line="240" w:lineRule="auto"/>
        <w:ind w:firstLine="640"/>
        <w:jc w:val="both"/>
      </w:pPr>
      <w:r>
        <w:rPr>
          <w:rFonts w:ascii="仿宋_GB2312" w:hAnsi="仿宋_GB2312" w:eastAsia="仿宋_GB2312"/>
          <w:b w:val="0"/>
          <w:sz w:val="32"/>
        </w:rPr>
        <w:t>六、《一般公共预算财政拨款基本支出决算表》</w:t>
      </w:r>
    </w:p>
    <w:p w14:paraId="1DB4B386">
      <w:pPr>
        <w:spacing w:line="240" w:lineRule="auto"/>
        <w:ind w:firstLine="640"/>
        <w:jc w:val="both"/>
      </w:pPr>
      <w:r>
        <w:rPr>
          <w:rFonts w:ascii="仿宋_GB2312" w:hAnsi="仿宋_GB2312" w:eastAsia="仿宋_GB2312"/>
          <w:b w:val="0"/>
          <w:sz w:val="32"/>
        </w:rPr>
        <w:t>七、《政府性基金预算财政拨款收入支出决算表》</w:t>
      </w:r>
    </w:p>
    <w:p w14:paraId="4692BC24">
      <w:pPr>
        <w:spacing w:line="240" w:lineRule="auto"/>
        <w:ind w:firstLine="640"/>
        <w:jc w:val="both"/>
      </w:pPr>
      <w:r>
        <w:rPr>
          <w:rFonts w:ascii="仿宋_GB2312" w:hAnsi="仿宋_GB2312" w:eastAsia="仿宋_GB2312"/>
          <w:b w:val="0"/>
          <w:sz w:val="32"/>
        </w:rPr>
        <w:t>八、《国有资本经营预算财政拨款收入支出决算表》</w:t>
      </w:r>
    </w:p>
    <w:p w14:paraId="4115F7F6">
      <w:pPr>
        <w:spacing w:line="240" w:lineRule="auto"/>
        <w:ind w:firstLine="640"/>
        <w:jc w:val="both"/>
      </w:pPr>
      <w:r>
        <w:rPr>
          <w:rFonts w:ascii="仿宋_GB2312" w:hAnsi="仿宋_GB2312" w:eastAsia="仿宋_GB2312"/>
          <w:b w:val="0"/>
          <w:sz w:val="32"/>
        </w:rPr>
        <w:t>九、《财政拨款“三公”经费支出决算表》</w:t>
      </w:r>
    </w:p>
    <w:p w14:paraId="4B6016F4">
      <w:pPr>
        <w:spacing w:line="240" w:lineRule="auto"/>
        <w:ind w:firstLine="640"/>
        <w:jc w:val="both"/>
      </w:pPr>
    </w:p>
    <w:p w14:paraId="26FDBAFD">
      <w:pPr>
        <w:spacing w:line="240" w:lineRule="auto"/>
        <w:ind w:firstLine="640"/>
        <w:jc w:val="both"/>
      </w:pPr>
    </w:p>
    <w:p w14:paraId="0C08F8E2">
      <w:pPr>
        <w:spacing w:line="240" w:lineRule="auto"/>
        <w:ind w:firstLine="640"/>
        <w:jc w:val="both"/>
      </w:pPr>
    </w:p>
    <w:p w14:paraId="21D2D6B4">
      <w:pPr>
        <w:spacing w:line="240" w:lineRule="auto"/>
        <w:ind w:firstLine="640"/>
        <w:jc w:val="both"/>
      </w:pPr>
    </w:p>
    <w:p w14:paraId="4D8DBE9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7C8E575-57BA-4012-ACF6-0126248E4D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B584C2B-FBA3-4FE2-BC12-2D5CD3406DFB}"/>
  </w:font>
  <w:font w:name="仿宋_GB2312">
    <w:panose1 w:val="02010609030101010101"/>
    <w:charset w:val="86"/>
    <w:family w:val="modern"/>
    <w:pitch w:val="default"/>
    <w:sig w:usb0="00000001" w:usb1="080E0000" w:usb2="00000000" w:usb3="00000000" w:csb0="00040000" w:csb1="00000000"/>
    <w:embedRegular r:id="rId3" w:fontKey="{F510CD13-6D95-4546-8BCD-33355372737D}"/>
  </w:font>
  <w:font w:name="楷体_GB2312">
    <w:panose1 w:val="02010609030101010101"/>
    <w:charset w:val="86"/>
    <w:family w:val="auto"/>
    <w:pitch w:val="default"/>
    <w:sig w:usb0="00000001" w:usb1="080E0000" w:usb2="00000000" w:usb3="00000000" w:csb0="00040000" w:csb1="00000000"/>
    <w:embedRegular r:id="rId4" w:fontKey="{83213E0F-C4D1-4961-B6E9-A3C196E602F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4FB667D"/>
    <w:rsid w:val="06792773"/>
    <w:rsid w:val="08EE0FBC"/>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5185</Words>
  <Characters>6010</Characters>
  <Lines>0</Lines>
  <Paragraphs>0</Paragraphs>
  <TotalTime>5</TotalTime>
  <ScaleCrop>false</ScaleCrop>
  <LinksUpToDate>false</LinksUpToDate>
  <CharactersWithSpaces>6018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2025-09-30T04:28:13Z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