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26272B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叶城县核桃产业化发展中心2024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511E2C">
      <w:r>
        <w:br w:type="page"/>
      </w:r>
    </w:p>
    <w:p w14:paraId="6840C2FF">
      <w:pPr>
        <w:spacing w:line="640" w:lineRule="exact"/>
        <w:jc w:val="center"/>
        <w:outlineLvl w:val="1"/>
      </w:pPr>
      <w:r>
        <w:rPr>
          <w:rFonts w:ascii="黑体" w:hAnsi="黑体" w:eastAsia="黑体"/>
          <w:sz w:val="32"/>
        </w:rPr>
        <w:t>第一部分 单位概况</w:t>
      </w:r>
    </w:p>
    <w:p w14:paraId="3BF02797">
      <w:pPr>
        <w:spacing w:line="640" w:lineRule="exact"/>
        <w:ind w:firstLine="640"/>
        <w:jc w:val="both"/>
        <w:outlineLvl w:val="2"/>
      </w:pPr>
      <w:r>
        <w:rPr>
          <w:rFonts w:ascii="黑体" w:hAnsi="黑体" w:eastAsia="黑体"/>
          <w:sz w:val="32"/>
        </w:rPr>
        <w:t>一、主要职能</w:t>
      </w:r>
    </w:p>
    <w:p w14:paraId="294A5158">
      <w:pPr>
        <w:spacing w:line="580" w:lineRule="exact"/>
        <w:ind w:firstLine="640"/>
        <w:jc w:val="both"/>
      </w:pPr>
      <w:r>
        <w:rPr>
          <w:rFonts w:ascii="仿宋_GB2312" w:hAnsi="仿宋_GB2312" w:eastAsia="仿宋_GB2312"/>
          <w:sz w:val="32"/>
        </w:rPr>
        <w:t>科学拟定叶城核桃产业化发展的重大原则、政策措施、实施方案;引领叶城核桃产业发展方向的要求，突出在良种繁育、标准化生产、病虫害防治、产品研发、产业经济等方面开展研究，为核桃产业化发展提供科技支撑;统筹协调和解决核桃产业化发展中遇到的重大事项和问题，完成县委、县人民政府关于推进核桃产业化发展的各项决策部署。研究制定全县果树、蔬菜、瓜类生产计划、规划，研究制定无公害作物种植及病虫害防治技术规程;组织开展实施科技新品种、新技术、新成果、新产品的引进试验、示范、推广、技术咨询、技术指导和技术培训;对全县核桃产业化瓜(菜)果产业发展提出合理化意见建议;完成局机关交办的其他任务。</w:t>
      </w:r>
    </w:p>
    <w:p w14:paraId="556667CD">
      <w:pPr>
        <w:spacing w:line="640" w:lineRule="exact"/>
        <w:ind w:firstLine="640"/>
        <w:jc w:val="both"/>
        <w:outlineLvl w:val="2"/>
      </w:pPr>
      <w:r>
        <w:rPr>
          <w:rFonts w:ascii="黑体" w:hAnsi="黑体" w:eastAsia="黑体"/>
          <w:sz w:val="32"/>
        </w:rPr>
        <w:t>二、机构设置及人员情况</w:t>
      </w:r>
    </w:p>
    <w:p w14:paraId="4979C976">
      <w:pPr>
        <w:spacing w:line="580" w:lineRule="exact"/>
        <w:ind w:firstLine="640"/>
        <w:jc w:val="both"/>
      </w:pPr>
      <w:r>
        <w:rPr>
          <w:rFonts w:ascii="仿宋_GB2312" w:hAnsi="仿宋_GB2312" w:eastAsia="仿宋_GB2312"/>
          <w:sz w:val="32"/>
        </w:rPr>
        <w:t>叶城县核桃产业化发展中心2024年度，实有人数8人，其中：在职人员8人，增加0人；离休人员0人，增加0人；退休人员0人,增加0人。</w:t>
      </w:r>
    </w:p>
    <w:p w14:paraId="5CA5B313">
      <w:pPr>
        <w:spacing w:line="580" w:lineRule="exact"/>
        <w:ind w:firstLine="640"/>
        <w:jc w:val="both"/>
      </w:pPr>
      <w:r>
        <w:rPr>
          <w:rFonts w:ascii="仿宋_GB2312" w:hAnsi="仿宋_GB2312" w:eastAsia="仿宋_GB2312"/>
          <w:sz w:val="32"/>
        </w:rPr>
        <w:t>叶城县核桃产业化发展中心无下属预算单位，下设6个科室，分别是：主任办公室、产业规划室、综合办公室、财务室、生产指导一室、生产指导二室。</w:t>
      </w:r>
    </w:p>
    <w:p w14:paraId="555AB2A1">
      <w:r>
        <w:br w:type="page"/>
      </w:r>
    </w:p>
    <w:p w14:paraId="7538AE11">
      <w:pPr>
        <w:spacing w:line="240" w:lineRule="auto"/>
        <w:jc w:val="center"/>
        <w:outlineLvl w:val="1"/>
      </w:pPr>
      <w:r>
        <w:rPr>
          <w:rFonts w:ascii="黑体" w:hAnsi="黑体" w:eastAsia="黑体"/>
          <w:sz w:val="32"/>
        </w:rPr>
        <w:t>第二部分 部门决算情况说明</w:t>
      </w:r>
    </w:p>
    <w:p w14:paraId="45F0021E">
      <w:pPr>
        <w:spacing w:line="640" w:lineRule="exact"/>
        <w:ind w:firstLine="640"/>
        <w:jc w:val="both"/>
        <w:outlineLvl w:val="2"/>
      </w:pPr>
      <w:r>
        <w:rPr>
          <w:rFonts w:ascii="黑体" w:hAnsi="黑体" w:eastAsia="黑体"/>
          <w:sz w:val="32"/>
        </w:rPr>
        <w:t>一、收入支出决算总体情况说明</w:t>
      </w:r>
    </w:p>
    <w:p w14:paraId="110A81A9">
      <w:pPr>
        <w:spacing w:line="580" w:lineRule="exact"/>
        <w:ind w:firstLine="640"/>
        <w:jc w:val="both"/>
      </w:pPr>
      <w:r>
        <w:rPr>
          <w:rFonts w:ascii="仿宋_GB2312" w:hAnsi="仿宋_GB2312" w:eastAsia="仿宋_GB2312"/>
          <w:b/>
          <w:sz w:val="32"/>
        </w:rPr>
        <w:t>2024年度收入总计5,921.11万元，</w:t>
      </w:r>
      <w:r>
        <w:rPr>
          <w:rFonts w:ascii="仿宋_GB2312" w:hAnsi="仿宋_GB2312" w:eastAsia="仿宋_GB2312"/>
          <w:b w:val="0"/>
          <w:sz w:val="32"/>
        </w:rPr>
        <w:t>其中：本年收入合计5,921.11万元，使用非财政拨款结余（含专用结余）0.00万元，年初结转和结余0.00万元。</w:t>
      </w:r>
    </w:p>
    <w:p w14:paraId="3ADDAC03">
      <w:pPr>
        <w:spacing w:line="580" w:lineRule="exact"/>
        <w:ind w:firstLine="640"/>
        <w:jc w:val="both"/>
      </w:pPr>
      <w:r>
        <w:rPr>
          <w:rFonts w:ascii="仿宋_GB2312" w:hAnsi="仿宋_GB2312" w:eastAsia="仿宋_GB2312"/>
          <w:b/>
          <w:sz w:val="32"/>
        </w:rPr>
        <w:t>2024年度支出总计5,921.11万元，</w:t>
      </w:r>
      <w:r>
        <w:rPr>
          <w:rFonts w:ascii="仿宋_GB2312" w:hAnsi="仿宋_GB2312" w:eastAsia="仿宋_GB2312"/>
          <w:b w:val="0"/>
          <w:sz w:val="32"/>
        </w:rPr>
        <w:t>其中：本年支出合计5,921.11万元，结余分配0.00万元，年末结转和结余0.00万元。</w:t>
      </w:r>
    </w:p>
    <w:p w14:paraId="5AB4964E">
      <w:pPr>
        <w:spacing w:line="580" w:lineRule="exact"/>
        <w:ind w:firstLine="640"/>
        <w:jc w:val="both"/>
      </w:pPr>
      <w:r>
        <w:rPr>
          <w:rFonts w:ascii="仿宋_GB2312" w:hAnsi="仿宋_GB2312" w:eastAsia="仿宋_GB2312"/>
          <w:b w:val="0"/>
          <w:sz w:val="32"/>
        </w:rPr>
        <w:t>收入支出总体与上年相比，增加1,546.83万元，增长35.36%，主要原因是：本年增加叶城县2024年核桃提质增效项目、叶城县2024年林果业疏密改造补助项目、叶城县2024年核桃提质增效石硫合剂涂白剂补助项目等衔接资金项目。</w:t>
      </w:r>
    </w:p>
    <w:p w14:paraId="1D3C92E2">
      <w:pPr>
        <w:spacing w:line="640" w:lineRule="exact"/>
        <w:ind w:firstLine="640"/>
        <w:jc w:val="both"/>
        <w:outlineLvl w:val="2"/>
      </w:pPr>
      <w:r>
        <w:rPr>
          <w:rFonts w:ascii="黑体" w:hAnsi="黑体" w:eastAsia="黑体"/>
          <w:sz w:val="32"/>
        </w:rPr>
        <w:t>二、收入决算情况说明</w:t>
      </w:r>
    </w:p>
    <w:p w14:paraId="359151CE">
      <w:pPr>
        <w:spacing w:line="580" w:lineRule="exact"/>
        <w:ind w:firstLine="640"/>
        <w:jc w:val="both"/>
      </w:pPr>
      <w:r>
        <w:rPr>
          <w:rFonts w:ascii="仿宋_GB2312" w:hAnsi="仿宋_GB2312" w:eastAsia="仿宋_GB2312"/>
          <w:b/>
          <w:sz w:val="32"/>
        </w:rPr>
        <w:t>本年收入5,921.11万元，</w:t>
      </w:r>
      <w:r>
        <w:rPr>
          <w:rFonts w:ascii="仿宋_GB2312" w:hAnsi="仿宋_GB2312" w:eastAsia="仿宋_GB2312"/>
          <w:b w:val="0"/>
          <w:sz w:val="32"/>
        </w:rPr>
        <w:t>其中：财政拨款收入5,557.71万元，占93.86%；上级补助收入0.00万元，占0.00%；事业收入0.00万元，占0.00%；经营收入0.00万元，占0.00%；附属单位上缴收入0.00万元，占0.00%；其他收入363.40万元，占6.14%。</w:t>
      </w:r>
    </w:p>
    <w:p w14:paraId="384C955B">
      <w:pPr>
        <w:spacing w:line="640" w:lineRule="exact"/>
        <w:ind w:firstLine="640"/>
        <w:jc w:val="both"/>
        <w:outlineLvl w:val="2"/>
      </w:pPr>
      <w:r>
        <w:rPr>
          <w:rFonts w:ascii="黑体" w:hAnsi="黑体" w:eastAsia="黑体"/>
          <w:sz w:val="32"/>
        </w:rPr>
        <w:t>三、支出决算情况说明</w:t>
      </w:r>
    </w:p>
    <w:p w14:paraId="5C392472">
      <w:pPr>
        <w:spacing w:line="580" w:lineRule="exact"/>
        <w:ind w:firstLine="640"/>
        <w:jc w:val="both"/>
      </w:pPr>
      <w:r>
        <w:rPr>
          <w:rFonts w:ascii="仿宋_GB2312" w:hAnsi="仿宋_GB2312" w:eastAsia="仿宋_GB2312"/>
          <w:b/>
          <w:sz w:val="32"/>
        </w:rPr>
        <w:t>本年支出5,921.11万元，</w:t>
      </w:r>
      <w:r>
        <w:rPr>
          <w:rFonts w:ascii="仿宋_GB2312" w:hAnsi="仿宋_GB2312" w:eastAsia="仿宋_GB2312"/>
          <w:b w:val="0"/>
          <w:sz w:val="32"/>
        </w:rPr>
        <w:t>其中：基本支出158.97万元，占2.68%；项目支出5,762.14万元，占97.32%；上缴上级支出0.00万元，占0.00%；经营支出0.00万元，占0.00%；对附属单位补助支出0.00万元，占0.00%。</w:t>
      </w:r>
    </w:p>
    <w:p w14:paraId="416167CF">
      <w:pPr>
        <w:spacing w:line="640" w:lineRule="exact"/>
        <w:ind w:firstLine="640"/>
        <w:jc w:val="both"/>
        <w:outlineLvl w:val="2"/>
      </w:pPr>
      <w:r>
        <w:rPr>
          <w:rFonts w:ascii="黑体" w:hAnsi="黑体" w:eastAsia="黑体"/>
          <w:sz w:val="32"/>
        </w:rPr>
        <w:t>四、财政拨款收入支出决算总体情况说明</w:t>
      </w:r>
    </w:p>
    <w:p w14:paraId="3135AB82">
      <w:pPr>
        <w:spacing w:line="580" w:lineRule="exact"/>
        <w:ind w:firstLine="640"/>
        <w:jc w:val="both"/>
      </w:pPr>
      <w:r>
        <w:rPr>
          <w:rFonts w:ascii="仿宋_GB2312" w:hAnsi="仿宋_GB2312" w:eastAsia="仿宋_GB2312"/>
          <w:b/>
          <w:sz w:val="32"/>
        </w:rPr>
        <w:t>2024年度财政拨款收入总计5,557.71万元，</w:t>
      </w:r>
      <w:r>
        <w:rPr>
          <w:rFonts w:ascii="仿宋_GB2312" w:hAnsi="仿宋_GB2312" w:eastAsia="仿宋_GB2312"/>
          <w:b w:val="0"/>
          <w:sz w:val="32"/>
        </w:rPr>
        <w:t>其中：年初财政拨款结转和结余0.00万元，本年财政拨款收入5,557.71万元。</w:t>
      </w:r>
      <w:r>
        <w:rPr>
          <w:rFonts w:ascii="仿宋_GB2312" w:hAnsi="仿宋_GB2312" w:eastAsia="仿宋_GB2312"/>
          <w:b/>
          <w:sz w:val="32"/>
        </w:rPr>
        <w:t>财政拨款支出总计5,557.71万元，</w:t>
      </w:r>
      <w:r>
        <w:rPr>
          <w:rFonts w:ascii="仿宋_GB2312" w:hAnsi="仿宋_GB2312" w:eastAsia="仿宋_GB2312"/>
          <w:b w:val="0"/>
          <w:sz w:val="32"/>
        </w:rPr>
        <w:t>其中：年末财政拨款结转和结余0.00万元，本年财政拨款支出5,557.71万元。</w:t>
      </w:r>
    </w:p>
    <w:p w14:paraId="4740A4A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增加1,507.06万元，增长37.21%，主要原因是：本年增加叶城县2024年核桃提质增效项目、叶城县2024年林果业疏密改造补助项目、叶城县2024年核桃提质增效石硫合剂涂白剂补助项目等衔接资金项目。</w:t>
      </w:r>
      <w:r>
        <w:rPr>
          <w:rFonts w:ascii="仿宋_GB2312" w:hAnsi="仿宋_GB2312" w:eastAsia="仿宋_GB2312"/>
          <w:b/>
          <w:sz w:val="32"/>
        </w:rPr>
        <w:t>与年初预算相比，</w:t>
      </w:r>
      <w:r>
        <w:rPr>
          <w:rFonts w:ascii="仿宋_GB2312" w:hAnsi="仿宋_GB2312" w:eastAsia="仿宋_GB2312"/>
          <w:b w:val="0"/>
          <w:sz w:val="32"/>
        </w:rPr>
        <w:t>年初预算数2,529.28万元，决算数5,557.71万元，预决算差异率119.73%，主要原因是：年中追加叶城县2024年核桃提质增效项目、叶城县2024年林果业疏密改造补助项目、叶城县2024年核桃提质增效石硫合剂涂白剂补助项目，导致预决算存在差异。</w:t>
      </w:r>
    </w:p>
    <w:p w14:paraId="08F8FD4E">
      <w:pPr>
        <w:spacing w:line="640" w:lineRule="exact"/>
        <w:ind w:firstLine="640"/>
        <w:jc w:val="both"/>
        <w:outlineLvl w:val="2"/>
      </w:pPr>
      <w:r>
        <w:rPr>
          <w:rFonts w:ascii="黑体" w:hAnsi="黑体" w:eastAsia="黑体"/>
          <w:sz w:val="32"/>
        </w:rPr>
        <w:t>五、一般公共预算财政拨款支出决算情况说明</w:t>
      </w:r>
    </w:p>
    <w:p w14:paraId="2A809E2E">
      <w:pPr>
        <w:spacing w:line="640" w:lineRule="exact"/>
        <w:ind w:firstLine="640"/>
        <w:jc w:val="both"/>
        <w:outlineLvl w:val="3"/>
      </w:pPr>
      <w:r>
        <w:rPr>
          <w:rFonts w:ascii="楷体_GB2312" w:hAnsi="楷体_GB2312" w:eastAsia="楷体_GB2312"/>
          <w:b/>
          <w:sz w:val="32"/>
        </w:rPr>
        <w:t>（一）一般公共预算财政拨款支出决算总体情况</w:t>
      </w:r>
    </w:p>
    <w:p w14:paraId="5AA164CB">
      <w:pPr>
        <w:spacing w:line="580" w:lineRule="exact"/>
        <w:ind w:firstLine="640"/>
        <w:jc w:val="both"/>
      </w:pPr>
      <w:r>
        <w:rPr>
          <w:rFonts w:ascii="仿宋_GB2312" w:hAnsi="仿宋_GB2312" w:eastAsia="仿宋_GB2312"/>
          <w:b/>
          <w:sz w:val="32"/>
        </w:rPr>
        <w:t>2024年度一般公共预算财政拨款支出5,557.71万元，</w:t>
      </w:r>
      <w:r>
        <w:rPr>
          <w:rFonts w:ascii="仿宋_GB2312" w:hAnsi="仿宋_GB2312" w:eastAsia="仿宋_GB2312"/>
          <w:b w:val="0"/>
          <w:sz w:val="32"/>
        </w:rPr>
        <w:t>占本年支出合计的93.86%。</w:t>
      </w:r>
      <w:r>
        <w:rPr>
          <w:rFonts w:ascii="仿宋_GB2312" w:hAnsi="仿宋_GB2312" w:eastAsia="仿宋_GB2312"/>
          <w:b/>
          <w:sz w:val="32"/>
        </w:rPr>
        <w:t>与上年相比，</w:t>
      </w:r>
      <w:r>
        <w:rPr>
          <w:rFonts w:ascii="仿宋_GB2312" w:hAnsi="仿宋_GB2312" w:eastAsia="仿宋_GB2312"/>
          <w:b w:val="0"/>
          <w:sz w:val="32"/>
        </w:rPr>
        <w:t>增加1,507.06万元，增长37.21%，主要原因是：本年增加叶城县2024年核桃提质增效项目、叶城县2024年林果业疏密改造补助项目、叶城县2024年核桃提质增效石硫合剂涂白剂补助项目等衔接资金项目。</w:t>
      </w:r>
      <w:r>
        <w:rPr>
          <w:rFonts w:ascii="仿宋_GB2312" w:hAnsi="仿宋_GB2312" w:eastAsia="仿宋_GB2312"/>
          <w:b/>
          <w:sz w:val="32"/>
        </w:rPr>
        <w:t>与年初预算相比,</w:t>
      </w:r>
      <w:r>
        <w:rPr>
          <w:rFonts w:ascii="仿宋_GB2312" w:hAnsi="仿宋_GB2312" w:eastAsia="仿宋_GB2312"/>
          <w:b w:val="0"/>
          <w:sz w:val="32"/>
        </w:rPr>
        <w:t>年初预算数2,529.28万元，决算数5,557.71万元，预决算差异率119.73%，主要原因是：年中追加叶城县2024年核桃提质增效项目、叶城县2024年林果业疏密改造补助项目、叶城县2024年核桃提质增效石硫合剂涂白剂补助项目，导致预决算存在差异。</w:t>
      </w:r>
    </w:p>
    <w:p w14:paraId="3A204238">
      <w:pPr>
        <w:spacing w:line="640" w:lineRule="exact"/>
        <w:ind w:firstLine="640"/>
        <w:jc w:val="both"/>
        <w:outlineLvl w:val="3"/>
      </w:pPr>
      <w:r>
        <w:rPr>
          <w:rFonts w:ascii="楷体_GB2312" w:hAnsi="楷体_GB2312" w:eastAsia="楷体_GB2312"/>
          <w:b/>
          <w:sz w:val="32"/>
        </w:rPr>
        <w:t>（二）一般公共预算财政拨款支出决算结构情况</w:t>
      </w:r>
    </w:p>
    <w:p w14:paraId="3A2D4D43">
      <w:pPr>
        <w:spacing w:line="580" w:lineRule="exact"/>
        <w:ind w:firstLine="640"/>
        <w:jc w:val="both"/>
      </w:pPr>
      <w:r>
        <w:rPr>
          <w:rFonts w:ascii="仿宋_GB2312" w:hAnsi="仿宋_GB2312" w:eastAsia="仿宋_GB2312"/>
          <w:b w:val="0"/>
          <w:sz w:val="32"/>
        </w:rPr>
        <w:t>1.科学技术支出(类)70.00万元,占1.26%。</w:t>
      </w:r>
    </w:p>
    <w:p w14:paraId="12ABD0F0">
      <w:pPr>
        <w:spacing w:line="580" w:lineRule="exact"/>
        <w:ind w:firstLine="640"/>
        <w:jc w:val="both"/>
      </w:pPr>
      <w:r>
        <w:rPr>
          <w:rFonts w:ascii="仿宋_GB2312" w:hAnsi="仿宋_GB2312" w:eastAsia="仿宋_GB2312"/>
          <w:b w:val="0"/>
          <w:sz w:val="32"/>
        </w:rPr>
        <w:t>2.社会保障和就业支出(类)16.87万元,占0.30%。</w:t>
      </w:r>
    </w:p>
    <w:p w14:paraId="578660A0">
      <w:pPr>
        <w:spacing w:line="580" w:lineRule="exact"/>
        <w:ind w:firstLine="640"/>
        <w:jc w:val="both"/>
      </w:pPr>
      <w:r>
        <w:rPr>
          <w:rFonts w:ascii="仿宋_GB2312" w:hAnsi="仿宋_GB2312" w:eastAsia="仿宋_GB2312"/>
          <w:b w:val="0"/>
          <w:sz w:val="32"/>
        </w:rPr>
        <w:t>3.卫生健康支出(类)7.17万元,占0.13%。</w:t>
      </w:r>
    </w:p>
    <w:p w14:paraId="1CDE7B4F">
      <w:pPr>
        <w:spacing w:line="580" w:lineRule="exact"/>
        <w:ind w:firstLine="640"/>
        <w:jc w:val="both"/>
      </w:pPr>
      <w:r>
        <w:rPr>
          <w:rFonts w:ascii="仿宋_GB2312" w:hAnsi="仿宋_GB2312" w:eastAsia="仿宋_GB2312"/>
          <w:b w:val="0"/>
          <w:sz w:val="32"/>
        </w:rPr>
        <w:t>4.农林水支出(类)5,450.55万元,占98.07%。</w:t>
      </w:r>
    </w:p>
    <w:p w14:paraId="179D4D1A">
      <w:pPr>
        <w:spacing w:line="580" w:lineRule="exact"/>
        <w:ind w:firstLine="640"/>
        <w:jc w:val="both"/>
      </w:pPr>
      <w:r>
        <w:rPr>
          <w:rFonts w:ascii="仿宋_GB2312" w:hAnsi="仿宋_GB2312" w:eastAsia="仿宋_GB2312"/>
          <w:b w:val="0"/>
          <w:sz w:val="32"/>
        </w:rPr>
        <w:t>5.住房保障支出(类)13.12万元,占0.24%。</w:t>
      </w:r>
    </w:p>
    <w:p w14:paraId="500B1EC3">
      <w:pPr>
        <w:spacing w:line="640" w:lineRule="exact"/>
        <w:ind w:firstLine="640"/>
        <w:jc w:val="both"/>
        <w:outlineLvl w:val="3"/>
      </w:pPr>
      <w:r>
        <w:rPr>
          <w:rFonts w:ascii="楷体_GB2312" w:hAnsi="楷体_GB2312" w:eastAsia="楷体_GB2312"/>
          <w:b/>
          <w:sz w:val="32"/>
        </w:rPr>
        <w:t>（三）一般公共预算财政拨款支出决算具体情况</w:t>
      </w:r>
    </w:p>
    <w:p w14:paraId="29556749">
      <w:pPr>
        <w:spacing w:line="580" w:lineRule="exact"/>
        <w:ind w:firstLine="640"/>
        <w:jc w:val="both"/>
      </w:pPr>
      <w:r>
        <w:rPr>
          <w:rFonts w:ascii="仿宋_GB2312" w:hAnsi="仿宋_GB2312" w:eastAsia="仿宋_GB2312"/>
          <w:b w:val="0"/>
          <w:sz w:val="32"/>
        </w:rPr>
        <w:t>1.一般公共服务支出(类)组织事务(款)事业运行(项):支出决算数为0.00万元，比上年决算减少100.00万元，下降100.00%,主要原因是：本年减少2023年林果业人才发展经费资金。</w:t>
      </w:r>
    </w:p>
    <w:p w14:paraId="19179E80">
      <w:pPr>
        <w:spacing w:line="580" w:lineRule="exact"/>
        <w:ind w:firstLine="640"/>
        <w:jc w:val="both"/>
      </w:pPr>
      <w:r>
        <w:rPr>
          <w:rFonts w:ascii="仿宋_GB2312" w:hAnsi="仿宋_GB2312" w:eastAsia="仿宋_GB2312"/>
          <w:b w:val="0"/>
          <w:sz w:val="32"/>
        </w:rPr>
        <w:t>2.科学技术支出(类)技术研究与开发(款)科技成果转化与扩散(项):支出决算数为70.00万元，比上年决算增加70.00万元，增长100.00%,主要原因是：本年增加喀什地区科技创新奖补专项资金项目支出。</w:t>
      </w:r>
    </w:p>
    <w:p w14:paraId="1EB3E90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16.87万元，比上年决算增加6.30万元，增长59.60%,主要原因是：本年在职人员工资基数调增，养老缴费基数上涨，相应支出增加。</w:t>
      </w:r>
    </w:p>
    <w:p w14:paraId="052A1952">
      <w:pPr>
        <w:spacing w:line="580" w:lineRule="exact"/>
        <w:ind w:firstLine="640"/>
        <w:jc w:val="both"/>
      </w:pPr>
      <w:r>
        <w:rPr>
          <w:rFonts w:ascii="仿宋_GB2312" w:hAnsi="仿宋_GB2312" w:eastAsia="仿宋_GB2312"/>
          <w:b w:val="0"/>
          <w:sz w:val="32"/>
        </w:rPr>
        <w:t>4.卫生健康支出(类)行政事业单位医疗(款)事业单位医疗(项):支出决算数为7.17万元，比上年决算增加2.68万元，增长59.69%,主要原因是：本年在职人员工资基数调增，医疗缴费基数上涨，相应支出增加。</w:t>
      </w:r>
    </w:p>
    <w:p w14:paraId="72547048">
      <w:pPr>
        <w:spacing w:line="580" w:lineRule="exact"/>
        <w:ind w:firstLine="640"/>
        <w:jc w:val="both"/>
      </w:pPr>
      <w:r>
        <w:rPr>
          <w:rFonts w:ascii="仿宋_GB2312" w:hAnsi="仿宋_GB2312" w:eastAsia="仿宋_GB2312"/>
          <w:b w:val="0"/>
          <w:sz w:val="32"/>
        </w:rPr>
        <w:t>5.农林水支出(类)农业农村(款)事业运行(项):支出决算数为121.80万元，比上年决算增加4.11万元，增长3.49%,主要原因是：本年在职人员工资调增，导致相关人员经费较上年有所增加。</w:t>
      </w:r>
    </w:p>
    <w:p w14:paraId="10A1844F">
      <w:pPr>
        <w:spacing w:line="580" w:lineRule="exact"/>
        <w:ind w:firstLine="640"/>
        <w:jc w:val="both"/>
      </w:pPr>
      <w:r>
        <w:rPr>
          <w:rFonts w:ascii="仿宋_GB2312" w:hAnsi="仿宋_GB2312" w:eastAsia="仿宋_GB2312"/>
          <w:b w:val="0"/>
          <w:sz w:val="32"/>
        </w:rPr>
        <w:t>6.农林水支出(类)农业农村(款)农业生产发展(项):支出决算数为381.98万元，比上年决算增加20.46万元，增长5.66%,主要原因是：本年增加2024年度叶城县自治区级现代农业产业园奖补资金项目、叶城县核桃产业质量创新提升建设项目等。</w:t>
      </w:r>
    </w:p>
    <w:p w14:paraId="772E967B">
      <w:pPr>
        <w:spacing w:line="580" w:lineRule="exact"/>
        <w:ind w:firstLine="640"/>
        <w:jc w:val="both"/>
      </w:pPr>
      <w:r>
        <w:rPr>
          <w:rFonts w:ascii="仿宋_GB2312" w:hAnsi="仿宋_GB2312" w:eastAsia="仿宋_GB2312"/>
          <w:b w:val="0"/>
          <w:sz w:val="32"/>
        </w:rPr>
        <w:t>7.农林水支出(类)农业农村(款)其他农业农村支出(项):支出决算数为0.00万元，比上年决算减少10.00万元，下降100.00%,主要原因是：本年减少叶城核桃农业文化遗产保护与发展规划编制经费等。</w:t>
      </w:r>
    </w:p>
    <w:p w14:paraId="32EBD4D4">
      <w:pPr>
        <w:spacing w:line="580" w:lineRule="exact"/>
        <w:ind w:firstLine="640"/>
        <w:jc w:val="both"/>
      </w:pPr>
      <w:r>
        <w:rPr>
          <w:rFonts w:ascii="仿宋_GB2312" w:hAnsi="仿宋_GB2312" w:eastAsia="仿宋_GB2312"/>
          <w:b w:val="0"/>
          <w:sz w:val="32"/>
        </w:rPr>
        <w:t>8.农林水支出(类)林业和草原(款)其他林业和草原支出(项):支出决算数为16.20万元，比上年决算减少3.80万元，下降19.00%,主要原因是：本年自治区林草专项资金-种苗培育补助项目经费较上年减少。</w:t>
      </w:r>
    </w:p>
    <w:p w14:paraId="794492F4">
      <w:pPr>
        <w:spacing w:line="580" w:lineRule="exact"/>
        <w:ind w:firstLine="640"/>
        <w:jc w:val="both"/>
      </w:pPr>
      <w:r>
        <w:rPr>
          <w:rFonts w:ascii="仿宋_GB2312" w:hAnsi="仿宋_GB2312" w:eastAsia="仿宋_GB2312"/>
          <w:b w:val="0"/>
          <w:sz w:val="32"/>
        </w:rPr>
        <w:t>9.农林水支出(类)巩固脱贫攻坚成果衔接乡村振兴(款)生产发展(项):支出决算数为2,719.82万元，比上年决算增加2,719.82万元，增长100.00%,主要原因是：本年增加叶城县2024年核桃提质增效项目、叶城县2024年林果业疏密改造补助项目、叶城县2024年核桃提质增效石硫合剂涂白剂补助项目等衔接资金</w:t>
      </w:r>
      <w:r>
        <w:rPr>
          <w:rFonts w:hint="eastAsia" w:ascii="仿宋_GB2312" w:hAnsi="仿宋_GB2312" w:eastAsia="仿宋_GB2312"/>
          <w:b w:val="0"/>
          <w:sz w:val="32"/>
          <w:lang w:val="en-US" w:eastAsia="zh-CN"/>
        </w:rPr>
        <w:t>项目</w:t>
      </w:r>
      <w:bookmarkStart w:id="0" w:name="_GoBack"/>
      <w:bookmarkEnd w:id="0"/>
      <w:r>
        <w:rPr>
          <w:rFonts w:ascii="仿宋_GB2312" w:hAnsi="仿宋_GB2312" w:eastAsia="仿宋_GB2312"/>
          <w:b w:val="0"/>
          <w:sz w:val="32"/>
        </w:rPr>
        <w:t>。</w:t>
      </w:r>
    </w:p>
    <w:p w14:paraId="1412E43B">
      <w:pPr>
        <w:spacing w:line="580" w:lineRule="exact"/>
        <w:ind w:firstLine="640"/>
        <w:jc w:val="both"/>
      </w:pPr>
      <w:r>
        <w:rPr>
          <w:rFonts w:ascii="仿宋_GB2312" w:hAnsi="仿宋_GB2312" w:eastAsia="仿宋_GB2312"/>
          <w:b w:val="0"/>
          <w:sz w:val="32"/>
        </w:rPr>
        <w:t>10.农林水支出(类)普惠金融发展支出(款)农业保险保费补贴(项):支出决算数为2,210.74万元，比上年决算减少1,176.96万元，下降34.74%,主要原因是：本年减少2023年农业保险保费中央补贴资</w:t>
      </w:r>
      <w:r>
        <w:rPr>
          <w:rFonts w:hint="eastAsia" w:ascii="仿宋_GB2312" w:hAnsi="仿宋_GB2312" w:eastAsia="仿宋_GB2312"/>
          <w:b w:val="0"/>
          <w:sz w:val="32"/>
          <w:lang w:eastAsia="zh-CN"/>
        </w:rPr>
        <w:t>金</w:t>
      </w:r>
      <w:r>
        <w:rPr>
          <w:rFonts w:ascii="仿宋_GB2312" w:hAnsi="仿宋_GB2312" w:eastAsia="仿宋_GB2312"/>
          <w:b w:val="0"/>
          <w:sz w:val="32"/>
        </w:rPr>
        <w:t>。</w:t>
      </w:r>
    </w:p>
    <w:p w14:paraId="5A10FAED">
      <w:pPr>
        <w:spacing w:line="580" w:lineRule="exact"/>
        <w:ind w:firstLine="640"/>
        <w:jc w:val="both"/>
      </w:pPr>
      <w:r>
        <w:rPr>
          <w:rFonts w:ascii="仿宋_GB2312" w:hAnsi="仿宋_GB2312" w:eastAsia="仿宋_GB2312"/>
          <w:b w:val="0"/>
          <w:sz w:val="32"/>
        </w:rPr>
        <w:t>11.住房保障支出(类)住房改革支出(款)住房公积金(项):支出决算数为13.12万元，比上年决算增加5.19万元，增长65.45%,主要原因是：本年在职人员工资基数调增，公积金缴费基数上涨，相应支出增加。</w:t>
      </w:r>
    </w:p>
    <w:p w14:paraId="188D370B">
      <w:pPr>
        <w:spacing w:line="580" w:lineRule="exact"/>
        <w:ind w:firstLine="640"/>
        <w:jc w:val="both"/>
      </w:pPr>
      <w:r>
        <w:rPr>
          <w:rFonts w:ascii="仿宋_GB2312" w:hAnsi="仿宋_GB2312" w:eastAsia="仿宋_GB2312"/>
          <w:b w:val="0"/>
          <w:sz w:val="32"/>
        </w:rPr>
        <w:t>12.粮油物资储备支出(类)粮油物资事务(款)其他粮油物资事务支出(项):支出决算数为0.00万元，比上年决算减少30.75万元，下降100.00%,主要原因是：本年减少核桃种质资源圃与开心果种质资源库研究实验基地管理经费项目和《叶城核桃农业文化遗产保护与发展规划》编制经费。</w:t>
      </w:r>
    </w:p>
    <w:p w14:paraId="47DE48A5">
      <w:pPr>
        <w:spacing w:line="640" w:lineRule="exact"/>
        <w:ind w:firstLine="640"/>
        <w:jc w:val="both"/>
        <w:outlineLvl w:val="2"/>
      </w:pPr>
      <w:r>
        <w:rPr>
          <w:rFonts w:ascii="黑体" w:hAnsi="黑体" w:eastAsia="黑体"/>
          <w:sz w:val="32"/>
        </w:rPr>
        <w:t>六、一般公共预算财政拨款基本支出决算情况说明</w:t>
      </w:r>
    </w:p>
    <w:p w14:paraId="2F21A936">
      <w:pPr>
        <w:spacing w:line="580" w:lineRule="exact"/>
        <w:ind w:firstLine="640"/>
        <w:jc w:val="both"/>
      </w:pPr>
      <w:r>
        <w:rPr>
          <w:rFonts w:ascii="仿宋_GB2312" w:hAnsi="仿宋_GB2312" w:eastAsia="仿宋_GB2312"/>
          <w:b w:val="0"/>
          <w:sz w:val="32"/>
        </w:rPr>
        <w:t>2024年度一般公共预算财政拨款基本支出158.97万元，其中：</w:t>
      </w:r>
      <w:r>
        <w:rPr>
          <w:rFonts w:ascii="仿宋_GB2312" w:hAnsi="仿宋_GB2312" w:eastAsia="仿宋_GB2312"/>
          <w:b/>
          <w:sz w:val="32"/>
        </w:rPr>
        <w:t>人员经费156.15万元，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06BF967F">
      <w:pPr>
        <w:spacing w:line="580" w:lineRule="exact"/>
        <w:ind w:firstLine="640"/>
        <w:jc w:val="both"/>
      </w:pPr>
      <w:r>
        <w:rPr>
          <w:rFonts w:ascii="仿宋_GB2312" w:hAnsi="仿宋_GB2312" w:eastAsia="仿宋_GB2312"/>
          <w:b/>
          <w:sz w:val="32"/>
        </w:rPr>
        <w:t>公用经费2.82万元，</w:t>
      </w:r>
      <w:r>
        <w:rPr>
          <w:rFonts w:ascii="仿宋_GB2312" w:hAnsi="仿宋_GB2312" w:eastAsia="仿宋_GB2312"/>
          <w:b w:val="0"/>
          <w:sz w:val="32"/>
        </w:rPr>
        <w:t>包括：办公费、电费、邮电费、差旅费、公务用车运行维护费。</w:t>
      </w:r>
    </w:p>
    <w:p w14:paraId="20242A14">
      <w:pPr>
        <w:spacing w:line="640" w:lineRule="exact"/>
        <w:ind w:firstLine="640"/>
        <w:jc w:val="both"/>
        <w:outlineLvl w:val="2"/>
      </w:pPr>
      <w:r>
        <w:rPr>
          <w:rFonts w:ascii="黑体" w:hAnsi="黑体" w:eastAsia="黑体"/>
          <w:sz w:val="32"/>
        </w:rPr>
        <w:t>七、政府性基金预算财政拨款收入支出决算情况说明</w:t>
      </w:r>
    </w:p>
    <w:p w14:paraId="69CF7C7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719696E">
      <w:pPr>
        <w:spacing w:line="640" w:lineRule="exact"/>
        <w:ind w:firstLine="640"/>
        <w:jc w:val="both"/>
        <w:outlineLvl w:val="2"/>
      </w:pPr>
      <w:r>
        <w:rPr>
          <w:rFonts w:ascii="黑体" w:hAnsi="黑体" w:eastAsia="黑体"/>
          <w:sz w:val="32"/>
        </w:rPr>
        <w:t>八、国有资本经营预算财政拨款收入支出决算情况说明</w:t>
      </w:r>
    </w:p>
    <w:p w14:paraId="7C4D7B5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CEF8E4">
      <w:pPr>
        <w:spacing w:line="640" w:lineRule="exact"/>
        <w:ind w:firstLine="640"/>
        <w:jc w:val="both"/>
        <w:outlineLvl w:val="2"/>
      </w:pPr>
      <w:r>
        <w:rPr>
          <w:rFonts w:ascii="黑体" w:hAnsi="黑体" w:eastAsia="黑体"/>
          <w:sz w:val="32"/>
        </w:rPr>
        <w:t>九、财政拨款“三公”经费支出决算情况说明</w:t>
      </w:r>
    </w:p>
    <w:p w14:paraId="72471184">
      <w:pPr>
        <w:spacing w:line="580" w:lineRule="exact"/>
        <w:ind w:firstLine="640"/>
        <w:jc w:val="both"/>
      </w:pPr>
      <w:r>
        <w:rPr>
          <w:rFonts w:ascii="仿宋_GB2312" w:hAnsi="仿宋_GB2312" w:eastAsia="仿宋_GB2312"/>
          <w:b/>
          <w:sz w:val="32"/>
        </w:rPr>
        <w:t>2024年度财政拨款“三公”经费支出0.69万元，</w:t>
      </w:r>
      <w:r>
        <w:rPr>
          <w:rFonts w:ascii="仿宋_GB2312" w:hAnsi="仿宋_GB2312" w:eastAsia="仿宋_GB2312"/>
          <w:b w:val="0"/>
          <w:sz w:val="32"/>
        </w:rPr>
        <w:t>比上年增加0.48万元，增长228.57%，主要原因是：本年因车辆老化，增加车辆维修费用。其中：因公出国（境）费支出0.00万元，占0.00%，比上年增加0.00万元，增长0.00%，主要原因是：2023年与2024年均未安排因公出国（境）费支出。公务用车购置及运行维护费支出0.69万元，占100.00%，比上年增加0.48万元，增长228.57%，主要原因是：本年因车辆老化，增加车辆维修费用。公务接待费支出0.00万元，占0.00%，比上年增加0.00万元，增长0.00%，主要原因是：2023年与2024年均未安排公务接待费支出。</w:t>
      </w:r>
    </w:p>
    <w:p w14:paraId="51E4BAB1">
      <w:pPr>
        <w:spacing w:line="580" w:lineRule="exact"/>
        <w:ind w:firstLine="640"/>
        <w:jc w:val="both"/>
      </w:pPr>
      <w:r>
        <w:rPr>
          <w:rFonts w:ascii="仿宋_GB2312" w:hAnsi="仿宋_GB2312" w:eastAsia="仿宋_GB2312"/>
          <w:b/>
          <w:sz w:val="32"/>
        </w:rPr>
        <w:t>具体情况如下：</w:t>
      </w:r>
    </w:p>
    <w:p w14:paraId="73835C5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2093B14">
      <w:pPr>
        <w:spacing w:line="580" w:lineRule="exact"/>
        <w:ind w:firstLine="640"/>
        <w:jc w:val="both"/>
      </w:pPr>
      <w:r>
        <w:rPr>
          <w:rFonts w:ascii="仿宋_GB2312" w:hAnsi="仿宋_GB2312" w:eastAsia="仿宋_GB2312"/>
          <w:b w:val="0"/>
          <w:sz w:val="32"/>
        </w:rPr>
        <w:t>公务用车购置及运行维护费0.69万元，其中：公务用车购置费0.00万元，公务用车运行维护费0.69万元。公务用车运行维护费开支内容包括车辆加油费、维修费、保险费。公务用车购置数0辆，公务用车保有量1辆。国有资产占用情况中固定资产车辆0辆，与公务用车保有量差异原因是：年底公务用车已报废处理，资产系统中已核销。</w:t>
      </w:r>
    </w:p>
    <w:p w14:paraId="5E263FA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F1EAD0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0.69万元，决算数0.69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0.69万元，决算数0.69万元，预决算差异率0.00%，主要原因是：严格按照预算执行，预决算无差异。公务接待费全年预算数0.00万元，决算数0.00万元，预决算差异率0.00%，主要原因是：本单位无公务接待费。</w:t>
      </w:r>
    </w:p>
    <w:p w14:paraId="0977F3B5">
      <w:pPr>
        <w:spacing w:line="640" w:lineRule="exact"/>
        <w:ind w:firstLine="640"/>
        <w:jc w:val="both"/>
        <w:outlineLvl w:val="2"/>
      </w:pPr>
      <w:r>
        <w:rPr>
          <w:rFonts w:ascii="黑体" w:hAnsi="黑体" w:eastAsia="黑体"/>
          <w:sz w:val="32"/>
        </w:rPr>
        <w:t>十、其他重要事项的情况说明</w:t>
      </w:r>
    </w:p>
    <w:p w14:paraId="424EDE34">
      <w:pPr>
        <w:spacing w:line="640" w:lineRule="exact"/>
        <w:ind w:firstLine="640"/>
        <w:jc w:val="both"/>
        <w:outlineLvl w:val="3"/>
      </w:pPr>
      <w:r>
        <w:rPr>
          <w:rFonts w:ascii="楷体_GB2312" w:hAnsi="楷体_GB2312" w:eastAsia="楷体_GB2312"/>
          <w:b/>
          <w:sz w:val="32"/>
        </w:rPr>
        <w:t>（一）机关运行经费及公用经费支出情况</w:t>
      </w:r>
    </w:p>
    <w:p w14:paraId="1733A483">
      <w:pPr>
        <w:spacing w:line="580" w:lineRule="exact"/>
        <w:ind w:firstLine="640"/>
        <w:jc w:val="both"/>
      </w:pPr>
      <w:r>
        <w:rPr>
          <w:rFonts w:ascii="仿宋_GB2312" w:hAnsi="仿宋_GB2312" w:eastAsia="仿宋_GB2312"/>
          <w:b w:val="0"/>
          <w:sz w:val="32"/>
        </w:rPr>
        <w:t>2024年度叶城县核桃产业化发展中心（事业单位）公用经费支出2.82万元，比上年减少98.58万元，下降97.22%，主要原因是：本年减少2023年林果业人才发展委托业务费支出。</w:t>
      </w:r>
    </w:p>
    <w:p w14:paraId="07D1F169">
      <w:pPr>
        <w:spacing w:line="640" w:lineRule="exact"/>
        <w:ind w:firstLine="640"/>
        <w:jc w:val="both"/>
        <w:outlineLvl w:val="3"/>
      </w:pPr>
      <w:r>
        <w:rPr>
          <w:rFonts w:ascii="楷体_GB2312" w:hAnsi="楷体_GB2312" w:eastAsia="楷体_GB2312"/>
          <w:b/>
          <w:sz w:val="32"/>
        </w:rPr>
        <w:t>（二）政府采购情况</w:t>
      </w:r>
    </w:p>
    <w:p w14:paraId="2C00C6A3">
      <w:pPr>
        <w:spacing w:line="580" w:lineRule="exact"/>
        <w:ind w:firstLine="640"/>
        <w:jc w:val="both"/>
      </w:pPr>
      <w:r>
        <w:rPr>
          <w:rFonts w:ascii="仿宋_GB2312" w:hAnsi="仿宋_GB2312" w:eastAsia="仿宋_GB2312"/>
          <w:b w:val="0"/>
          <w:sz w:val="32"/>
        </w:rPr>
        <w:t>2024年度政府采购支出总额821.89万元，其中：政府采购货物支出299.76万元、政府采购工程支出0.00万元、政府采购服务支出522.14万元。</w:t>
      </w:r>
    </w:p>
    <w:p w14:paraId="54DE9A65">
      <w:pPr>
        <w:spacing w:line="580" w:lineRule="exact"/>
        <w:ind w:firstLine="640"/>
        <w:jc w:val="both"/>
      </w:pPr>
      <w:r>
        <w:rPr>
          <w:rFonts w:ascii="仿宋_GB2312" w:hAnsi="仿宋_GB2312" w:eastAsia="仿宋_GB2312"/>
          <w:b w:val="0"/>
          <w:sz w:val="32"/>
        </w:rPr>
        <w:t>授予中小企业合同金额635.04万元，占政府采购支出总额的77.27%，其中：授予小微企业合同金额312.69万元，占政府采购支出总额的38.05%。</w:t>
      </w:r>
    </w:p>
    <w:p w14:paraId="0D85C3BC">
      <w:pPr>
        <w:spacing w:line="640" w:lineRule="exact"/>
        <w:ind w:firstLine="640"/>
        <w:jc w:val="both"/>
        <w:outlineLvl w:val="3"/>
      </w:pPr>
      <w:r>
        <w:rPr>
          <w:rFonts w:ascii="楷体_GB2312" w:hAnsi="楷体_GB2312" w:eastAsia="楷体_GB2312"/>
          <w:b/>
          <w:sz w:val="32"/>
        </w:rPr>
        <w:t>（三）国有资产占用情况说明</w:t>
      </w:r>
    </w:p>
    <w:p w14:paraId="4DF3D5D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C6D181B">
      <w:pPr>
        <w:spacing w:line="640" w:lineRule="exact"/>
        <w:ind w:firstLine="640"/>
        <w:jc w:val="both"/>
        <w:outlineLvl w:val="2"/>
      </w:pPr>
      <w:r>
        <w:rPr>
          <w:rFonts w:ascii="黑体" w:hAnsi="黑体" w:eastAsia="黑体"/>
          <w:sz w:val="32"/>
        </w:rPr>
        <w:t>十一、预算绩效的情况说明</w:t>
      </w:r>
    </w:p>
    <w:p w14:paraId="0B45265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5,921.11万元，实际执行总额5,921.11万元；预算绩效评价项目9个，全年预算数1,804.32万元，全年执行数1,475.99万元。预算绩效管理取得的成效：项目精准实施，对项目全过程常态化检查，对项目是否达到标准、项目资金是否按期发放、擅自更改资金用途、拒绝或无故拖延项目实施进行督导检查，确保项目精准实施，对未按照实施方案和报备计划实施的项目，严格落实目标责任制，进一步加强管理机制，加大管理力度，加强部门间信息传递及管理工作，确保项目顺利实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6042E0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BD0750">
        <w:tblPrEx>
          <w:tblCellMar>
            <w:top w:w="0" w:type="dxa"/>
            <w:left w:w="108" w:type="dxa"/>
            <w:bottom w:w="0" w:type="dxa"/>
            <w:right w:w="108" w:type="dxa"/>
          </w:tblCellMar>
        </w:tblPrEx>
        <w:tc>
          <w:tcPr>
            <w:tcW w:w="8847" w:type="dxa"/>
            <w:gridSpan w:val="9"/>
            <w:vAlign w:val="center"/>
          </w:tcPr>
          <w:p w14:paraId="1154E0B1">
            <w:pPr>
              <w:jc w:val="center"/>
            </w:pPr>
            <w:r>
              <w:rPr>
                <w:rFonts w:ascii="宋体" w:hAnsi="宋体" w:eastAsia="宋体"/>
                <w:sz w:val="24"/>
              </w:rPr>
              <w:t>单位整体支出绩效自评表</w:t>
            </w:r>
          </w:p>
        </w:tc>
      </w:tr>
      <w:tr w14:paraId="6D5693E5">
        <w:tblPrEx>
          <w:tblCellMar>
            <w:top w:w="0" w:type="dxa"/>
            <w:left w:w="108" w:type="dxa"/>
            <w:bottom w:w="0" w:type="dxa"/>
            <w:right w:w="108" w:type="dxa"/>
          </w:tblCellMar>
        </w:tblPrEx>
        <w:tc>
          <w:tcPr>
            <w:tcW w:w="8847" w:type="dxa"/>
            <w:gridSpan w:val="9"/>
            <w:vAlign w:val="center"/>
          </w:tcPr>
          <w:p w14:paraId="4A415DBD">
            <w:pPr>
              <w:jc w:val="center"/>
            </w:pPr>
            <w:r>
              <w:rPr>
                <w:rFonts w:ascii="宋体" w:hAnsi="宋体" w:eastAsia="宋体"/>
                <w:sz w:val="24"/>
              </w:rPr>
              <w:t>（2024年度）</w:t>
            </w:r>
          </w:p>
        </w:tc>
      </w:tr>
      <w:tr w14:paraId="14CED4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9240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4B5E12">
            <w:pPr>
              <w:jc w:val="center"/>
            </w:pPr>
            <w:r>
              <w:rPr>
                <w:rFonts w:ascii="宋体" w:hAnsi="宋体" w:eastAsia="宋体"/>
                <w:sz w:val="16"/>
              </w:rPr>
              <w:t>叶城县核桃产业化发展中心</w:t>
            </w:r>
          </w:p>
        </w:tc>
      </w:tr>
      <w:tr w14:paraId="0F180B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4A40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F37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792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9BA8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297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704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9D12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CCDE2">
            <w:pPr>
              <w:jc w:val="center"/>
            </w:pPr>
            <w:r>
              <w:rPr>
                <w:rFonts w:ascii="宋体" w:hAnsi="宋体" w:eastAsia="宋体"/>
                <w:sz w:val="16"/>
              </w:rPr>
              <w:t>得分</w:t>
            </w:r>
          </w:p>
        </w:tc>
      </w:tr>
      <w:tr w14:paraId="48B31F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2D6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FCF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E567E">
            <w:pPr>
              <w:jc w:val="center"/>
            </w:pPr>
            <w:r>
              <w:rPr>
                <w:rFonts w:ascii="宋体" w:hAnsi="宋体" w:eastAsia="宋体"/>
                <w:sz w:val="16"/>
              </w:rPr>
              <w:t>2,529.31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5DFB4">
            <w:pPr>
              <w:jc w:val="center"/>
            </w:pPr>
            <w:r>
              <w:rPr>
                <w:rFonts w:ascii="宋体" w:hAnsi="宋体" w:eastAsia="宋体"/>
                <w:sz w:val="16"/>
              </w:rPr>
              <w:t>5,921.11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C3DA7">
            <w:pPr>
              <w:jc w:val="center"/>
            </w:pPr>
            <w:r>
              <w:rPr>
                <w:rFonts w:ascii="宋体" w:hAnsi="宋体" w:eastAsia="宋体"/>
                <w:sz w:val="16"/>
              </w:rPr>
              <w:t>5,921.11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638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EEF7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3195">
            <w:pPr>
              <w:jc w:val="center"/>
            </w:pPr>
            <w:r>
              <w:rPr>
                <w:rFonts w:ascii="宋体" w:hAnsi="宋体" w:eastAsia="宋体"/>
                <w:sz w:val="16"/>
              </w:rPr>
              <w:t>10</w:t>
            </w:r>
          </w:p>
        </w:tc>
      </w:tr>
      <w:tr w14:paraId="0912B6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139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D327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4579E">
            <w:pPr>
              <w:jc w:val="center"/>
            </w:pPr>
            <w:r>
              <w:rPr>
                <w:rFonts w:ascii="宋体" w:hAnsi="宋体" w:eastAsia="宋体"/>
                <w:sz w:val="16"/>
              </w:rPr>
              <w:t>2,119.50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CB698">
            <w:pPr>
              <w:jc w:val="center"/>
            </w:pPr>
            <w:r>
              <w:rPr>
                <w:rFonts w:ascii="宋体" w:hAnsi="宋体" w:eastAsia="宋体"/>
                <w:sz w:val="16"/>
              </w:rPr>
              <w:t>5,511.30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8A3C0">
            <w:pPr>
              <w:jc w:val="center"/>
            </w:pPr>
            <w:r>
              <w:rPr>
                <w:rFonts w:ascii="宋体" w:hAnsi="宋体" w:eastAsia="宋体"/>
                <w:sz w:val="16"/>
              </w:rPr>
              <w:t>5,511.30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F63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5DE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20CDC">
            <w:pPr>
              <w:jc w:val="center"/>
            </w:pPr>
            <w:r>
              <w:rPr>
                <w:rFonts w:ascii="宋体" w:hAnsi="宋体" w:eastAsia="宋体"/>
                <w:sz w:val="16"/>
              </w:rPr>
              <w:t>—</w:t>
            </w:r>
          </w:p>
        </w:tc>
      </w:tr>
      <w:tr w14:paraId="6211FB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578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B9A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10D53">
            <w:pPr>
              <w:jc w:val="center"/>
            </w:pPr>
            <w:r>
              <w:rPr>
                <w:rFonts w:ascii="宋体" w:hAnsi="宋体" w:eastAsia="宋体"/>
                <w:sz w:val="16"/>
              </w:rPr>
              <w:t>409.81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0FCA">
            <w:pPr>
              <w:jc w:val="center"/>
            </w:pPr>
            <w:r>
              <w:rPr>
                <w:rFonts w:ascii="宋体" w:hAnsi="宋体" w:eastAsia="宋体"/>
                <w:sz w:val="16"/>
              </w:rPr>
              <w:t>409.81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8393">
            <w:pPr>
              <w:jc w:val="center"/>
            </w:pPr>
            <w:r>
              <w:rPr>
                <w:rFonts w:ascii="宋体" w:hAnsi="宋体" w:eastAsia="宋体"/>
                <w:sz w:val="16"/>
              </w:rPr>
              <w:t>409.81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F7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829D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CE4E2">
            <w:pPr>
              <w:jc w:val="center"/>
            </w:pPr>
            <w:r>
              <w:rPr>
                <w:rFonts w:ascii="宋体" w:hAnsi="宋体" w:eastAsia="宋体"/>
                <w:sz w:val="16"/>
              </w:rPr>
              <w:t>—</w:t>
            </w:r>
          </w:p>
        </w:tc>
      </w:tr>
      <w:tr w14:paraId="6AC5B2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D01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6C26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D06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95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688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E50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93B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2C984">
            <w:pPr>
              <w:jc w:val="center"/>
            </w:pPr>
            <w:r>
              <w:rPr>
                <w:rFonts w:ascii="宋体" w:hAnsi="宋体" w:eastAsia="宋体"/>
                <w:sz w:val="16"/>
              </w:rPr>
              <w:t>—</w:t>
            </w:r>
          </w:p>
        </w:tc>
      </w:tr>
      <w:tr w14:paraId="66C637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8A25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5BA5F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FFF92F">
            <w:pPr>
              <w:jc w:val="center"/>
            </w:pPr>
            <w:r>
              <w:rPr>
                <w:rFonts w:ascii="宋体" w:hAnsi="宋体" w:eastAsia="宋体"/>
                <w:sz w:val="16"/>
              </w:rPr>
              <w:t>实际完成情况</w:t>
            </w:r>
          </w:p>
        </w:tc>
      </w:tr>
      <w:tr w14:paraId="560F91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705D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D36893">
            <w:pPr>
              <w:jc w:val="both"/>
            </w:pPr>
            <w:r>
              <w:rPr>
                <w:rFonts w:ascii="宋体" w:hAnsi="宋体" w:eastAsia="宋体"/>
                <w:sz w:val="16"/>
              </w:rPr>
              <w:t>科学拟定叶城核桃产业化发展的重大原则、政策措施、实施方案;引领叶城核桃产业发展方向的要求，突出在良种繁育、标准化生产、病虫害防治、产品研发、产业经济等方面开展研究，为核桃产业化发展提供科技支撑;统筹协调和解决核桃产业化发展中遇到的重大事项和问题，完成县委、县人民政府关于推进核桃产业化发展的各项决策部署。研究制定全县果树、蔬菜、瓜类生产计划、规划，研究制定无公害作物种植及病虫害防治技术规程;组织开展实施科技新品种、新技术、新成果、新产品的引进试验、示范、推广、技术咨询、技术指导和技术培训;对全县核桃产业</w:t>
            </w:r>
            <w:r>
              <w:rPr>
                <w:rFonts w:hint="eastAsia" w:ascii="宋体" w:hAnsi="宋体"/>
                <w:sz w:val="16"/>
                <w:lang w:eastAsia="zh-CN"/>
              </w:rPr>
              <w:t>化和</w:t>
            </w:r>
            <w:r>
              <w:rPr>
                <w:rFonts w:ascii="宋体" w:hAnsi="宋体" w:eastAsia="宋体"/>
                <w:sz w:val="16"/>
              </w:rPr>
              <w:t>瓜(菜)果产业发展提出合理化意见建议;完成局机关交办的其他任务。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A52D7">
            <w:pPr>
              <w:jc w:val="both"/>
            </w:pPr>
            <w:r>
              <w:rPr>
                <w:rFonts w:hint="eastAsia" w:ascii="宋体" w:hAnsi="宋体"/>
                <w:sz w:val="16"/>
                <w:lang w:eastAsia="zh-CN"/>
              </w:rPr>
              <w:t>截至2024</w:t>
            </w:r>
            <w:r>
              <w:rPr>
                <w:rFonts w:ascii="宋体" w:hAnsi="宋体" w:eastAsia="宋体"/>
                <w:sz w:val="16"/>
              </w:rPr>
              <w:t>年12月31日，已完成科学拟定叶城核桃产业化发展的重大原则、政策措施、实施方案;引领叶城核桃产业发展方向的要求，突出在良种繁育、标准化生产、病虫害防治、产品研发、产业经济等方面开展研究，为核桃产业化发展提供科技支撑;统筹协调和解决核桃产业化发展中遇到的重大事项和问题，完成县委、县人民政府关于推进核桃产业化发展的各项决策部署。研究制定全县果树、蔬菜、瓜类生产计划、规划，研究制定无公害作物种植及病虫害防治技术规程;组织开展实施科技新品种、新技术、新成果、新产品的引进试验、示范、推广、技术咨询、技术指导和技术培训，林果技术培训100场，林果产量增加4100吨，核桃嫁接改优数量56000株;对全县核桃产业化瓜(菜)果产业发展提出合理化意见建议;完成局机关交办的其他任务。</w:t>
            </w:r>
          </w:p>
        </w:tc>
      </w:tr>
      <w:tr w14:paraId="36C82D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0DA6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DF2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BFF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4CE5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AB70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7CEA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2607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3DA0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AC6EB">
            <w:pPr>
              <w:jc w:val="center"/>
            </w:pPr>
            <w:r>
              <w:rPr>
                <w:rFonts w:ascii="宋体" w:hAnsi="宋体" w:eastAsia="宋体"/>
                <w:sz w:val="16"/>
              </w:rPr>
              <w:t>得分</w:t>
            </w:r>
          </w:p>
        </w:tc>
      </w:tr>
      <w:tr w14:paraId="6836C6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5AD1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4C3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3AB36">
            <w:pPr>
              <w:jc w:val="center"/>
            </w:pPr>
            <w:r>
              <w:rPr>
                <w:rFonts w:ascii="宋体" w:hAnsi="宋体" w:eastAsia="宋体"/>
                <w:sz w:val="16"/>
              </w:rPr>
              <w:t>叶城核桃地理标志农产品保护数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D6F3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CD73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ED2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D6B2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B30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292AA">
            <w:pPr>
              <w:jc w:val="center"/>
            </w:pPr>
            <w:r>
              <w:rPr>
                <w:rFonts w:ascii="宋体" w:hAnsi="宋体" w:eastAsia="宋体"/>
                <w:sz w:val="16"/>
              </w:rPr>
              <w:t>18</w:t>
            </w:r>
          </w:p>
        </w:tc>
      </w:tr>
      <w:tr w14:paraId="60F4AA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1CD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E9A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FDD2A">
            <w:pPr>
              <w:jc w:val="center"/>
            </w:pPr>
            <w:r>
              <w:rPr>
                <w:rFonts w:ascii="宋体" w:hAnsi="宋体" w:eastAsia="宋体"/>
                <w:sz w:val="16"/>
              </w:rPr>
              <w:t>林果技术培训场次（场）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7057A">
            <w:pPr>
              <w:jc w:val="center"/>
            </w:pPr>
            <w:r>
              <w:rPr>
                <w:rFonts w:ascii="宋体" w:hAnsi="宋体" w:eastAsia="宋体"/>
                <w:sz w:val="16"/>
              </w:rPr>
              <w:t>&gt;=100场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A68A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E844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74113">
            <w:pPr>
              <w:jc w:val="center"/>
            </w:pPr>
            <w:r>
              <w:rPr>
                <w:rFonts w:ascii="宋体" w:hAnsi="宋体" w:eastAsia="宋体"/>
                <w:sz w:val="16"/>
              </w:rPr>
              <w:t>=100场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05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02A79">
            <w:pPr>
              <w:jc w:val="center"/>
            </w:pPr>
            <w:r>
              <w:rPr>
                <w:rFonts w:ascii="宋体" w:hAnsi="宋体" w:eastAsia="宋体"/>
                <w:sz w:val="16"/>
              </w:rPr>
              <w:t>18</w:t>
            </w:r>
          </w:p>
        </w:tc>
      </w:tr>
      <w:tr w14:paraId="3BD487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206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DD1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57D71">
            <w:pPr>
              <w:jc w:val="center"/>
            </w:pPr>
            <w:r>
              <w:rPr>
                <w:rFonts w:ascii="宋体" w:hAnsi="宋体" w:eastAsia="宋体"/>
                <w:sz w:val="16"/>
              </w:rPr>
              <w:t>打造规范化高标准高产示范园面积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82721">
            <w:pPr>
              <w:jc w:val="center"/>
            </w:pPr>
            <w:r>
              <w:rPr>
                <w:rFonts w:ascii="宋体" w:hAnsi="宋体" w:eastAsia="宋体"/>
                <w:sz w:val="16"/>
              </w:rPr>
              <w:t>&gt;=56800亩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2476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90CA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47D56">
            <w:pPr>
              <w:jc w:val="center"/>
            </w:pPr>
            <w:r>
              <w:rPr>
                <w:rFonts w:ascii="宋体" w:hAnsi="宋体" w:eastAsia="宋体"/>
                <w:sz w:val="16"/>
              </w:rPr>
              <w:t>=56800亩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A7B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524DE">
            <w:pPr>
              <w:jc w:val="center"/>
            </w:pPr>
            <w:r>
              <w:rPr>
                <w:rFonts w:ascii="宋体" w:hAnsi="宋体" w:eastAsia="宋体"/>
                <w:sz w:val="16"/>
              </w:rPr>
              <w:t>18</w:t>
            </w:r>
          </w:p>
        </w:tc>
      </w:tr>
      <w:tr w14:paraId="057378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FEA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E3F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C65F9">
            <w:pPr>
              <w:jc w:val="center"/>
            </w:pPr>
            <w:r>
              <w:rPr>
                <w:rFonts w:ascii="宋体" w:hAnsi="宋体" w:eastAsia="宋体"/>
                <w:sz w:val="16"/>
              </w:rPr>
              <w:t>林果（核桃）产量增加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0B0A">
            <w:pPr>
              <w:jc w:val="center"/>
            </w:pPr>
            <w:r>
              <w:rPr>
                <w:rFonts w:ascii="宋体" w:hAnsi="宋体" w:eastAsia="宋体"/>
                <w:sz w:val="16"/>
              </w:rPr>
              <w:t>&gt;=4100吨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471D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1506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7FB21">
            <w:pPr>
              <w:jc w:val="center"/>
            </w:pPr>
            <w:r>
              <w:rPr>
                <w:rFonts w:ascii="宋体" w:hAnsi="宋体" w:eastAsia="宋体"/>
                <w:sz w:val="16"/>
              </w:rPr>
              <w:t>=4100吨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448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D1C0">
            <w:pPr>
              <w:jc w:val="center"/>
            </w:pPr>
            <w:r>
              <w:rPr>
                <w:rFonts w:ascii="宋体" w:hAnsi="宋体" w:eastAsia="宋体"/>
                <w:sz w:val="16"/>
              </w:rPr>
              <w:t>18</w:t>
            </w:r>
          </w:p>
        </w:tc>
      </w:tr>
      <w:tr w14:paraId="660B29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9B3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6F3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CF1A4">
            <w:pPr>
              <w:jc w:val="center"/>
            </w:pPr>
            <w:r>
              <w:rPr>
                <w:rFonts w:ascii="宋体" w:hAnsi="宋体" w:eastAsia="宋体"/>
                <w:sz w:val="16"/>
              </w:rPr>
              <w:t>核桃嫁接改优数量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2047F">
            <w:pPr>
              <w:jc w:val="center"/>
            </w:pPr>
            <w:r>
              <w:rPr>
                <w:rFonts w:ascii="宋体" w:hAnsi="宋体" w:eastAsia="宋体"/>
                <w:sz w:val="16"/>
              </w:rPr>
              <w:t>&gt;=56000株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89FB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B1B38">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0DABB">
            <w:pPr>
              <w:jc w:val="center"/>
            </w:pPr>
            <w:r>
              <w:rPr>
                <w:rFonts w:ascii="宋体" w:hAnsi="宋体" w:eastAsia="宋体"/>
                <w:sz w:val="16"/>
              </w:rPr>
              <w:t>=56000株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2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7A4CC">
            <w:pPr>
              <w:jc w:val="center"/>
            </w:pPr>
            <w:r>
              <w:rPr>
                <w:rFonts w:ascii="宋体" w:hAnsi="宋体" w:eastAsia="宋体"/>
                <w:sz w:val="16"/>
              </w:rPr>
              <w:t>9</w:t>
            </w:r>
          </w:p>
        </w:tc>
      </w:tr>
      <w:tr w14:paraId="5CF08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537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7B8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5E64">
            <w:pPr>
              <w:jc w:val="center"/>
            </w:pPr>
            <w:r>
              <w:rPr>
                <w:rFonts w:ascii="宋体" w:hAnsi="宋体" w:eastAsia="宋体"/>
                <w:sz w:val="16"/>
              </w:rPr>
              <w:t>全县老果园（低产低效林）改造面积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D274A">
            <w:pPr>
              <w:jc w:val="center"/>
            </w:pPr>
            <w:r>
              <w:rPr>
                <w:rFonts w:ascii="宋体" w:hAnsi="宋体" w:eastAsia="宋体"/>
                <w:sz w:val="16"/>
              </w:rPr>
              <w:t>&gt;=13000亩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27A8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5DB3">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83290">
            <w:pPr>
              <w:jc w:val="center"/>
            </w:pPr>
            <w:r>
              <w:rPr>
                <w:rFonts w:ascii="宋体" w:hAnsi="宋体" w:eastAsia="宋体"/>
                <w:sz w:val="16"/>
              </w:rPr>
              <w:t>=13000亩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4A8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939C8">
            <w:pPr>
              <w:jc w:val="center"/>
            </w:pPr>
            <w:r>
              <w:rPr>
                <w:rFonts w:ascii="宋体" w:hAnsi="宋体" w:eastAsia="宋体"/>
                <w:sz w:val="16"/>
              </w:rPr>
              <w:t>9</w:t>
            </w:r>
          </w:p>
        </w:tc>
      </w:tr>
    </w:tbl>
    <w:p w14:paraId="1182C718">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32"/>
        <w:gridCol w:w="776"/>
        <w:gridCol w:w="625"/>
        <w:gridCol w:w="696"/>
        <w:gridCol w:w="627"/>
        <w:gridCol w:w="625"/>
        <w:gridCol w:w="625"/>
        <w:gridCol w:w="696"/>
        <w:gridCol w:w="632"/>
        <w:gridCol w:w="616"/>
        <w:gridCol w:w="632"/>
      </w:tblGrid>
      <w:tr w14:paraId="4F8D8E0A">
        <w:tblPrEx>
          <w:tblCellMar>
            <w:top w:w="0" w:type="dxa"/>
            <w:left w:w="108" w:type="dxa"/>
            <w:bottom w:w="0" w:type="dxa"/>
            <w:right w:w="108" w:type="dxa"/>
          </w:tblCellMar>
        </w:tblPrEx>
        <w:tc>
          <w:tcPr>
            <w:tcW w:w="8848" w:type="dxa"/>
            <w:gridSpan w:val="14"/>
            <w:vAlign w:val="center"/>
          </w:tcPr>
          <w:p w14:paraId="22BBF5E1">
            <w:pPr>
              <w:jc w:val="center"/>
            </w:pPr>
            <w:r>
              <w:rPr>
                <w:rFonts w:ascii="宋体" w:hAnsi="宋体" w:eastAsia="宋体"/>
                <w:sz w:val="24"/>
              </w:rPr>
              <w:t>项目支出绩效自评表</w:t>
            </w:r>
          </w:p>
        </w:tc>
      </w:tr>
      <w:tr w14:paraId="509DAA4F">
        <w:tblPrEx>
          <w:tblCellMar>
            <w:top w:w="0" w:type="dxa"/>
            <w:left w:w="108" w:type="dxa"/>
            <w:bottom w:w="0" w:type="dxa"/>
            <w:right w:w="108" w:type="dxa"/>
          </w:tblCellMar>
        </w:tblPrEx>
        <w:tc>
          <w:tcPr>
            <w:tcW w:w="8848" w:type="dxa"/>
            <w:gridSpan w:val="14"/>
            <w:vAlign w:val="center"/>
          </w:tcPr>
          <w:p w14:paraId="35F66676">
            <w:pPr>
              <w:jc w:val="center"/>
            </w:pPr>
            <w:r>
              <w:rPr>
                <w:rFonts w:ascii="宋体" w:hAnsi="宋体" w:eastAsia="宋体"/>
                <w:sz w:val="24"/>
              </w:rPr>
              <w:t>(2024年度)</w:t>
            </w:r>
          </w:p>
        </w:tc>
      </w:tr>
      <w:tr w14:paraId="57C53A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F7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38A6A9">
            <w:pPr>
              <w:jc w:val="center"/>
            </w:pPr>
            <w:r>
              <w:rPr>
                <w:rFonts w:ascii="宋体" w:hAnsi="宋体" w:eastAsia="宋体"/>
                <w:sz w:val="16"/>
              </w:rPr>
              <w:t>2023年小宗林果业政策性农业保险补贴项目</w:t>
            </w:r>
          </w:p>
        </w:tc>
      </w:tr>
      <w:tr w14:paraId="20AA6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E4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EB224">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56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D47240">
            <w:pPr>
              <w:jc w:val="center"/>
            </w:pPr>
            <w:r>
              <w:rPr>
                <w:rFonts w:ascii="宋体" w:hAnsi="宋体" w:eastAsia="宋体"/>
                <w:sz w:val="16"/>
              </w:rPr>
              <w:t>叶城县核桃产业化发展中心</w:t>
            </w:r>
          </w:p>
        </w:tc>
      </w:tr>
      <w:tr w14:paraId="145500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8BC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3DE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82F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12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896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6F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F5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AF4E">
            <w:pPr>
              <w:jc w:val="center"/>
            </w:pPr>
            <w:r>
              <w:rPr>
                <w:rFonts w:ascii="宋体" w:hAnsi="宋体" w:eastAsia="宋体"/>
                <w:sz w:val="16"/>
              </w:rPr>
              <w:t>得分</w:t>
            </w:r>
          </w:p>
        </w:tc>
      </w:tr>
      <w:tr w14:paraId="3FBF3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2B0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6F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FCE76">
            <w:pPr>
              <w:jc w:val="center"/>
            </w:pPr>
            <w:r>
              <w:rPr>
                <w:rFonts w:ascii="宋体" w:hAnsi="宋体" w:eastAsia="宋体"/>
                <w:sz w:val="16"/>
              </w:rPr>
              <w:t>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7D85E">
            <w:pPr>
              <w:jc w:val="center"/>
            </w:pPr>
            <w:r>
              <w:rPr>
                <w:rFonts w:ascii="宋体" w:hAnsi="宋体" w:eastAsia="宋体"/>
                <w:sz w:val="16"/>
              </w:rPr>
              <w:t>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CD45F">
            <w:pPr>
              <w:jc w:val="center"/>
            </w:pPr>
            <w:r>
              <w:rPr>
                <w:rFonts w:ascii="宋体" w:hAnsi="宋体" w:eastAsia="宋体"/>
                <w:sz w:val="16"/>
              </w:rPr>
              <w:t>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8E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520B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CDFB">
            <w:pPr>
              <w:jc w:val="center"/>
            </w:pPr>
            <w:r>
              <w:rPr>
                <w:rFonts w:ascii="宋体" w:hAnsi="宋体" w:eastAsia="宋体"/>
                <w:sz w:val="16"/>
              </w:rPr>
              <w:t>10.00分</w:t>
            </w:r>
          </w:p>
        </w:tc>
      </w:tr>
      <w:tr w14:paraId="54025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2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9F4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E984F">
            <w:pPr>
              <w:jc w:val="center"/>
            </w:pPr>
            <w:r>
              <w:rPr>
                <w:rFonts w:ascii="宋体" w:hAnsi="宋体" w:eastAsia="宋体"/>
                <w:sz w:val="16"/>
              </w:rPr>
              <w:t>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D5DDF">
            <w:pPr>
              <w:jc w:val="center"/>
            </w:pPr>
            <w:r>
              <w:rPr>
                <w:rFonts w:ascii="宋体" w:hAnsi="宋体" w:eastAsia="宋体"/>
                <w:sz w:val="16"/>
              </w:rPr>
              <w:t>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4671C">
            <w:pPr>
              <w:jc w:val="center"/>
            </w:pPr>
            <w:r>
              <w:rPr>
                <w:rFonts w:ascii="宋体" w:hAnsi="宋体" w:eastAsia="宋体"/>
                <w:sz w:val="16"/>
              </w:rPr>
              <w:t>32.07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5C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D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AFD1">
            <w:pPr>
              <w:jc w:val="center"/>
            </w:pPr>
            <w:r>
              <w:rPr>
                <w:rFonts w:ascii="宋体" w:hAnsi="宋体" w:eastAsia="宋体"/>
                <w:sz w:val="16"/>
              </w:rPr>
              <w:t>—</w:t>
            </w:r>
          </w:p>
        </w:tc>
      </w:tr>
      <w:tr w14:paraId="5B1F5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919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4E1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B91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AD9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50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02A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96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413B">
            <w:pPr>
              <w:jc w:val="center"/>
            </w:pPr>
            <w:r>
              <w:rPr>
                <w:rFonts w:ascii="宋体" w:hAnsi="宋体" w:eastAsia="宋体"/>
                <w:sz w:val="16"/>
              </w:rPr>
              <w:t>—</w:t>
            </w:r>
          </w:p>
        </w:tc>
      </w:tr>
      <w:tr w14:paraId="5917AD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61C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47D2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87663E">
            <w:pPr>
              <w:jc w:val="center"/>
            </w:pPr>
            <w:r>
              <w:rPr>
                <w:rFonts w:ascii="宋体" w:hAnsi="宋体" w:eastAsia="宋体"/>
                <w:sz w:val="16"/>
              </w:rPr>
              <w:t>实际完成情况</w:t>
            </w:r>
          </w:p>
        </w:tc>
      </w:tr>
      <w:tr w14:paraId="33321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2A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22B5A">
            <w:pPr>
              <w:jc w:val="both"/>
            </w:pPr>
            <w:r>
              <w:rPr>
                <w:rFonts w:ascii="宋体" w:hAnsi="宋体" w:eastAsia="宋体"/>
                <w:sz w:val="16"/>
              </w:rPr>
              <w:t>该项目下达总资金32.07万元，主要用于引导和支持农户参加农业保险，林果投保面积覆盖率65%以上，不断扩大农业保险覆盖面和风险保障水平，逐步建立市场化的农业生产风险防范化解机制，稳定农业生产，保障农户收入，受益投保</w:t>
            </w:r>
            <w:r>
              <w:rPr>
                <w:rFonts w:hint="eastAsia" w:ascii="宋体" w:hAnsi="宋体"/>
                <w:sz w:val="16"/>
                <w:lang w:eastAsia="zh-CN"/>
              </w:rPr>
              <w:t>农户</w:t>
            </w:r>
            <w:r>
              <w:rPr>
                <w:rFonts w:ascii="宋体" w:hAnsi="宋体" w:eastAsia="宋体"/>
                <w:sz w:val="16"/>
              </w:rPr>
              <w:t>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3DA7A">
            <w:pPr>
              <w:jc w:val="both"/>
            </w:pPr>
            <w:r>
              <w:rPr>
                <w:rFonts w:hint="eastAsia" w:ascii="宋体" w:hAnsi="宋体"/>
                <w:sz w:val="16"/>
                <w:lang w:eastAsia="zh-CN"/>
              </w:rPr>
              <w:t>截至2024</w:t>
            </w:r>
            <w:r>
              <w:rPr>
                <w:rFonts w:ascii="宋体" w:hAnsi="宋体" w:eastAsia="宋体"/>
                <w:sz w:val="16"/>
              </w:rPr>
              <w:t>年5月31日，该项目实际支出32.07万元，主要用于2023年小宗林果业政策性农业保险补贴，引导和支持农户参加农业保险，林果投保面积覆盖率65%以上，不断扩大农业保险覆盖面和风险保障水平，逐步建立市场化的农业生产风险防范化解机制，稳定农业生产。</w:t>
            </w:r>
          </w:p>
        </w:tc>
      </w:tr>
      <w:tr w14:paraId="7EFABB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790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8D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4D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E3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51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2D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40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37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60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90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23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FC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C1C77">
            <w:pPr>
              <w:jc w:val="center"/>
            </w:pPr>
            <w:r>
              <w:rPr>
                <w:rFonts w:ascii="宋体" w:hAnsi="宋体" w:eastAsia="宋体"/>
                <w:sz w:val="16"/>
              </w:rPr>
              <w:t>偏差原因分析及改进措施</w:t>
            </w:r>
          </w:p>
        </w:tc>
      </w:tr>
      <w:tr w14:paraId="68BC15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08A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FEC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58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D20A">
            <w:pPr>
              <w:jc w:val="center"/>
            </w:pPr>
            <w:r>
              <w:rPr>
                <w:rFonts w:ascii="宋体" w:hAnsi="宋体" w:eastAsia="宋体"/>
                <w:sz w:val="16"/>
              </w:rPr>
              <w:t>林果投保面积覆盖率（%）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8170">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F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3E43">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0A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2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0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5E38">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0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2F654">
            <w:pPr>
              <w:jc w:val="center"/>
            </w:pPr>
          </w:p>
        </w:tc>
      </w:tr>
      <w:tr w14:paraId="78B45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0C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55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B5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986C">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D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DA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E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2F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A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7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9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78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3AEF">
            <w:pPr>
              <w:jc w:val="center"/>
            </w:pPr>
          </w:p>
        </w:tc>
      </w:tr>
      <w:tr w14:paraId="0904C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65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FAF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B94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5C57">
            <w:pPr>
              <w:jc w:val="center"/>
            </w:pPr>
            <w:r>
              <w:rPr>
                <w:rFonts w:ascii="宋体" w:hAnsi="宋体" w:eastAsia="宋体"/>
                <w:sz w:val="16"/>
              </w:rPr>
              <w:t>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A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0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E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A5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0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0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4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EF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D7DB9">
            <w:pPr>
              <w:jc w:val="center"/>
            </w:pPr>
          </w:p>
        </w:tc>
      </w:tr>
      <w:tr w14:paraId="64F4E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5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1E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D8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06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2CB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6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E006">
            <w:pPr>
              <w:jc w:val="center"/>
            </w:pPr>
            <w:r>
              <w:rPr>
                <w:rFonts w:ascii="宋体" w:hAnsi="宋体" w:eastAsia="宋体"/>
                <w:sz w:val="16"/>
              </w:rPr>
              <w:t>2023年12月28日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27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4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07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C86A">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E6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31B87">
            <w:pPr>
              <w:jc w:val="center"/>
            </w:pPr>
          </w:p>
        </w:tc>
      </w:tr>
      <w:tr w14:paraId="3B165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A5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3E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66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E171">
            <w:pPr>
              <w:jc w:val="center"/>
            </w:pPr>
            <w:r>
              <w:rPr>
                <w:rFonts w:ascii="宋体" w:hAnsi="宋体" w:eastAsia="宋体"/>
                <w:sz w:val="16"/>
              </w:rPr>
              <w:t>农业保险保费补贴资金(万元）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53E9">
            <w:pPr>
              <w:jc w:val="center"/>
            </w:pPr>
            <w:r>
              <w:rPr>
                <w:rFonts w:ascii="宋体" w:hAnsi="宋体" w:eastAsia="宋体"/>
                <w:sz w:val="16"/>
              </w:rPr>
              <w:t>&lt;=32.07万元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73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8336">
            <w:pPr>
              <w:jc w:val="center"/>
            </w:pPr>
            <w:r>
              <w:rPr>
                <w:rFonts w:ascii="宋体" w:hAnsi="宋体" w:eastAsia="宋体"/>
                <w:sz w:val="16"/>
              </w:rPr>
              <w:t>=30.07万元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7C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C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9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5B73">
            <w:pPr>
              <w:jc w:val="center"/>
            </w:pPr>
            <w:r>
              <w:rPr>
                <w:rFonts w:ascii="宋体" w:hAnsi="宋体" w:eastAsia="宋体"/>
                <w:sz w:val="16"/>
              </w:rPr>
              <w:t>=32.07万元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AC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5F6E6">
            <w:pPr>
              <w:jc w:val="center"/>
            </w:pPr>
          </w:p>
        </w:tc>
      </w:tr>
      <w:tr w14:paraId="73152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55A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0A7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EB7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B8D7">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BCEE">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2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00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B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5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86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33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A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87493">
            <w:pPr>
              <w:jc w:val="center"/>
            </w:pPr>
          </w:p>
        </w:tc>
      </w:tr>
      <w:tr w14:paraId="504C0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4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A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30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7B0D">
            <w:pPr>
              <w:jc w:val="center"/>
            </w:pPr>
            <w:r>
              <w:rPr>
                <w:rFonts w:ascii="宋体" w:hAnsi="宋体" w:eastAsia="宋体"/>
                <w:sz w:val="16"/>
              </w:rPr>
              <w:t>经办机构县直分支机构覆盖率（%）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5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7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F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74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6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3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7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C1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BB9F5">
            <w:pPr>
              <w:jc w:val="center"/>
            </w:pPr>
          </w:p>
        </w:tc>
      </w:tr>
      <w:tr w14:paraId="7A511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E7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D3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1F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7230">
            <w:pPr>
              <w:jc w:val="center"/>
            </w:pPr>
            <w:r>
              <w:rPr>
                <w:rFonts w:ascii="宋体" w:hAnsi="宋体" w:eastAsia="宋体"/>
                <w:sz w:val="16"/>
              </w:rPr>
              <w:t>受益投保农户满意度（%）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1F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4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80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2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A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E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2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640B">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8A0C">
            <w:pPr>
              <w:jc w:val="center"/>
            </w:pPr>
            <w:r>
              <w:rPr>
                <w:rFonts w:ascii="宋体" w:hAnsi="宋体" w:eastAsia="宋体"/>
                <w:sz w:val="16"/>
              </w:rPr>
              <w:t>偏差原因：年初预算满意度95%，实际完成</w:t>
            </w:r>
            <w:r>
              <w:rPr>
                <w:rFonts w:hint="eastAsia" w:ascii="宋体" w:hAnsi="宋体"/>
                <w:sz w:val="16"/>
                <w:lang w:eastAsia="zh-CN"/>
              </w:rPr>
              <w:t>值</w:t>
            </w:r>
            <w:r>
              <w:rPr>
                <w:rFonts w:ascii="宋体" w:hAnsi="宋体" w:eastAsia="宋体"/>
                <w:sz w:val="16"/>
              </w:rPr>
              <w:t>为100%，整改措施：通过此类项目细化年初预算更精准做好目标设定。</w:t>
            </w:r>
          </w:p>
        </w:tc>
      </w:tr>
      <w:tr w14:paraId="7F6865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A89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D62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F1C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79B5">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C36D53"/>
        </w:tc>
      </w:tr>
    </w:tbl>
    <w:p w14:paraId="002074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6FF753F6">
        <w:tblPrEx>
          <w:tblCellMar>
            <w:top w:w="0" w:type="dxa"/>
            <w:left w:w="108" w:type="dxa"/>
            <w:bottom w:w="0" w:type="dxa"/>
            <w:right w:w="108" w:type="dxa"/>
          </w:tblCellMar>
        </w:tblPrEx>
        <w:tc>
          <w:tcPr>
            <w:tcW w:w="8848" w:type="dxa"/>
            <w:gridSpan w:val="14"/>
            <w:vAlign w:val="center"/>
          </w:tcPr>
          <w:p w14:paraId="73264903">
            <w:pPr>
              <w:jc w:val="center"/>
            </w:pPr>
            <w:r>
              <w:rPr>
                <w:rFonts w:ascii="宋体" w:hAnsi="宋体" w:eastAsia="宋体"/>
                <w:sz w:val="24"/>
              </w:rPr>
              <w:t>项目支出绩效自评表</w:t>
            </w:r>
          </w:p>
        </w:tc>
      </w:tr>
      <w:tr w14:paraId="5AE3B45B">
        <w:tblPrEx>
          <w:tblCellMar>
            <w:top w:w="0" w:type="dxa"/>
            <w:left w:w="108" w:type="dxa"/>
            <w:bottom w:w="0" w:type="dxa"/>
            <w:right w:w="108" w:type="dxa"/>
          </w:tblCellMar>
        </w:tblPrEx>
        <w:tc>
          <w:tcPr>
            <w:tcW w:w="8848" w:type="dxa"/>
            <w:gridSpan w:val="14"/>
            <w:vAlign w:val="center"/>
          </w:tcPr>
          <w:p w14:paraId="7FF54B3E">
            <w:pPr>
              <w:jc w:val="center"/>
            </w:pPr>
            <w:r>
              <w:rPr>
                <w:rFonts w:ascii="宋体" w:hAnsi="宋体" w:eastAsia="宋体"/>
                <w:sz w:val="24"/>
              </w:rPr>
              <w:t>(2024年度)</w:t>
            </w:r>
          </w:p>
        </w:tc>
      </w:tr>
      <w:tr w14:paraId="3C8BC4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65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AB2A62">
            <w:pPr>
              <w:jc w:val="center"/>
            </w:pPr>
            <w:r>
              <w:rPr>
                <w:rFonts w:ascii="宋体" w:hAnsi="宋体" w:eastAsia="宋体"/>
                <w:sz w:val="16"/>
              </w:rPr>
              <w:t>2024年地区财政农业保险保费补贴资金项目</w:t>
            </w:r>
          </w:p>
        </w:tc>
      </w:tr>
      <w:tr w14:paraId="20D90E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0D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2B0EC8">
            <w:pPr>
              <w:jc w:val="center"/>
            </w:pPr>
            <w:r>
              <w:rPr>
                <w:rFonts w:ascii="宋体" w:hAnsi="宋体" w:eastAsia="宋体"/>
                <w:sz w:val="16"/>
              </w:rPr>
              <w:t>叶城县核桃产业化发展中心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EE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0B892">
            <w:pPr>
              <w:jc w:val="center"/>
            </w:pPr>
            <w:r>
              <w:rPr>
                <w:rFonts w:ascii="宋体" w:hAnsi="宋体" w:eastAsia="宋体"/>
                <w:sz w:val="16"/>
              </w:rPr>
              <w:t>叶城县核桃产业化发展中心</w:t>
            </w:r>
          </w:p>
        </w:tc>
      </w:tr>
      <w:tr w14:paraId="020318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2C4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E24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82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C8E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58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768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C89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9014">
            <w:pPr>
              <w:jc w:val="center"/>
            </w:pPr>
            <w:r>
              <w:rPr>
                <w:rFonts w:ascii="宋体" w:hAnsi="宋体" w:eastAsia="宋体"/>
                <w:sz w:val="16"/>
              </w:rPr>
              <w:t>得分</w:t>
            </w:r>
          </w:p>
        </w:tc>
      </w:tr>
      <w:tr w14:paraId="528C5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EB7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91C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304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B61D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EAFA">
            <w:pPr>
              <w:jc w:val="center"/>
            </w:pPr>
            <w:r>
              <w:rPr>
                <w:rFonts w:ascii="宋体" w:hAnsi="宋体" w:eastAsia="宋体"/>
                <w:sz w:val="16"/>
              </w:rPr>
              <w:t>182.42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246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7A4D">
            <w:pPr>
              <w:jc w:val="center"/>
            </w:pPr>
            <w:r>
              <w:rPr>
                <w:rFonts w:ascii="宋体" w:hAnsi="宋体" w:eastAsia="宋体"/>
                <w:sz w:val="16"/>
              </w:rPr>
              <w:t>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D91A">
            <w:pPr>
              <w:jc w:val="center"/>
            </w:pPr>
            <w:r>
              <w:rPr>
                <w:rFonts w:ascii="宋体" w:hAnsi="宋体" w:eastAsia="宋体"/>
                <w:sz w:val="16"/>
              </w:rPr>
              <w:t>7.80分</w:t>
            </w:r>
          </w:p>
        </w:tc>
      </w:tr>
      <w:tr w14:paraId="189FE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F0F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954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049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498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91F89">
            <w:pPr>
              <w:jc w:val="center"/>
            </w:pPr>
            <w:r>
              <w:rPr>
                <w:rFonts w:ascii="宋体" w:hAnsi="宋体" w:eastAsia="宋体"/>
                <w:sz w:val="16"/>
              </w:rPr>
              <w:t>182.42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770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20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6E07">
            <w:pPr>
              <w:jc w:val="center"/>
            </w:pPr>
            <w:r>
              <w:rPr>
                <w:rFonts w:ascii="宋体" w:hAnsi="宋体" w:eastAsia="宋体"/>
                <w:sz w:val="16"/>
              </w:rPr>
              <w:t>—</w:t>
            </w:r>
          </w:p>
        </w:tc>
      </w:tr>
      <w:tr w14:paraId="4DAF4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23C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D35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9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7B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939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6F5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9F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123E">
            <w:pPr>
              <w:jc w:val="center"/>
            </w:pPr>
            <w:r>
              <w:rPr>
                <w:rFonts w:ascii="宋体" w:hAnsi="宋体" w:eastAsia="宋体"/>
                <w:sz w:val="16"/>
              </w:rPr>
              <w:t>—</w:t>
            </w:r>
          </w:p>
        </w:tc>
      </w:tr>
      <w:tr w14:paraId="211C19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D32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AD4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FA8C3E">
            <w:pPr>
              <w:jc w:val="center"/>
            </w:pPr>
            <w:r>
              <w:rPr>
                <w:rFonts w:ascii="宋体" w:hAnsi="宋体" w:eastAsia="宋体"/>
                <w:sz w:val="16"/>
              </w:rPr>
              <w:t>实际完成情况</w:t>
            </w:r>
          </w:p>
        </w:tc>
      </w:tr>
      <w:tr w14:paraId="50E08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7D5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6D029">
            <w:pPr>
              <w:jc w:val="both"/>
            </w:pPr>
            <w:r>
              <w:rPr>
                <w:rFonts w:ascii="宋体" w:hAnsi="宋体" w:eastAsia="宋体"/>
                <w:sz w:val="16"/>
              </w:rPr>
              <w:t>项目计划资金200万元。引导和支持农户参加农业保险，林果投保面积覆盖率65%以上，不断扩大农业保险覆盖面和风险保障水平，逐步建立市场化的农业生产风险防范化解机制，稳定农业生产，保障农户收入，受益投保</w:t>
            </w:r>
            <w:r>
              <w:rPr>
                <w:rFonts w:hint="eastAsia" w:ascii="宋体" w:hAnsi="宋体"/>
                <w:sz w:val="16"/>
                <w:lang w:eastAsia="zh-CN"/>
              </w:rPr>
              <w:t>农户</w:t>
            </w:r>
            <w:r>
              <w:rPr>
                <w:rFonts w:ascii="宋体" w:hAnsi="宋体" w:eastAsia="宋体"/>
                <w:sz w:val="16"/>
              </w:rPr>
              <w:t>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89E5DE">
            <w:pPr>
              <w:jc w:val="both"/>
            </w:pPr>
            <w:r>
              <w:rPr>
                <w:rFonts w:ascii="宋体" w:hAnsi="宋体" w:eastAsia="宋体"/>
                <w:sz w:val="16"/>
              </w:rPr>
              <w:br w:type="textWrapping"/>
            </w:r>
            <w:r>
              <w:rPr>
                <w:rFonts w:hint="eastAsia" w:ascii="宋体" w:hAnsi="宋体"/>
                <w:sz w:val="16"/>
                <w:lang w:eastAsia="zh-CN"/>
              </w:rPr>
              <w:t>截至2024</w:t>
            </w:r>
            <w:r>
              <w:rPr>
                <w:rFonts w:ascii="宋体" w:hAnsi="宋体" w:eastAsia="宋体"/>
                <w:sz w:val="16"/>
              </w:rPr>
              <w:t>年12月31日，项目实际支付182.42万元，完成了指导和支持农户参加农业保险，林果投保面积覆盖率65%以上，不断扩大农业保险覆盖面和风险保障水平，逐步建立市场化的农业生产风险防范化解机制，有效降低农业生产风险，保障农户收入。</w:t>
            </w:r>
          </w:p>
        </w:tc>
      </w:tr>
      <w:tr w14:paraId="3F9806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5A5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40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5C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53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8C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8F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94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50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92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B8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FC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0E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6C6FB">
            <w:pPr>
              <w:jc w:val="center"/>
            </w:pPr>
            <w:r>
              <w:rPr>
                <w:rFonts w:ascii="宋体" w:hAnsi="宋体" w:eastAsia="宋体"/>
                <w:sz w:val="16"/>
              </w:rPr>
              <w:t>偏差原因分析及改进措施</w:t>
            </w:r>
          </w:p>
        </w:tc>
      </w:tr>
      <w:tr w14:paraId="113547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1C3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88DD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C4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B722">
            <w:pPr>
              <w:jc w:val="center"/>
            </w:pPr>
            <w:r>
              <w:rPr>
                <w:rFonts w:ascii="宋体" w:hAnsi="宋体" w:eastAsia="宋体"/>
                <w:sz w:val="16"/>
              </w:rPr>
              <w:t>林果投保面积覆盖率（%）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5824">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C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432D">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DE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C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3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D286">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30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F63B1">
            <w:pPr>
              <w:jc w:val="center"/>
            </w:pPr>
          </w:p>
        </w:tc>
      </w:tr>
      <w:tr w14:paraId="143AF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04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5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3C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15F7">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6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A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0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4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C1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4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BBBE">
            <w:pPr>
              <w:jc w:val="center"/>
            </w:pPr>
            <w:r>
              <w:rPr>
                <w:rFonts w:ascii="宋体" w:hAnsi="宋体" w:eastAsia="宋体"/>
                <w:sz w:val="16"/>
              </w:rPr>
              <w:t>=91.21%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1678">
            <w:pPr>
              <w:jc w:val="center"/>
            </w:pPr>
            <w:r>
              <w:rPr>
                <w:rFonts w:ascii="宋体" w:hAnsi="宋体" w:eastAsia="宋体"/>
                <w:sz w:val="16"/>
              </w:rPr>
              <w:t>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2640">
            <w:pPr>
              <w:jc w:val="center"/>
            </w:pPr>
            <w:r>
              <w:rPr>
                <w:rFonts w:ascii="宋体" w:hAnsi="宋体" w:eastAsia="宋体"/>
                <w:sz w:val="16"/>
              </w:rPr>
              <w:t>偏差原因：实际保费支付182.42万元，存在结余资金；改进措施：结余资金申请退库。</w:t>
            </w:r>
          </w:p>
        </w:tc>
      </w:tr>
      <w:tr w14:paraId="18135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D8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B0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712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23E3">
            <w:pPr>
              <w:jc w:val="center"/>
            </w:pPr>
            <w:r>
              <w:rPr>
                <w:rFonts w:ascii="宋体" w:hAnsi="宋体" w:eastAsia="宋体"/>
                <w:sz w:val="16"/>
              </w:rPr>
              <w:t>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4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3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8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8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B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1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4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3F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10874">
            <w:pPr>
              <w:jc w:val="center"/>
            </w:pPr>
          </w:p>
        </w:tc>
      </w:tr>
      <w:tr w14:paraId="439E3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BE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FE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8C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0D2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4A0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D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D010">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A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5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88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15A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5E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09140">
            <w:pPr>
              <w:jc w:val="center"/>
            </w:pPr>
          </w:p>
        </w:tc>
      </w:tr>
      <w:tr w14:paraId="293C4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E0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983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D5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9038">
            <w:pPr>
              <w:jc w:val="center"/>
            </w:pPr>
            <w:r>
              <w:rPr>
                <w:rFonts w:ascii="宋体" w:hAnsi="宋体" w:eastAsia="宋体"/>
                <w:sz w:val="16"/>
              </w:rPr>
              <w:t>农业保险保费补贴资金（万元/年）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5DD7">
            <w:pPr>
              <w:jc w:val="center"/>
            </w:pPr>
            <w:r>
              <w:rPr>
                <w:rFonts w:ascii="宋体" w:hAnsi="宋体" w:eastAsia="宋体"/>
                <w:sz w:val="16"/>
              </w:rPr>
              <w:t>&lt;=200万元/年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FA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8692">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CC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90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0A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E386">
            <w:pPr>
              <w:jc w:val="center"/>
            </w:pPr>
            <w:r>
              <w:rPr>
                <w:rFonts w:ascii="宋体" w:hAnsi="宋体" w:eastAsia="宋体"/>
                <w:sz w:val="16"/>
              </w:rPr>
              <w:t>=182.42万元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28F">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AEA4E">
            <w:pPr>
              <w:jc w:val="center"/>
            </w:pPr>
            <w:r>
              <w:rPr>
                <w:rFonts w:ascii="宋体" w:hAnsi="宋体" w:eastAsia="宋体"/>
                <w:sz w:val="16"/>
              </w:rPr>
              <w:t>偏差原因：实际保费支付182.42万元，存在结余资金；改进措施：结余资金申请退库。</w:t>
            </w:r>
          </w:p>
        </w:tc>
      </w:tr>
      <w:tr w14:paraId="07D2C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973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A77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45A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1172">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0633">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5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2A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B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F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4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85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27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C2920">
            <w:pPr>
              <w:jc w:val="center"/>
            </w:pPr>
          </w:p>
        </w:tc>
      </w:tr>
      <w:tr w14:paraId="4D918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EF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A7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39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30FF">
            <w:pPr>
              <w:jc w:val="center"/>
            </w:pPr>
            <w:r>
              <w:rPr>
                <w:rFonts w:ascii="宋体" w:hAnsi="宋体" w:eastAsia="宋体"/>
                <w:sz w:val="16"/>
              </w:rPr>
              <w:t>经办机构县直分支机构覆盖率（%)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5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4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B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3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B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8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A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EC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7A896">
            <w:pPr>
              <w:jc w:val="center"/>
            </w:pPr>
          </w:p>
        </w:tc>
      </w:tr>
      <w:tr w14:paraId="7B230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69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E7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A8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1A69">
            <w:pPr>
              <w:jc w:val="center"/>
            </w:pPr>
            <w:r>
              <w:rPr>
                <w:rFonts w:ascii="宋体" w:hAnsi="宋体" w:eastAsia="宋体"/>
                <w:sz w:val="16"/>
              </w:rPr>
              <w:t>受益投保农户满意度(%)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32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F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27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62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7F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9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A5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BC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FD50">
            <w:pPr>
              <w:jc w:val="center"/>
            </w:pPr>
            <w:r>
              <w:rPr>
                <w:rFonts w:ascii="宋体" w:hAnsi="宋体" w:eastAsia="宋体"/>
                <w:sz w:val="16"/>
              </w:rPr>
              <w:t>偏差原因：投保户对项目实施都很满意：改进措施：加强年初预算编制管理。</w:t>
            </w:r>
          </w:p>
        </w:tc>
      </w:tr>
      <w:tr w14:paraId="6CDD63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542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08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C95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2B0B">
            <w:pPr>
              <w:jc w:val="center"/>
            </w:pPr>
            <w:r>
              <w:rPr>
                <w:rFonts w:ascii="宋体" w:hAnsi="宋体" w:eastAsia="宋体"/>
                <w:sz w:val="16"/>
              </w:rPr>
              <w:t>91.2分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94CBE4A"/>
        </w:tc>
      </w:tr>
    </w:tbl>
    <w:p w14:paraId="3225BF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5DDF29F">
        <w:tblPrEx>
          <w:tblCellMar>
            <w:top w:w="0" w:type="dxa"/>
            <w:left w:w="108" w:type="dxa"/>
            <w:bottom w:w="0" w:type="dxa"/>
            <w:right w:w="108" w:type="dxa"/>
          </w:tblCellMar>
        </w:tblPrEx>
        <w:tc>
          <w:tcPr>
            <w:tcW w:w="8848" w:type="dxa"/>
            <w:gridSpan w:val="14"/>
            <w:vAlign w:val="center"/>
          </w:tcPr>
          <w:p w14:paraId="6A0AAE5B">
            <w:pPr>
              <w:jc w:val="center"/>
            </w:pPr>
            <w:r>
              <w:rPr>
                <w:rFonts w:ascii="宋体" w:hAnsi="宋体" w:eastAsia="宋体"/>
                <w:sz w:val="24"/>
              </w:rPr>
              <w:t>项目支出绩效自评表</w:t>
            </w:r>
          </w:p>
        </w:tc>
      </w:tr>
      <w:tr w14:paraId="64824A20">
        <w:tblPrEx>
          <w:tblCellMar>
            <w:top w:w="0" w:type="dxa"/>
            <w:left w:w="108" w:type="dxa"/>
            <w:bottom w:w="0" w:type="dxa"/>
            <w:right w:w="108" w:type="dxa"/>
          </w:tblCellMar>
        </w:tblPrEx>
        <w:tc>
          <w:tcPr>
            <w:tcW w:w="8848" w:type="dxa"/>
            <w:gridSpan w:val="14"/>
            <w:vAlign w:val="center"/>
          </w:tcPr>
          <w:p w14:paraId="1F7B077E">
            <w:pPr>
              <w:jc w:val="center"/>
            </w:pPr>
            <w:r>
              <w:rPr>
                <w:rFonts w:ascii="宋体" w:hAnsi="宋体" w:eastAsia="宋体"/>
                <w:sz w:val="24"/>
              </w:rPr>
              <w:t>(2024年度)</w:t>
            </w:r>
          </w:p>
        </w:tc>
      </w:tr>
      <w:tr w14:paraId="74BD9F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41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AA65B8">
            <w:pPr>
              <w:jc w:val="center"/>
            </w:pPr>
            <w:r>
              <w:rPr>
                <w:rFonts w:ascii="宋体" w:hAnsi="宋体" w:eastAsia="宋体"/>
                <w:sz w:val="16"/>
              </w:rPr>
              <w:t>2024年度叶城县自治区级现代农业产业园奖补资金项目</w:t>
            </w:r>
          </w:p>
        </w:tc>
      </w:tr>
      <w:tr w14:paraId="104A25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EF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AB2D7">
            <w:pPr>
              <w:jc w:val="center"/>
            </w:pPr>
            <w:r>
              <w:rPr>
                <w:rFonts w:ascii="宋体" w:hAnsi="宋体" w:eastAsia="宋体"/>
                <w:sz w:val="16"/>
              </w:rPr>
              <w:t>叶城县核桃产业化发展中心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50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7837FC">
            <w:pPr>
              <w:jc w:val="center"/>
            </w:pPr>
            <w:r>
              <w:rPr>
                <w:rFonts w:ascii="宋体" w:hAnsi="宋体" w:eastAsia="宋体"/>
                <w:sz w:val="16"/>
              </w:rPr>
              <w:t>叶城县核桃产业化发展中心</w:t>
            </w:r>
          </w:p>
        </w:tc>
      </w:tr>
      <w:tr w14:paraId="167744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201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908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DE8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59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1F2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EA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935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4736">
            <w:pPr>
              <w:jc w:val="center"/>
            </w:pPr>
            <w:r>
              <w:rPr>
                <w:rFonts w:ascii="宋体" w:hAnsi="宋体" w:eastAsia="宋体"/>
                <w:sz w:val="16"/>
              </w:rPr>
              <w:t>得分</w:t>
            </w:r>
          </w:p>
        </w:tc>
      </w:tr>
      <w:tr w14:paraId="7309E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57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BB9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774D6">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01F2C">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27DFB">
            <w:pPr>
              <w:jc w:val="center"/>
            </w:pPr>
            <w:r>
              <w:rPr>
                <w:rFonts w:ascii="宋体" w:hAnsi="宋体" w:eastAsia="宋体"/>
                <w:sz w:val="16"/>
              </w:rPr>
              <w:t>242.96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D4E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B67C">
            <w:pPr>
              <w:jc w:val="center"/>
            </w:pPr>
            <w:r>
              <w:rPr>
                <w:rFonts w:ascii="宋体" w:hAnsi="宋体" w:eastAsia="宋体"/>
                <w:sz w:val="16"/>
              </w:rPr>
              <w:t>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1D1B">
            <w:pPr>
              <w:jc w:val="center"/>
            </w:pPr>
            <w:r>
              <w:rPr>
                <w:rFonts w:ascii="宋体" w:hAnsi="宋体" w:eastAsia="宋体"/>
                <w:sz w:val="16"/>
              </w:rPr>
              <w:t>6.69分</w:t>
            </w:r>
          </w:p>
        </w:tc>
      </w:tr>
      <w:tr w14:paraId="368C9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E7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84C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5F8AB">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FB48">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8F95F">
            <w:pPr>
              <w:jc w:val="center"/>
            </w:pPr>
            <w:r>
              <w:rPr>
                <w:rFonts w:ascii="宋体" w:hAnsi="宋体" w:eastAsia="宋体"/>
                <w:sz w:val="16"/>
              </w:rPr>
              <w:t>242.96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6C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A45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4C2F">
            <w:pPr>
              <w:jc w:val="center"/>
            </w:pPr>
            <w:r>
              <w:rPr>
                <w:rFonts w:ascii="宋体" w:hAnsi="宋体" w:eastAsia="宋体"/>
                <w:sz w:val="16"/>
              </w:rPr>
              <w:t>—</w:t>
            </w:r>
          </w:p>
        </w:tc>
      </w:tr>
      <w:tr w14:paraId="10E3C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3CA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9F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7B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0CC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B4C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F8B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54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8DFE">
            <w:pPr>
              <w:jc w:val="center"/>
            </w:pPr>
            <w:r>
              <w:rPr>
                <w:rFonts w:ascii="宋体" w:hAnsi="宋体" w:eastAsia="宋体"/>
                <w:sz w:val="16"/>
              </w:rPr>
              <w:t>—</w:t>
            </w:r>
          </w:p>
        </w:tc>
      </w:tr>
      <w:tr w14:paraId="4DDC66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E87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AF8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5E60CE">
            <w:pPr>
              <w:jc w:val="center"/>
            </w:pPr>
            <w:r>
              <w:rPr>
                <w:rFonts w:ascii="宋体" w:hAnsi="宋体" w:eastAsia="宋体"/>
                <w:sz w:val="16"/>
              </w:rPr>
              <w:t>实际完成情况</w:t>
            </w:r>
          </w:p>
        </w:tc>
      </w:tr>
      <w:tr w14:paraId="1432E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9A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21CC2">
            <w:pPr>
              <w:jc w:val="both"/>
            </w:pPr>
            <w:r>
              <w:rPr>
                <w:rFonts w:ascii="宋体" w:hAnsi="宋体" w:eastAsia="宋体"/>
                <w:sz w:val="16"/>
              </w:rPr>
              <w:t>项目预算安排资金280万元，其中：财政资金280万元，其他资金0万元。用于叶城核桃地方标准建设20万元，用于区域公用品牌宣传展示200万元，用于园区技术培训建设60万元。叶城县现代农业产业园立足当地资源优势和产业发展基础，在依提木孔乡、夏合甫乡、吐古其乡、铁提乡、洛克乡、伯西热克乡、萨依巴格乡、恰尔巴格镇8个乡镇内，以核桃和肉牛产业作为主导产业，建设集标准化现代种养业、农产品加工物流、科技研发与推广、科普教育与休闲旅游等多种功能于一体的“生产+加工+科技+品牌”相结合、一二三产业融合示范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E9BB6">
            <w:pPr>
              <w:jc w:val="both"/>
            </w:pPr>
            <w:r>
              <w:rPr>
                <w:rFonts w:hint="eastAsia" w:ascii="宋体" w:hAnsi="宋体"/>
                <w:sz w:val="16"/>
                <w:lang w:eastAsia="zh-CN"/>
              </w:rPr>
              <w:t>截至</w:t>
            </w:r>
            <w:r>
              <w:rPr>
                <w:rFonts w:ascii="宋体" w:hAnsi="宋体" w:eastAsia="宋体"/>
                <w:sz w:val="16"/>
              </w:rPr>
              <w:t>2024年12月31日已拨付项目资金242.96万元。已完成叶城核桃地方标准建设，用于区域公用品牌宣传展示，用于园区技术培训建设等。叶城县现代农业产业园立足当地资源优势和产业发展基础，在依提木孔乡、夏合甫乡、吐古其乡、铁提乡、洛克乡、伯西热克乡、萨依巴格乡、恰尔巴格镇8个乡镇内，以核桃和肉牛产业作为主导产业，建设集标准化现代种养业、农产品加工物流、科技研发与推广、科普教育与休闲旅游等多种功能于一体的“生产+加工+科技+品牌”相结合、一二三产业融合示范区。</w:t>
            </w:r>
          </w:p>
        </w:tc>
      </w:tr>
      <w:tr w14:paraId="1961A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217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04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0D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0A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6BE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90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90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71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B1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86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D58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B93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93412">
            <w:pPr>
              <w:jc w:val="center"/>
            </w:pPr>
            <w:r>
              <w:rPr>
                <w:rFonts w:ascii="宋体" w:hAnsi="宋体" w:eastAsia="宋体"/>
                <w:sz w:val="16"/>
              </w:rPr>
              <w:t>偏差原因分析及改进措施</w:t>
            </w:r>
          </w:p>
        </w:tc>
      </w:tr>
      <w:tr w14:paraId="283F6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70D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379C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52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0F5C">
            <w:pPr>
              <w:jc w:val="center"/>
            </w:pPr>
            <w:r>
              <w:rPr>
                <w:rFonts w:ascii="宋体" w:hAnsi="宋体" w:eastAsia="宋体"/>
                <w:sz w:val="16"/>
              </w:rPr>
              <w:t>培训人次（人次）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345F">
            <w:pPr>
              <w:jc w:val="center"/>
            </w:pPr>
            <w:r>
              <w:rPr>
                <w:rFonts w:ascii="宋体" w:hAnsi="宋体" w:eastAsia="宋体"/>
                <w:sz w:val="16"/>
              </w:rPr>
              <w:t>&gt;=4000人次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6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E5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0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E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B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FE8F">
            <w:pPr>
              <w:jc w:val="center"/>
            </w:pPr>
            <w:r>
              <w:rPr>
                <w:rFonts w:ascii="宋体" w:hAnsi="宋体" w:eastAsia="宋体"/>
                <w:sz w:val="16"/>
              </w:rPr>
              <w:t>=4000人次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8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17643">
            <w:pPr>
              <w:jc w:val="center"/>
            </w:pPr>
          </w:p>
        </w:tc>
      </w:tr>
      <w:tr w14:paraId="747EB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DC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7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A2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55A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1B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F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6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E9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C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E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B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9B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DBDAE">
            <w:pPr>
              <w:jc w:val="center"/>
            </w:pPr>
          </w:p>
        </w:tc>
      </w:tr>
      <w:tr w14:paraId="09BBE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94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D4B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38E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5DA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0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2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04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C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41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C0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800E">
            <w:pPr>
              <w:jc w:val="center"/>
            </w:pPr>
            <w:r>
              <w:rPr>
                <w:rFonts w:ascii="宋体" w:hAnsi="宋体" w:eastAsia="宋体"/>
                <w:sz w:val="16"/>
              </w:rPr>
              <w:t>=81%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B76A">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76C86">
            <w:pPr>
              <w:jc w:val="center"/>
            </w:pPr>
            <w:r>
              <w:rPr>
                <w:rFonts w:ascii="宋体" w:hAnsi="宋体" w:eastAsia="宋体"/>
                <w:sz w:val="16"/>
              </w:rPr>
              <w:t>偏差原因：资金申请缓慢，导致拨付及时率偏低，改进措施：加快支付进度。</w:t>
            </w:r>
          </w:p>
        </w:tc>
      </w:tr>
      <w:tr w14:paraId="05291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E0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BBF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8D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C12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78B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2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6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2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B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7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37C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01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04DA8">
            <w:pPr>
              <w:jc w:val="center"/>
            </w:pPr>
          </w:p>
        </w:tc>
      </w:tr>
      <w:tr w14:paraId="6178D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C38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EDF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AA5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E501">
            <w:pPr>
              <w:jc w:val="center"/>
            </w:pPr>
            <w:r>
              <w:rPr>
                <w:rFonts w:ascii="宋体" w:hAnsi="宋体" w:eastAsia="宋体"/>
                <w:sz w:val="16"/>
              </w:rPr>
              <w:t>叶城核桃地方标准建设（万元）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A2E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3D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49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3C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8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CB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DE4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35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62AC8">
            <w:pPr>
              <w:jc w:val="center"/>
            </w:pPr>
          </w:p>
        </w:tc>
      </w:tr>
      <w:tr w14:paraId="3C163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EF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1A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FE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CB16">
            <w:pPr>
              <w:jc w:val="center"/>
            </w:pPr>
            <w:r>
              <w:rPr>
                <w:rFonts w:ascii="宋体" w:hAnsi="宋体" w:eastAsia="宋体"/>
                <w:sz w:val="16"/>
              </w:rPr>
              <w:t>区域公用品牌宣传展示（万元）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DF13">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D5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D6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08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3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7B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E26B">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9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03FD">
            <w:pPr>
              <w:jc w:val="center"/>
            </w:pPr>
          </w:p>
        </w:tc>
      </w:tr>
      <w:tr w14:paraId="0D8BC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3E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E9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FA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F2FB">
            <w:pPr>
              <w:jc w:val="center"/>
            </w:pPr>
            <w:r>
              <w:rPr>
                <w:rFonts w:ascii="宋体" w:hAnsi="宋体" w:eastAsia="宋体"/>
                <w:sz w:val="16"/>
              </w:rPr>
              <w:t>园区技术培训建设（万元）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D632">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B2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07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C0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3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99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2EC7">
            <w:pPr>
              <w:jc w:val="center"/>
            </w:pPr>
            <w:r>
              <w:rPr>
                <w:rFonts w:ascii="宋体" w:hAnsi="宋体" w:eastAsia="宋体"/>
                <w:sz w:val="16"/>
              </w:rPr>
              <w:t>=22.96万元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4D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ADB3">
            <w:pPr>
              <w:jc w:val="center"/>
            </w:pPr>
            <w:r>
              <w:rPr>
                <w:rFonts w:ascii="宋体" w:hAnsi="宋体" w:eastAsia="宋体"/>
                <w:sz w:val="16"/>
              </w:rPr>
              <w:t>偏差原因：资金申请缓慢，导致拨付及时率偏低，改进措施：加快支付进度。</w:t>
            </w:r>
          </w:p>
        </w:tc>
      </w:tr>
      <w:tr w14:paraId="26FDD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DD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DC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C0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5F92">
            <w:pPr>
              <w:jc w:val="center"/>
            </w:pPr>
            <w:r>
              <w:rPr>
                <w:rFonts w:ascii="宋体" w:hAnsi="宋体" w:eastAsia="宋体"/>
                <w:sz w:val="16"/>
              </w:rPr>
              <w:t>提高农业产业发展水平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929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6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82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72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F9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B5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3F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A2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8AA4">
            <w:pPr>
              <w:jc w:val="center"/>
            </w:pPr>
          </w:p>
        </w:tc>
      </w:tr>
      <w:tr w14:paraId="1E8AE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F6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BC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46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2973">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26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7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91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8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CC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2F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A9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EB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A5D85">
            <w:pPr>
              <w:jc w:val="center"/>
            </w:pPr>
          </w:p>
        </w:tc>
      </w:tr>
      <w:tr w14:paraId="18A107F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A09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C71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78DA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4E81">
            <w:pPr>
              <w:jc w:val="center"/>
            </w:pPr>
            <w:r>
              <w:rPr>
                <w:rFonts w:ascii="宋体" w:hAnsi="宋体" w:eastAsia="宋体"/>
                <w:sz w:val="16"/>
              </w:rPr>
              <w:t>86.94分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1E892D"/>
        </w:tc>
      </w:tr>
    </w:tbl>
    <w:p w14:paraId="0C9C47D8">
      <w:r>
        <w:br w:type="page"/>
      </w:r>
    </w:p>
    <w:tbl>
      <w:tblPr>
        <w:tblStyle w:val="9"/>
        <w:tblW w:w="9314" w:type="dxa"/>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840"/>
        <w:gridCol w:w="626"/>
        <w:gridCol w:w="738"/>
        <w:gridCol w:w="656"/>
        <w:gridCol w:w="300"/>
        <w:gridCol w:w="890"/>
      </w:tblGrid>
      <w:tr w14:paraId="1FAEA033">
        <w:tblPrEx>
          <w:tblCellMar>
            <w:top w:w="0" w:type="dxa"/>
            <w:left w:w="108" w:type="dxa"/>
            <w:bottom w:w="0" w:type="dxa"/>
            <w:right w:w="108" w:type="dxa"/>
          </w:tblCellMar>
        </w:tblPrEx>
        <w:trPr>
          <w:wAfter w:w="0" w:type="auto"/>
        </w:trPr>
        <w:tc>
          <w:tcPr>
            <w:tcW w:w="9314" w:type="dxa"/>
            <w:gridSpan w:val="14"/>
            <w:vAlign w:val="center"/>
          </w:tcPr>
          <w:p w14:paraId="4A1A6BBD">
            <w:pPr>
              <w:jc w:val="center"/>
            </w:pPr>
            <w:r>
              <w:rPr>
                <w:rFonts w:ascii="宋体" w:hAnsi="宋体" w:eastAsia="宋体"/>
                <w:sz w:val="24"/>
              </w:rPr>
              <w:t>项目支出绩效自评表</w:t>
            </w:r>
          </w:p>
        </w:tc>
      </w:tr>
      <w:tr w14:paraId="37D4309A">
        <w:tblPrEx>
          <w:tblCellMar>
            <w:top w:w="0" w:type="dxa"/>
            <w:left w:w="108" w:type="dxa"/>
            <w:bottom w:w="0" w:type="dxa"/>
            <w:right w:w="108" w:type="dxa"/>
          </w:tblCellMar>
        </w:tblPrEx>
        <w:trPr>
          <w:wAfter w:w="0" w:type="auto"/>
        </w:trPr>
        <w:tc>
          <w:tcPr>
            <w:tcW w:w="9314" w:type="dxa"/>
            <w:gridSpan w:val="14"/>
            <w:vAlign w:val="center"/>
          </w:tcPr>
          <w:p w14:paraId="0C849A96">
            <w:pPr>
              <w:jc w:val="center"/>
            </w:pPr>
            <w:r>
              <w:rPr>
                <w:rFonts w:ascii="宋体" w:hAnsi="宋体" w:eastAsia="宋体"/>
                <w:sz w:val="24"/>
              </w:rPr>
              <w:t>(2024年度)</w:t>
            </w:r>
          </w:p>
        </w:tc>
      </w:tr>
      <w:tr w14:paraId="7D0155C1">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2DC7">
            <w:pPr>
              <w:jc w:val="center"/>
            </w:pPr>
            <w:r>
              <w:rPr>
                <w:rFonts w:ascii="宋体" w:hAnsi="宋体" w:eastAsia="宋体"/>
                <w:sz w:val="16"/>
              </w:rPr>
              <w:t>项目名称</w:t>
            </w:r>
          </w:p>
        </w:tc>
        <w:tc>
          <w:tcPr>
            <w:tcW w:w="868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C291F9">
            <w:pPr>
              <w:jc w:val="center"/>
            </w:pPr>
            <w:r>
              <w:rPr>
                <w:rFonts w:ascii="宋体" w:hAnsi="宋体" w:eastAsia="宋体"/>
                <w:sz w:val="16"/>
              </w:rPr>
              <w:t>2024年自治区林草专项资金叶城县核桃自治区林木种质资源库建设补助项目</w:t>
            </w:r>
          </w:p>
        </w:tc>
      </w:tr>
      <w:tr w14:paraId="5E041119">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EC1F">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EFF89D">
            <w:pPr>
              <w:jc w:val="center"/>
            </w:pPr>
            <w:r>
              <w:rPr>
                <w:rFonts w:ascii="宋体" w:hAnsi="宋体" w:eastAsia="宋体"/>
                <w:sz w:val="16"/>
              </w:rPr>
              <w:t>叶城县核桃产业化发展中心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742242D">
            <w:pPr>
              <w:jc w:val="center"/>
            </w:pPr>
            <w:r>
              <w:rPr>
                <w:rFonts w:ascii="宋体" w:hAnsi="宋体" w:eastAsia="宋体"/>
                <w:sz w:val="16"/>
              </w:rPr>
              <w:t>实施单位</w:t>
            </w:r>
          </w:p>
        </w:tc>
        <w:tc>
          <w:tcPr>
            <w:tcW w:w="321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FB8AC">
            <w:pPr>
              <w:jc w:val="center"/>
            </w:pPr>
            <w:r>
              <w:rPr>
                <w:rFonts w:ascii="宋体" w:hAnsi="宋体" w:eastAsia="宋体"/>
                <w:sz w:val="16"/>
              </w:rPr>
              <w:t>叶城县核桃产业化发展中心</w:t>
            </w:r>
          </w:p>
        </w:tc>
      </w:tr>
      <w:tr w14:paraId="63114B2E">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9F4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4F58">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EDD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6AE92">
            <w:pPr>
              <w:jc w:val="center"/>
            </w:pPr>
            <w:r>
              <w:rPr>
                <w:rFonts w:ascii="宋体" w:hAnsi="宋体" w:eastAsia="宋体"/>
                <w:sz w:val="16"/>
              </w:rPr>
              <w:t>全年预算数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384F4">
            <w:pPr>
              <w:jc w:val="center"/>
            </w:pPr>
            <w:r>
              <w:rPr>
                <w:rFonts w:ascii="宋体" w:hAnsi="宋体" w:eastAsia="宋体"/>
                <w:sz w:val="16"/>
              </w:rPr>
              <w:t>全年执行数</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7E20">
            <w:pPr>
              <w:jc w:val="center"/>
            </w:pPr>
            <w:r>
              <w:rPr>
                <w:rFonts w:ascii="宋体" w:hAnsi="宋体" w:eastAsia="宋体"/>
                <w:sz w:val="16"/>
              </w:rPr>
              <w:t>分值</w:t>
            </w:r>
          </w:p>
        </w:tc>
        <w:tc>
          <w:tcPr>
            <w:tcW w:w="9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2648C">
            <w:pPr>
              <w:jc w:val="center"/>
            </w:pPr>
            <w:r>
              <w:rPr>
                <w:rFonts w:ascii="宋体" w:hAnsi="宋体" w:eastAsia="宋体"/>
                <w:sz w:val="16"/>
              </w:rPr>
              <w:t>执行率</w:t>
            </w:r>
          </w:p>
        </w:tc>
        <w:tc>
          <w:tcPr>
            <w:tcW w:w="890" w:type="dxa"/>
            <w:tcBorders>
              <w:top w:val="single" w:color="auto" w:sz="10" w:space="0"/>
              <w:left w:val="single" w:color="auto" w:sz="10" w:space="0"/>
              <w:bottom w:val="single" w:color="auto" w:sz="10" w:space="0"/>
              <w:right w:val="single" w:color="auto" w:sz="10" w:space="0"/>
              <w:insideV w:val="single" w:sz="10" w:space="0"/>
            </w:tcBorders>
            <w:vAlign w:val="center"/>
          </w:tcPr>
          <w:p w14:paraId="02DD289B">
            <w:pPr>
              <w:jc w:val="center"/>
            </w:pPr>
            <w:r>
              <w:rPr>
                <w:rFonts w:ascii="宋体" w:hAnsi="宋体" w:eastAsia="宋体"/>
                <w:sz w:val="16"/>
              </w:rPr>
              <w:t>得分</w:t>
            </w:r>
          </w:p>
        </w:tc>
      </w:tr>
      <w:tr w14:paraId="6488C45C">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BB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615A2">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5EF0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CE1F">
            <w:pPr>
              <w:jc w:val="center"/>
            </w:pPr>
            <w:r>
              <w:rPr>
                <w:rFonts w:ascii="宋体" w:hAnsi="宋体" w:eastAsia="宋体"/>
                <w:sz w:val="16"/>
              </w:rPr>
              <w:t>20.00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1724A">
            <w:pPr>
              <w:jc w:val="center"/>
            </w:pPr>
            <w:r>
              <w:rPr>
                <w:rFonts w:ascii="宋体" w:hAnsi="宋体" w:eastAsia="宋体"/>
                <w:sz w:val="16"/>
              </w:rPr>
              <w:t>16.20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DD21">
            <w:pPr>
              <w:jc w:val="center"/>
            </w:pPr>
            <w:r>
              <w:rPr>
                <w:rFonts w:ascii="宋体" w:hAnsi="宋体" w:eastAsia="宋体"/>
                <w:sz w:val="16"/>
              </w:rPr>
              <w:t>10</w:t>
            </w:r>
          </w:p>
        </w:tc>
        <w:tc>
          <w:tcPr>
            <w:tcW w:w="9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4296">
            <w:pPr>
              <w:jc w:val="center"/>
            </w:pPr>
            <w:r>
              <w:rPr>
                <w:rFonts w:ascii="宋体" w:hAnsi="宋体" w:eastAsia="宋体"/>
                <w:sz w:val="16"/>
              </w:rPr>
              <w:t>81.0%</w:t>
            </w:r>
          </w:p>
        </w:tc>
        <w:tc>
          <w:tcPr>
            <w:tcW w:w="890" w:type="dxa"/>
            <w:tcBorders>
              <w:top w:val="single" w:color="auto" w:sz="10" w:space="0"/>
              <w:left w:val="single" w:color="auto" w:sz="10" w:space="0"/>
              <w:bottom w:val="single" w:color="auto" w:sz="10" w:space="0"/>
              <w:right w:val="single" w:color="auto" w:sz="10" w:space="0"/>
              <w:insideV w:val="single" w:sz="10" w:space="0"/>
            </w:tcBorders>
            <w:vAlign w:val="center"/>
          </w:tcPr>
          <w:p w14:paraId="55AFBAAD">
            <w:pPr>
              <w:jc w:val="center"/>
            </w:pPr>
            <w:r>
              <w:rPr>
                <w:rFonts w:ascii="宋体" w:hAnsi="宋体" w:eastAsia="宋体"/>
                <w:sz w:val="16"/>
              </w:rPr>
              <w:t>5.25分</w:t>
            </w:r>
          </w:p>
        </w:tc>
      </w:tr>
      <w:tr w14:paraId="6B8331AF">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B1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CFE2B">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DE8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FAC6">
            <w:pPr>
              <w:jc w:val="center"/>
            </w:pPr>
            <w:r>
              <w:rPr>
                <w:rFonts w:ascii="宋体" w:hAnsi="宋体" w:eastAsia="宋体"/>
                <w:sz w:val="16"/>
              </w:rPr>
              <w:t>20.00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8E01D">
            <w:pPr>
              <w:jc w:val="center"/>
            </w:pPr>
            <w:r>
              <w:rPr>
                <w:rFonts w:ascii="宋体" w:hAnsi="宋体" w:eastAsia="宋体"/>
                <w:sz w:val="16"/>
              </w:rPr>
              <w:t>16.20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7157">
            <w:pPr>
              <w:jc w:val="center"/>
            </w:pPr>
            <w:r>
              <w:rPr>
                <w:rFonts w:ascii="宋体" w:hAnsi="宋体" w:eastAsia="宋体"/>
                <w:sz w:val="16"/>
              </w:rPr>
              <w:t>—</w:t>
            </w:r>
          </w:p>
        </w:tc>
        <w:tc>
          <w:tcPr>
            <w:tcW w:w="9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8DB2">
            <w:pPr>
              <w:jc w:val="center"/>
            </w:pPr>
            <w:r>
              <w:rPr>
                <w:rFonts w:ascii="宋体" w:hAnsi="宋体" w:eastAsia="宋体"/>
                <w:sz w:val="16"/>
              </w:rPr>
              <w:t>—</w:t>
            </w:r>
          </w:p>
        </w:tc>
        <w:tc>
          <w:tcPr>
            <w:tcW w:w="890" w:type="dxa"/>
            <w:tcBorders>
              <w:top w:val="single" w:color="auto" w:sz="10" w:space="0"/>
              <w:left w:val="single" w:color="auto" w:sz="10" w:space="0"/>
              <w:bottom w:val="single" w:color="auto" w:sz="10" w:space="0"/>
              <w:right w:val="single" w:color="auto" w:sz="10" w:space="0"/>
              <w:insideV w:val="single" w:sz="10" w:space="0"/>
            </w:tcBorders>
            <w:vAlign w:val="center"/>
          </w:tcPr>
          <w:p w14:paraId="7C1AD4A8">
            <w:pPr>
              <w:jc w:val="center"/>
            </w:pPr>
            <w:r>
              <w:rPr>
                <w:rFonts w:ascii="宋体" w:hAnsi="宋体" w:eastAsia="宋体"/>
                <w:sz w:val="16"/>
              </w:rPr>
              <w:t>—</w:t>
            </w:r>
          </w:p>
        </w:tc>
      </w:tr>
      <w:tr w14:paraId="578F649F">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376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0D3F8">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ED6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6DA3">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8E219">
            <w:pPr>
              <w:jc w:val="center"/>
            </w:pPr>
            <w:r>
              <w:rPr>
                <w:rFonts w:ascii="宋体" w:hAnsi="宋体" w:eastAsia="宋体"/>
                <w:sz w:val="16"/>
              </w:rPr>
              <w:t>0.00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42545">
            <w:pPr>
              <w:jc w:val="center"/>
            </w:pPr>
            <w:r>
              <w:rPr>
                <w:rFonts w:ascii="宋体" w:hAnsi="宋体" w:eastAsia="宋体"/>
                <w:sz w:val="16"/>
              </w:rPr>
              <w:t>—</w:t>
            </w:r>
          </w:p>
        </w:tc>
        <w:tc>
          <w:tcPr>
            <w:tcW w:w="9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DB4E5">
            <w:pPr>
              <w:jc w:val="center"/>
            </w:pPr>
            <w:r>
              <w:rPr>
                <w:rFonts w:ascii="宋体" w:hAnsi="宋体" w:eastAsia="宋体"/>
                <w:sz w:val="16"/>
              </w:rPr>
              <w:t>—</w:t>
            </w:r>
          </w:p>
        </w:tc>
        <w:tc>
          <w:tcPr>
            <w:tcW w:w="890" w:type="dxa"/>
            <w:tcBorders>
              <w:top w:val="single" w:color="auto" w:sz="10" w:space="0"/>
              <w:left w:val="single" w:color="auto" w:sz="10" w:space="0"/>
              <w:bottom w:val="single" w:color="auto" w:sz="10" w:space="0"/>
              <w:right w:val="single" w:color="auto" w:sz="10" w:space="0"/>
              <w:insideV w:val="single" w:sz="10" w:space="0"/>
            </w:tcBorders>
            <w:vAlign w:val="center"/>
          </w:tcPr>
          <w:p w14:paraId="7981839F">
            <w:pPr>
              <w:jc w:val="center"/>
            </w:pPr>
            <w:r>
              <w:rPr>
                <w:rFonts w:ascii="宋体" w:hAnsi="宋体" w:eastAsia="宋体"/>
                <w:sz w:val="16"/>
              </w:rPr>
              <w:t>—</w:t>
            </w:r>
          </w:p>
        </w:tc>
      </w:tr>
      <w:tr w14:paraId="1E636282">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261D7">
            <w:pPr>
              <w:jc w:val="center"/>
            </w:pPr>
            <w:r>
              <w:rPr>
                <w:rFonts w:ascii="宋体" w:hAnsi="宋体" w:eastAsia="宋体"/>
                <w:sz w:val="16"/>
              </w:rPr>
              <w:t>三、目标完成情况</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A9483">
            <w:pPr>
              <w:jc w:val="center"/>
            </w:pPr>
            <w:r>
              <w:rPr>
                <w:rFonts w:ascii="宋体" w:hAnsi="宋体" w:eastAsia="宋体"/>
                <w:sz w:val="16"/>
              </w:rPr>
              <w:t>预期目标</w:t>
            </w:r>
          </w:p>
        </w:tc>
        <w:tc>
          <w:tcPr>
            <w:tcW w:w="405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72651">
            <w:pPr>
              <w:jc w:val="center"/>
            </w:pPr>
            <w:r>
              <w:rPr>
                <w:rFonts w:ascii="宋体" w:hAnsi="宋体" w:eastAsia="宋体"/>
                <w:sz w:val="16"/>
              </w:rPr>
              <w:t>实际完成情况</w:t>
            </w:r>
          </w:p>
        </w:tc>
      </w:tr>
      <w:tr w14:paraId="1561B598">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BCD01"/>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9C2FCE">
            <w:pPr>
              <w:jc w:val="both"/>
            </w:pPr>
            <w:r>
              <w:rPr>
                <w:rFonts w:ascii="宋体" w:hAnsi="宋体" w:eastAsia="宋体"/>
                <w:sz w:val="16"/>
              </w:rPr>
              <w:t>项目总投资20万元，年内完成购买尿素10吨、复合肥20吨，病虫害防治600亩，对600亩核桃种质资源圃进行人工修剪，引进新种质资源2份(美国黑核桃、维纳），推动林业育种水平的提高。</w:t>
            </w:r>
          </w:p>
        </w:tc>
        <w:tc>
          <w:tcPr>
            <w:tcW w:w="405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30F002">
            <w:pPr>
              <w:jc w:val="both"/>
            </w:pPr>
            <w:r>
              <w:rPr>
                <w:rFonts w:hint="eastAsia" w:ascii="宋体" w:hAnsi="宋体"/>
                <w:sz w:val="16"/>
                <w:lang w:eastAsia="zh-CN"/>
              </w:rPr>
              <w:t>截至2024</w:t>
            </w:r>
            <w:r>
              <w:rPr>
                <w:rFonts w:ascii="宋体" w:hAnsi="宋体" w:eastAsia="宋体"/>
                <w:sz w:val="16"/>
              </w:rPr>
              <w:t>年12月31日，项目实际支出16.2万元，已完成购买尿素10吨、复合肥20吨，病虫害防治600亩，对600亩核桃种质资源圃进行人工修剪，引进新种质资源2份(美国黑核桃、维纳），推动林业育种水平的提高。</w:t>
            </w:r>
          </w:p>
        </w:tc>
      </w:tr>
      <w:tr w14:paraId="51101726">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1FE2F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67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A73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4A55B4">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F3A0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A6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DB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6C73">
            <w:pPr>
              <w:jc w:val="center"/>
            </w:pPr>
            <w:r>
              <w:rPr>
                <w:rFonts w:ascii="宋体" w:hAnsi="宋体" w:eastAsia="宋体"/>
                <w:sz w:val="16"/>
              </w:rPr>
              <w:t>权重</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118DBC4">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ADFF81">
            <w:pPr>
              <w:jc w:val="center"/>
            </w:pPr>
            <w:r>
              <w:rPr>
                <w:rFonts w:ascii="宋体" w:hAnsi="宋体" w:eastAsia="宋体"/>
                <w:sz w:val="16"/>
              </w:rPr>
              <w:t>佐证资料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61A0DC4D">
            <w:pPr>
              <w:jc w:val="center"/>
            </w:pPr>
            <w:r>
              <w:rPr>
                <w:rFonts w:ascii="宋体" w:hAnsi="宋体" w:eastAsia="宋体"/>
                <w:sz w:val="16"/>
              </w:rPr>
              <w:t>实际完成值</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4F2E937">
            <w:pPr>
              <w:jc w:val="center"/>
            </w:pPr>
            <w:r>
              <w:rPr>
                <w:rFonts w:ascii="宋体" w:hAnsi="宋体" w:eastAsia="宋体"/>
                <w:sz w:val="16"/>
              </w:rPr>
              <w:t>得分</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9C00">
            <w:pPr>
              <w:jc w:val="center"/>
            </w:pPr>
            <w:r>
              <w:rPr>
                <w:rFonts w:ascii="宋体" w:hAnsi="宋体" w:eastAsia="宋体"/>
                <w:sz w:val="16"/>
              </w:rPr>
              <w:t>偏差原因分析及改进措施</w:t>
            </w:r>
          </w:p>
        </w:tc>
      </w:tr>
      <w:tr w14:paraId="3ED51E9C">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360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877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5BD6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91EAC9">
            <w:pPr>
              <w:jc w:val="center"/>
            </w:pPr>
            <w:r>
              <w:rPr>
                <w:rFonts w:ascii="宋体" w:hAnsi="宋体" w:eastAsia="宋体"/>
                <w:sz w:val="16"/>
              </w:rPr>
              <w:t>购买尿素（吨）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BFDDDF">
            <w:pPr>
              <w:jc w:val="center"/>
            </w:pPr>
            <w:r>
              <w:rPr>
                <w:rFonts w:ascii="宋体" w:hAnsi="宋体" w:eastAsia="宋体"/>
                <w:sz w:val="16"/>
              </w:rPr>
              <w:t>=10吨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7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4023">
            <w:pPr>
              <w:jc w:val="center"/>
            </w:pPr>
            <w:r>
              <w:rPr>
                <w:rFonts w:ascii="宋体" w:hAnsi="宋体" w:eastAsia="宋体"/>
                <w:sz w:val="16"/>
              </w:rPr>
              <w:t>=16吨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7968">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0C9430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72741F">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36B41414">
            <w:pPr>
              <w:jc w:val="center"/>
            </w:pPr>
            <w:r>
              <w:rPr>
                <w:rFonts w:ascii="宋体" w:hAnsi="宋体" w:eastAsia="宋体"/>
                <w:sz w:val="16"/>
              </w:rPr>
              <w:t>=10吨</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004A55B">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8F44">
            <w:pPr>
              <w:jc w:val="center"/>
            </w:pPr>
          </w:p>
        </w:tc>
      </w:tr>
      <w:tr w14:paraId="1AD5B9F3">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B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6B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0C00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9F3380">
            <w:pPr>
              <w:jc w:val="center"/>
            </w:pPr>
            <w:r>
              <w:rPr>
                <w:rFonts w:ascii="宋体" w:hAnsi="宋体" w:eastAsia="宋体"/>
                <w:sz w:val="16"/>
              </w:rPr>
              <w:t>完成购买复合肥（吨）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76CE92">
            <w:pPr>
              <w:jc w:val="center"/>
            </w:pPr>
            <w:r>
              <w:rPr>
                <w:rFonts w:ascii="宋体" w:hAnsi="宋体" w:eastAsia="宋体"/>
                <w:sz w:val="16"/>
              </w:rPr>
              <w:t>=20吨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F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7BB7">
            <w:pPr>
              <w:jc w:val="center"/>
            </w:pPr>
            <w:r>
              <w:rPr>
                <w:rFonts w:ascii="宋体" w:hAnsi="宋体" w:eastAsia="宋体"/>
                <w:sz w:val="16"/>
              </w:rPr>
              <w:t>=25.5吨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61AF">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BD149F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F73AF6">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76D591F1">
            <w:pPr>
              <w:jc w:val="center"/>
            </w:pPr>
            <w:r>
              <w:rPr>
                <w:rFonts w:ascii="宋体" w:hAnsi="宋体" w:eastAsia="宋体"/>
                <w:sz w:val="16"/>
              </w:rPr>
              <w:t>=20吨</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923499E">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AF53C">
            <w:pPr>
              <w:jc w:val="center"/>
            </w:pPr>
          </w:p>
        </w:tc>
      </w:tr>
      <w:tr w14:paraId="4B92EC98">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B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4D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5438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277F13">
            <w:pPr>
              <w:jc w:val="center"/>
            </w:pPr>
            <w:r>
              <w:rPr>
                <w:rFonts w:ascii="宋体" w:hAnsi="宋体" w:eastAsia="宋体"/>
                <w:sz w:val="16"/>
              </w:rPr>
              <w:t>人工修剪次数（人次）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7594C4">
            <w:pPr>
              <w:jc w:val="center"/>
            </w:pPr>
            <w:r>
              <w:rPr>
                <w:rFonts w:ascii="宋体" w:hAnsi="宋体" w:eastAsia="宋体"/>
                <w:sz w:val="16"/>
              </w:rPr>
              <w:t>&gt;=300人次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6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E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323E">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36C9F7A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9F7065">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2BB3E3BF">
            <w:pPr>
              <w:jc w:val="center"/>
            </w:pPr>
            <w:r>
              <w:rPr>
                <w:rFonts w:ascii="宋体" w:hAnsi="宋体" w:eastAsia="宋体"/>
                <w:sz w:val="16"/>
              </w:rPr>
              <w:t>=300人次</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222D07D">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48C81">
            <w:pPr>
              <w:jc w:val="center"/>
            </w:pPr>
          </w:p>
        </w:tc>
      </w:tr>
      <w:tr w14:paraId="24DF41E7">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C2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73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970A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B25CC3">
            <w:pPr>
              <w:jc w:val="center"/>
            </w:pPr>
            <w:r>
              <w:rPr>
                <w:rFonts w:ascii="宋体" w:hAnsi="宋体" w:eastAsia="宋体"/>
                <w:sz w:val="16"/>
              </w:rPr>
              <w:t>新品种引进种数（种）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9ED4EB">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2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6020">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A251">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C3DA77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5B1839">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5A77EA25">
            <w:pPr>
              <w:jc w:val="center"/>
            </w:pPr>
            <w:r>
              <w:rPr>
                <w:rFonts w:ascii="宋体" w:hAnsi="宋体" w:eastAsia="宋体"/>
                <w:sz w:val="16"/>
              </w:rPr>
              <w:t>=2种</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003548C">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F7FF">
            <w:pPr>
              <w:jc w:val="center"/>
            </w:pPr>
          </w:p>
        </w:tc>
      </w:tr>
      <w:tr w14:paraId="647A5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2A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F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38EE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7B5FB2">
            <w:pPr>
              <w:jc w:val="center"/>
            </w:pPr>
            <w:r>
              <w:rPr>
                <w:rFonts w:ascii="宋体" w:hAnsi="宋体" w:eastAsia="宋体"/>
                <w:sz w:val="16"/>
              </w:rPr>
              <w:t>农药喷施资源库面积（亩）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AA7AB8">
            <w:pPr>
              <w:jc w:val="center"/>
            </w:pPr>
            <w:r>
              <w:rPr>
                <w:rFonts w:ascii="宋体" w:hAnsi="宋体" w:eastAsia="宋体"/>
                <w:sz w:val="16"/>
              </w:rPr>
              <w:t>&gt;=600亩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1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720D">
            <w:pPr>
              <w:jc w:val="center"/>
            </w:pPr>
            <w:r>
              <w:rPr>
                <w:rFonts w:ascii="宋体" w:hAnsi="宋体" w:eastAsia="宋体"/>
                <w:sz w:val="16"/>
              </w:rPr>
              <w: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E05E">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FAF77FF">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1B7386">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01FE1AB0">
            <w:pPr>
              <w:jc w:val="center"/>
            </w:pPr>
            <w:r>
              <w:rPr>
                <w:rFonts w:ascii="宋体" w:hAnsi="宋体" w:eastAsia="宋体"/>
                <w:sz w:val="16"/>
              </w:rPr>
              <w:t>=600亩</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174B8880">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CD303">
            <w:pPr>
              <w:jc w:val="center"/>
            </w:pPr>
          </w:p>
        </w:tc>
      </w:tr>
      <w:tr w14:paraId="797AE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C2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B5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8A4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688A6E">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F6A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4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E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8DE1">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365DD9E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7C16DD">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7359089D">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248C6E9">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475E">
            <w:pPr>
              <w:jc w:val="center"/>
            </w:pPr>
          </w:p>
        </w:tc>
      </w:tr>
      <w:tr w14:paraId="74578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B3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87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6278">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A4D257">
            <w:pPr>
              <w:jc w:val="center"/>
            </w:pPr>
            <w:r>
              <w:rPr>
                <w:rFonts w:ascii="宋体" w:hAnsi="宋体" w:eastAsia="宋体"/>
                <w:sz w:val="16"/>
              </w:rPr>
              <w:t>项目建设任务完成时限</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7D1CA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4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95E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7C5A">
            <w:pPr>
              <w:jc w:val="center"/>
            </w:pPr>
            <w:r>
              <w:rPr>
                <w:rFonts w:ascii="宋体" w:hAnsi="宋体" w:eastAsia="宋体"/>
                <w:sz w:val="16"/>
              </w:rPr>
              <w:t>10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492378D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B5D05E">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2F8BADA9">
            <w:pPr>
              <w:jc w:val="center"/>
            </w:pPr>
            <w:r>
              <w:rPr>
                <w:rFonts w:ascii="宋体" w:hAnsi="宋体" w:eastAsia="宋体"/>
                <w:sz w:val="16"/>
              </w:rPr>
              <w:t>=2024年12月25日</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C358958">
            <w:pPr>
              <w:jc w:val="center"/>
            </w:pPr>
            <w:r>
              <w:rPr>
                <w:rFonts w:ascii="宋体" w:hAnsi="宋体" w:eastAsia="宋体"/>
                <w:sz w:val="16"/>
              </w:rPr>
              <w:t>10</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F90C">
            <w:pPr>
              <w:jc w:val="center"/>
            </w:pPr>
          </w:p>
        </w:tc>
      </w:tr>
      <w:tr w14:paraId="1BD68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A18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460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DB559">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640379">
            <w:pPr>
              <w:jc w:val="center"/>
            </w:pPr>
            <w:r>
              <w:rPr>
                <w:rFonts w:ascii="宋体" w:hAnsi="宋体" w:eastAsia="宋体"/>
                <w:sz w:val="16"/>
              </w:rPr>
              <w:t>人工修剪费（万元）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032E02">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2C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6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957B">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162C27A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8A08E6">
            <w:pPr>
              <w:jc w:val="center"/>
            </w:pPr>
            <w:r>
              <w:rPr>
                <w:rFonts w:ascii="宋体" w:hAnsi="宋体" w:eastAsia="宋体"/>
                <w:sz w:val="16"/>
              </w:rPr>
              <w:t>原始凭证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7D86B5DF">
            <w:pPr>
              <w:jc w:val="center"/>
            </w:pPr>
            <w:r>
              <w:rPr>
                <w:rFonts w:ascii="宋体" w:hAnsi="宋体" w:eastAsia="宋体"/>
                <w:sz w:val="16"/>
              </w:rPr>
              <w:t>=0万元</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99EABB1">
            <w:pPr>
              <w:jc w:val="center"/>
            </w:pPr>
            <w:r>
              <w:rPr>
                <w:rFonts w:ascii="宋体" w:hAnsi="宋体" w:eastAsia="宋体"/>
                <w:sz w:val="16"/>
              </w:rPr>
              <w:t>0</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07D8C">
            <w:pPr>
              <w:jc w:val="center"/>
            </w:pPr>
            <w:r>
              <w:rPr>
                <w:rFonts w:ascii="宋体" w:hAnsi="宋体" w:eastAsia="宋体"/>
                <w:sz w:val="16"/>
              </w:rPr>
              <w:t>偏差原因：资金申请缓慢，导致支付及时率偏低；改进措施：加快资金拨付。</w:t>
            </w:r>
          </w:p>
        </w:tc>
      </w:tr>
      <w:tr w14:paraId="5340D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0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56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9EB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DE32EE">
            <w:pPr>
              <w:jc w:val="center"/>
            </w:pPr>
            <w:r>
              <w:rPr>
                <w:rFonts w:ascii="宋体" w:hAnsi="宋体" w:eastAsia="宋体"/>
                <w:sz w:val="16"/>
              </w:rPr>
              <w:t>肥料费（万元）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5C62C6">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16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48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F7D9">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08442D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9EAEE4">
            <w:pPr>
              <w:jc w:val="center"/>
            </w:pPr>
            <w:r>
              <w:rPr>
                <w:rFonts w:ascii="宋体" w:hAnsi="宋体" w:eastAsia="宋体"/>
                <w:sz w:val="16"/>
              </w:rPr>
              <w:t>原始凭证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08FE61CE">
            <w:pPr>
              <w:jc w:val="center"/>
            </w:pPr>
            <w:r>
              <w:rPr>
                <w:rFonts w:ascii="宋体" w:hAnsi="宋体" w:eastAsia="宋体"/>
                <w:sz w:val="16"/>
              </w:rPr>
              <w:t>=10.8万元</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AADDDA4">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280FA">
            <w:pPr>
              <w:jc w:val="center"/>
            </w:pPr>
          </w:p>
        </w:tc>
      </w:tr>
      <w:tr w14:paraId="13B3F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072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EB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EE35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DCF2A8">
            <w:pPr>
              <w:jc w:val="center"/>
            </w:pPr>
            <w:r>
              <w:rPr>
                <w:rFonts w:ascii="宋体" w:hAnsi="宋体" w:eastAsia="宋体"/>
                <w:sz w:val="16"/>
              </w:rPr>
              <w:t>农药费（万元）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8CF1B6">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D7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0C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BA9E">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487F9C3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1D261E">
            <w:pPr>
              <w:jc w:val="center"/>
            </w:pPr>
            <w:r>
              <w:rPr>
                <w:rFonts w:ascii="宋体" w:hAnsi="宋体" w:eastAsia="宋体"/>
                <w:sz w:val="16"/>
              </w:rPr>
              <w:t>原始凭证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2859A60D">
            <w:pPr>
              <w:jc w:val="center"/>
            </w:pPr>
            <w:r>
              <w:rPr>
                <w:rFonts w:ascii="宋体" w:hAnsi="宋体" w:eastAsia="宋体"/>
                <w:sz w:val="16"/>
              </w:rPr>
              <w:t>=5.4万元</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93E90E1">
            <w:pPr>
              <w:jc w:val="center"/>
            </w:pPr>
            <w:r>
              <w:rPr>
                <w:rFonts w:ascii="宋体" w:hAnsi="宋体" w:eastAsia="宋体"/>
                <w:sz w:val="16"/>
              </w:rPr>
              <w:t>5</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4D612">
            <w:pPr>
              <w:jc w:val="center"/>
            </w:pPr>
          </w:p>
        </w:tc>
      </w:tr>
      <w:tr w14:paraId="4B9BA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64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7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B19B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C65DD3">
            <w:pPr>
              <w:jc w:val="center"/>
            </w:pPr>
            <w:r>
              <w:rPr>
                <w:rFonts w:ascii="宋体" w:hAnsi="宋体" w:eastAsia="宋体"/>
                <w:sz w:val="16"/>
              </w:rPr>
              <w:t>新品种引进费（万元）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23707C">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42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FB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5403">
            <w:pPr>
              <w:jc w:val="center"/>
            </w:pPr>
            <w:r>
              <w:rPr>
                <w:rFonts w:ascii="宋体" w:hAnsi="宋体" w:eastAsia="宋体"/>
                <w:sz w:val="16"/>
              </w:rPr>
              <w:t>5</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BAE0BB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338A9CC">
            <w:pPr>
              <w:jc w:val="center"/>
            </w:pPr>
            <w:r>
              <w:rPr>
                <w:rFonts w:ascii="宋体" w:hAnsi="宋体" w:eastAsia="宋体"/>
                <w:sz w:val="16"/>
              </w:rPr>
              <w:t>原始凭证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5D94BFB3">
            <w:pPr>
              <w:jc w:val="center"/>
            </w:pPr>
            <w:r>
              <w:rPr>
                <w:rFonts w:ascii="宋体" w:hAnsi="宋体" w:eastAsia="宋体"/>
                <w:sz w:val="16"/>
              </w:rPr>
              <w:t>=0万元</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5B779B9">
            <w:pPr>
              <w:jc w:val="center"/>
            </w:pPr>
            <w:r>
              <w:rPr>
                <w:rFonts w:ascii="宋体" w:hAnsi="宋体" w:eastAsia="宋体"/>
                <w:sz w:val="16"/>
              </w:rPr>
              <w:t>0</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6B8EE">
            <w:pPr>
              <w:jc w:val="center"/>
            </w:pPr>
            <w:r>
              <w:rPr>
                <w:rFonts w:ascii="宋体" w:hAnsi="宋体" w:eastAsia="宋体"/>
                <w:sz w:val="16"/>
              </w:rPr>
              <w:t>偏差原因：资金申请缓慢，导致支付及时率偏低；改进措施：加快资金拨付。</w:t>
            </w:r>
          </w:p>
        </w:tc>
      </w:tr>
      <w:tr w14:paraId="2852D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16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56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EA1F">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C88DFA">
            <w:pPr>
              <w:jc w:val="center"/>
            </w:pPr>
            <w:r>
              <w:rPr>
                <w:rFonts w:ascii="宋体" w:hAnsi="宋体" w:eastAsia="宋体"/>
                <w:sz w:val="16"/>
              </w:rPr>
              <w:t>有效促进叶城县核桃产业的发展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57BE1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0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281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FA7D">
            <w:pPr>
              <w:jc w:val="center"/>
            </w:pPr>
            <w:r>
              <w:rPr>
                <w:rFonts w:ascii="宋体" w:hAnsi="宋体" w:eastAsia="宋体"/>
                <w:sz w:val="16"/>
              </w:rPr>
              <w:t>20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DF54D8A">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46919E">
            <w:pPr>
              <w:jc w:val="center"/>
            </w:pPr>
            <w:r>
              <w:rPr>
                <w:rFonts w:ascii="宋体" w:hAnsi="宋体" w:eastAsia="宋体"/>
                <w:sz w:val="16"/>
              </w:rPr>
              <w:t>说明材料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6C4461A0">
            <w:pPr>
              <w:jc w:val="center"/>
            </w:pPr>
            <w:r>
              <w:rPr>
                <w:rFonts w:ascii="宋体" w:hAnsi="宋体" w:eastAsia="宋体"/>
                <w:sz w:val="16"/>
              </w:rPr>
              <w:t>有效促进</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9F2B739">
            <w:pPr>
              <w:jc w:val="center"/>
            </w:pPr>
            <w:r>
              <w:rPr>
                <w:rFonts w:ascii="宋体" w:hAnsi="宋体" w:eastAsia="宋体"/>
                <w:sz w:val="16"/>
              </w:rPr>
              <w:t>20</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4267">
            <w:pPr>
              <w:jc w:val="center"/>
            </w:pPr>
          </w:p>
        </w:tc>
      </w:tr>
      <w:tr w14:paraId="5FF7B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EA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BF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FB0A">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A3CEAB">
            <w:pPr>
              <w:jc w:val="center"/>
            </w:pPr>
            <w:r>
              <w:rPr>
                <w:rFonts w:ascii="宋体" w:hAnsi="宋体" w:eastAsia="宋体"/>
                <w:sz w:val="16"/>
              </w:rPr>
              <w:t>受益人员满意度（%）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06F9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7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08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7BD5">
            <w:pPr>
              <w:jc w:val="center"/>
            </w:pPr>
            <w:r>
              <w:rPr>
                <w:rFonts w:ascii="宋体" w:hAnsi="宋体" w:eastAsia="宋体"/>
                <w:sz w:val="16"/>
              </w:rPr>
              <w:t>10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F8B60CC">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204A0CC">
            <w:pPr>
              <w:jc w:val="center"/>
            </w:pPr>
            <w:r>
              <w:rPr>
                <w:rFonts w:ascii="宋体" w:hAnsi="宋体" w:eastAsia="宋体"/>
                <w:sz w:val="16"/>
              </w:rPr>
              <w:t>工作资料</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62A45BC8">
            <w:pPr>
              <w:jc w:val="center"/>
            </w:pPr>
            <w:r>
              <w:rPr>
                <w:rFonts w:ascii="宋体" w:hAnsi="宋体" w:eastAsia="宋体"/>
                <w:sz w:val="16"/>
              </w:rPr>
              <w:t>=95%</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D2E5BF4">
            <w:pPr>
              <w:jc w:val="center"/>
            </w:pPr>
            <w:r>
              <w:rPr>
                <w:rFonts w:ascii="宋体" w:hAnsi="宋体" w:eastAsia="宋体"/>
                <w:sz w:val="16"/>
              </w:rPr>
              <w:t>10</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6C56A">
            <w:pPr>
              <w:jc w:val="center"/>
            </w:pPr>
            <w:r>
              <w:rPr>
                <w:rFonts w:ascii="宋体" w:hAnsi="宋体" w:eastAsia="宋体"/>
                <w:sz w:val="16"/>
              </w:rPr>
              <w:t>偏差原因：受益群众对项目实施都很满意；改进措施：加强年初预算编制管理</w:t>
            </w:r>
          </w:p>
        </w:tc>
      </w:tr>
      <w:tr w14:paraId="70C9D335">
        <w:tblPrEx>
          <w:tblCellMar>
            <w:top w:w="0" w:type="dxa"/>
            <w:left w:w="108" w:type="dxa"/>
            <w:bottom w:w="0" w:type="dxa"/>
            <w:right w:w="108" w:type="dxa"/>
          </w:tblCellMar>
        </w:tblPrEx>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4F1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3BAA">
            <w:pPr>
              <w:jc w:val="center"/>
            </w:pPr>
            <w:r>
              <w:rPr>
                <w:rFonts w:ascii="宋体" w:hAnsi="宋体" w:eastAsia="宋体"/>
                <w:sz w:val="16"/>
              </w:rPr>
              <w:t>100</w:t>
            </w:r>
          </w:p>
        </w:tc>
        <w:tc>
          <w:tcPr>
            <w:tcW w:w="2204" w:type="dxa"/>
            <w:gridSpan w:val="3"/>
            <w:tcBorders>
              <w:top w:val="single" w:color="auto" w:sz="10" w:space="0"/>
              <w:left w:val="single" w:color="auto" w:sz="10" w:space="0"/>
              <w:bottom w:val="single" w:color="auto" w:sz="10" w:space="0"/>
              <w:right w:val="single" w:color="auto" w:sz="10" w:space="0"/>
              <w:insideV w:val="single" w:sz="10" w:space="0"/>
            </w:tcBorders>
          </w:tcPr>
          <w:p w14:paraId="272409CA"/>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F72D667">
            <w:pPr>
              <w:jc w:val="center"/>
            </w:pPr>
            <w:r>
              <w:rPr>
                <w:rFonts w:ascii="宋体" w:hAnsi="宋体" w:eastAsia="宋体"/>
                <w:sz w:val="16"/>
              </w:rPr>
              <w:t>85.25分</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tcPr>
          <w:p w14:paraId="5B427E78"/>
        </w:tc>
      </w:tr>
    </w:tbl>
    <w:p w14:paraId="2FE24B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46BF76BC">
        <w:tblPrEx>
          <w:tblCellMar>
            <w:top w:w="0" w:type="dxa"/>
            <w:left w:w="108" w:type="dxa"/>
            <w:bottom w:w="0" w:type="dxa"/>
            <w:right w:w="108" w:type="dxa"/>
          </w:tblCellMar>
        </w:tblPrEx>
        <w:tc>
          <w:tcPr>
            <w:tcW w:w="8848" w:type="dxa"/>
            <w:gridSpan w:val="14"/>
            <w:vAlign w:val="center"/>
          </w:tcPr>
          <w:p w14:paraId="37C0747A">
            <w:pPr>
              <w:jc w:val="center"/>
            </w:pPr>
            <w:r>
              <w:rPr>
                <w:rFonts w:ascii="宋体" w:hAnsi="宋体" w:eastAsia="宋体"/>
                <w:sz w:val="24"/>
              </w:rPr>
              <w:t>项目支出绩效自评表</w:t>
            </w:r>
          </w:p>
        </w:tc>
      </w:tr>
      <w:tr w14:paraId="5B166602">
        <w:tblPrEx>
          <w:tblCellMar>
            <w:top w:w="0" w:type="dxa"/>
            <w:left w:w="108" w:type="dxa"/>
            <w:bottom w:w="0" w:type="dxa"/>
            <w:right w:w="108" w:type="dxa"/>
          </w:tblCellMar>
        </w:tblPrEx>
        <w:tc>
          <w:tcPr>
            <w:tcW w:w="8848" w:type="dxa"/>
            <w:gridSpan w:val="14"/>
            <w:vAlign w:val="center"/>
          </w:tcPr>
          <w:p w14:paraId="7F981771">
            <w:pPr>
              <w:jc w:val="center"/>
            </w:pPr>
            <w:r>
              <w:rPr>
                <w:rFonts w:ascii="宋体" w:hAnsi="宋体" w:eastAsia="宋体"/>
                <w:sz w:val="24"/>
              </w:rPr>
              <w:t>(2024年度)</w:t>
            </w:r>
          </w:p>
        </w:tc>
      </w:tr>
      <w:tr w14:paraId="13E76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E9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A134E0">
            <w:pPr>
              <w:jc w:val="center"/>
            </w:pPr>
            <w:r>
              <w:rPr>
                <w:rFonts w:ascii="宋体" w:hAnsi="宋体" w:eastAsia="宋体"/>
                <w:sz w:val="16"/>
              </w:rPr>
              <w:t>2024年自治区财政第二批农业保险保费补贴项目</w:t>
            </w:r>
          </w:p>
        </w:tc>
      </w:tr>
      <w:tr w14:paraId="00DF6A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84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A4D17">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28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99F58">
            <w:pPr>
              <w:jc w:val="center"/>
            </w:pPr>
            <w:r>
              <w:rPr>
                <w:rFonts w:ascii="宋体" w:hAnsi="宋体" w:eastAsia="宋体"/>
                <w:sz w:val="16"/>
              </w:rPr>
              <w:t>叶城县核桃产业化发展中心</w:t>
            </w:r>
          </w:p>
        </w:tc>
      </w:tr>
      <w:tr w14:paraId="6D7995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916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BB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436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CF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F6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5D6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FF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111D">
            <w:pPr>
              <w:jc w:val="center"/>
            </w:pPr>
            <w:r>
              <w:rPr>
                <w:rFonts w:ascii="宋体" w:hAnsi="宋体" w:eastAsia="宋体"/>
                <w:sz w:val="16"/>
              </w:rPr>
              <w:t>得分</w:t>
            </w:r>
          </w:p>
        </w:tc>
      </w:tr>
      <w:tr w14:paraId="49B93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314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1F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CC939">
            <w:pPr>
              <w:jc w:val="center"/>
            </w:pPr>
            <w:r>
              <w:rPr>
                <w:rFonts w:ascii="宋体" w:hAnsi="宋体" w:eastAsia="宋体"/>
                <w:sz w:val="16"/>
              </w:rPr>
              <w:t>459.00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9EAB">
            <w:pPr>
              <w:jc w:val="center"/>
            </w:pPr>
            <w:r>
              <w:rPr>
                <w:rFonts w:ascii="宋体" w:hAnsi="宋体" w:eastAsia="宋体"/>
                <w:sz w:val="16"/>
              </w:rPr>
              <w:t>459.00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B7DCC">
            <w:pPr>
              <w:jc w:val="center"/>
            </w:pPr>
            <w:r>
              <w:rPr>
                <w:rFonts w:ascii="宋体" w:hAnsi="宋体" w:eastAsia="宋体"/>
                <w:sz w:val="16"/>
              </w:rPr>
              <w:t>458.80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0FC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EDD4C">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21FC">
            <w:pPr>
              <w:jc w:val="center"/>
            </w:pPr>
            <w:r>
              <w:rPr>
                <w:rFonts w:ascii="宋体" w:hAnsi="宋体" w:eastAsia="宋体"/>
                <w:sz w:val="16"/>
              </w:rPr>
              <w:t>10.00分</w:t>
            </w:r>
          </w:p>
        </w:tc>
      </w:tr>
      <w:tr w14:paraId="1C8D1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48C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6B4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C5EA6">
            <w:pPr>
              <w:jc w:val="center"/>
            </w:pPr>
            <w:r>
              <w:rPr>
                <w:rFonts w:ascii="宋体" w:hAnsi="宋体" w:eastAsia="宋体"/>
                <w:sz w:val="16"/>
              </w:rPr>
              <w:t>459.00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00F68">
            <w:pPr>
              <w:jc w:val="center"/>
            </w:pPr>
            <w:r>
              <w:rPr>
                <w:rFonts w:ascii="宋体" w:hAnsi="宋体" w:eastAsia="宋体"/>
                <w:sz w:val="16"/>
              </w:rPr>
              <w:t>459.00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BA02">
            <w:pPr>
              <w:jc w:val="center"/>
            </w:pPr>
            <w:r>
              <w:rPr>
                <w:rFonts w:ascii="宋体" w:hAnsi="宋体" w:eastAsia="宋体"/>
                <w:sz w:val="16"/>
              </w:rPr>
              <w:t>458.80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764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6C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4F47">
            <w:pPr>
              <w:jc w:val="center"/>
            </w:pPr>
            <w:r>
              <w:rPr>
                <w:rFonts w:ascii="宋体" w:hAnsi="宋体" w:eastAsia="宋体"/>
                <w:sz w:val="16"/>
              </w:rPr>
              <w:t>—</w:t>
            </w:r>
          </w:p>
        </w:tc>
      </w:tr>
      <w:tr w14:paraId="38C3B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6ED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36C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142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A1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7B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CB2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7A9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5F9B">
            <w:pPr>
              <w:jc w:val="center"/>
            </w:pPr>
            <w:r>
              <w:rPr>
                <w:rFonts w:ascii="宋体" w:hAnsi="宋体" w:eastAsia="宋体"/>
                <w:sz w:val="16"/>
              </w:rPr>
              <w:t>—</w:t>
            </w:r>
          </w:p>
        </w:tc>
      </w:tr>
      <w:tr w14:paraId="541AD3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D4D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8C9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30D1A3">
            <w:pPr>
              <w:jc w:val="center"/>
            </w:pPr>
            <w:r>
              <w:rPr>
                <w:rFonts w:ascii="宋体" w:hAnsi="宋体" w:eastAsia="宋体"/>
                <w:sz w:val="16"/>
              </w:rPr>
              <w:t>实际完成情况</w:t>
            </w:r>
          </w:p>
        </w:tc>
      </w:tr>
      <w:tr w14:paraId="7D3E6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5EA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BE25E2">
            <w:pPr>
              <w:jc w:val="both"/>
            </w:pPr>
            <w:r>
              <w:rPr>
                <w:rFonts w:ascii="宋体" w:hAnsi="宋体" w:eastAsia="宋体"/>
                <w:sz w:val="16"/>
              </w:rPr>
              <w:t>项目计划资金459元。引导和支持农户参加农业保险，林果投保面积覆盖率65%以上，不断扩大农业保险覆盖面和风险保障水平，逐步建立市场化的农业生产风险防范化解机制，稳定农业生产，保障农户收入。受益投保农户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32163">
            <w:pPr>
              <w:jc w:val="both"/>
            </w:pPr>
            <w:r>
              <w:rPr>
                <w:rFonts w:hint="eastAsia" w:ascii="宋体" w:hAnsi="宋体"/>
                <w:sz w:val="16"/>
                <w:lang w:eastAsia="zh-CN"/>
              </w:rPr>
              <w:t>截至2024</w:t>
            </w:r>
            <w:r>
              <w:rPr>
                <w:rFonts w:ascii="宋体" w:hAnsi="宋体" w:eastAsia="宋体"/>
                <w:sz w:val="16"/>
              </w:rPr>
              <w:t>年12月31日，该项目实际支出458.80万元，执行率99.95%，引导和支持农户参加农业保险，林果投保面积覆盖率65%以上，不断扩大农业保险覆盖面和风险保障水平，逐步建立市场化的农业生产风险防范化解机制，稳定农业生产，保障农户收入。</w:t>
            </w:r>
          </w:p>
        </w:tc>
      </w:tr>
      <w:tr w14:paraId="5E372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24D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32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74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AC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8C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F2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51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19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2D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40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F2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A9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2FE6">
            <w:pPr>
              <w:jc w:val="center"/>
            </w:pPr>
            <w:r>
              <w:rPr>
                <w:rFonts w:ascii="宋体" w:hAnsi="宋体" w:eastAsia="宋体"/>
                <w:sz w:val="16"/>
              </w:rPr>
              <w:t>偏差原因分析及改进措施</w:t>
            </w:r>
          </w:p>
        </w:tc>
      </w:tr>
      <w:tr w14:paraId="4B47C4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B34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F02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69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6A50">
            <w:pPr>
              <w:jc w:val="center"/>
            </w:pPr>
            <w:r>
              <w:rPr>
                <w:rFonts w:ascii="宋体" w:hAnsi="宋体" w:eastAsia="宋体"/>
                <w:sz w:val="16"/>
              </w:rPr>
              <w:t>林果投保面积覆盖率（%）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CCDA">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D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9AF7">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CF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1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66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169A">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12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EF8FD">
            <w:pPr>
              <w:jc w:val="center"/>
            </w:pPr>
          </w:p>
        </w:tc>
      </w:tr>
      <w:tr w14:paraId="3CD10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4C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E5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DC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75CC">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7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0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0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F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2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0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B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5F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BC3FC">
            <w:pPr>
              <w:jc w:val="center"/>
            </w:pPr>
          </w:p>
        </w:tc>
      </w:tr>
      <w:tr w14:paraId="2E20E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00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88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A58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ACD1">
            <w:pPr>
              <w:jc w:val="center"/>
            </w:pPr>
            <w:r>
              <w:rPr>
                <w:rFonts w:ascii="宋体" w:hAnsi="宋体" w:eastAsia="宋体"/>
                <w:sz w:val="16"/>
              </w:rPr>
              <w:t>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9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C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3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14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75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6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C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8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ABB1">
            <w:pPr>
              <w:jc w:val="center"/>
            </w:pPr>
          </w:p>
        </w:tc>
      </w:tr>
      <w:tr w14:paraId="03356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94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E1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78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A1D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093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9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2EC9">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5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1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F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A81B">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8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48DB">
            <w:pPr>
              <w:jc w:val="center"/>
            </w:pPr>
          </w:p>
        </w:tc>
      </w:tr>
      <w:tr w14:paraId="0E6FB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98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9C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EC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4396">
            <w:pPr>
              <w:jc w:val="center"/>
            </w:pPr>
            <w:r>
              <w:rPr>
                <w:rFonts w:ascii="宋体" w:hAnsi="宋体" w:eastAsia="宋体"/>
                <w:sz w:val="16"/>
              </w:rPr>
              <w:t>农业保险保费补贴资金（万元）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6665">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AE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1941">
            <w:pPr>
              <w:jc w:val="center"/>
            </w:pPr>
            <w:r>
              <w:rPr>
                <w:rFonts w:ascii="宋体" w:hAnsi="宋体" w:eastAsia="宋体"/>
                <w:sz w:val="16"/>
              </w:rPr>
              <w:t>=1275万元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7B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8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37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3FCC">
            <w:pPr>
              <w:jc w:val="center"/>
            </w:pPr>
            <w:r>
              <w:rPr>
                <w:rFonts w:ascii="宋体" w:hAnsi="宋体" w:eastAsia="宋体"/>
                <w:sz w:val="16"/>
              </w:rPr>
              <w:t>=458.8万元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3331">
            <w:pPr>
              <w:jc w:val="center"/>
            </w:pPr>
            <w:r>
              <w:rPr>
                <w:rFonts w:ascii="宋体" w:hAnsi="宋体" w:eastAsia="宋体"/>
                <w:sz w:val="16"/>
              </w:rPr>
              <w:t>19.98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C5C3">
            <w:pPr>
              <w:jc w:val="center"/>
            </w:pPr>
            <w:r>
              <w:rPr>
                <w:rFonts w:ascii="宋体" w:hAnsi="宋体" w:eastAsia="宋体"/>
                <w:sz w:val="16"/>
              </w:rPr>
              <w:t>偏差原因：保险退保原因退库。整改措施：25年年初申请支付。</w:t>
            </w:r>
          </w:p>
        </w:tc>
      </w:tr>
      <w:tr w14:paraId="48A37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8A2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198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13C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BB56">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FD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8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BB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D0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C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FE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13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8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B0D0C">
            <w:pPr>
              <w:jc w:val="center"/>
            </w:pPr>
          </w:p>
        </w:tc>
      </w:tr>
      <w:tr w14:paraId="685C3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89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91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E3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7FDD">
            <w:pPr>
              <w:jc w:val="center"/>
            </w:pPr>
            <w:r>
              <w:rPr>
                <w:rFonts w:ascii="宋体" w:hAnsi="宋体" w:eastAsia="宋体"/>
                <w:sz w:val="16"/>
              </w:rPr>
              <w:t>经办机构县直分支机构覆盖率（%）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7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A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A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C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1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3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F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9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4365">
            <w:pPr>
              <w:jc w:val="center"/>
            </w:pPr>
          </w:p>
        </w:tc>
      </w:tr>
      <w:tr w14:paraId="1D1C2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9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E5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EB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FA14">
            <w:pPr>
              <w:jc w:val="center"/>
            </w:pPr>
            <w:r>
              <w:rPr>
                <w:rFonts w:ascii="宋体" w:hAnsi="宋体" w:eastAsia="宋体"/>
                <w:sz w:val="16"/>
              </w:rPr>
              <w:t>受益投保农户满意度（%）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D2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ED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17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C3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60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74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FE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3A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CEF10">
            <w:pPr>
              <w:jc w:val="center"/>
            </w:pPr>
            <w:r>
              <w:rPr>
                <w:rFonts w:ascii="宋体" w:hAnsi="宋体" w:eastAsia="宋体"/>
                <w:sz w:val="16"/>
              </w:rPr>
              <w:t>偏差原因：年初预算满意度95%，实际完成</w:t>
            </w:r>
            <w:r>
              <w:rPr>
                <w:rFonts w:hint="eastAsia" w:ascii="宋体" w:hAnsi="宋体"/>
                <w:sz w:val="16"/>
                <w:lang w:eastAsia="zh-CN"/>
              </w:rPr>
              <w:t>值</w:t>
            </w:r>
            <w:r>
              <w:rPr>
                <w:rFonts w:ascii="宋体" w:hAnsi="宋体" w:eastAsia="宋体"/>
                <w:sz w:val="16"/>
              </w:rPr>
              <w:t>为100%，整改措施：通过此类项目细化年初预算更精准做好目标设定。</w:t>
            </w:r>
          </w:p>
        </w:tc>
      </w:tr>
      <w:tr w14:paraId="2D79F1D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362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024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B80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D64E">
            <w:pPr>
              <w:jc w:val="center"/>
            </w:pPr>
            <w:r>
              <w:rPr>
                <w:rFonts w:ascii="宋体" w:hAnsi="宋体" w:eastAsia="宋体"/>
                <w:sz w:val="16"/>
              </w:rPr>
              <w:t>99.98分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F4960F"/>
        </w:tc>
      </w:tr>
    </w:tbl>
    <w:p w14:paraId="578EEDF4">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0"/>
        <w:gridCol w:w="610"/>
        <w:gridCol w:w="617"/>
        <w:gridCol w:w="610"/>
        <w:gridCol w:w="610"/>
        <w:gridCol w:w="776"/>
        <w:gridCol w:w="631"/>
        <w:gridCol w:w="578"/>
        <w:gridCol w:w="624"/>
      </w:tblGrid>
      <w:tr w14:paraId="7865540E">
        <w:tblPrEx>
          <w:tblCellMar>
            <w:top w:w="0" w:type="dxa"/>
            <w:left w:w="108" w:type="dxa"/>
            <w:bottom w:w="0" w:type="dxa"/>
            <w:right w:w="108" w:type="dxa"/>
          </w:tblCellMar>
        </w:tblPrEx>
        <w:tc>
          <w:tcPr>
            <w:tcW w:w="8848" w:type="dxa"/>
            <w:gridSpan w:val="14"/>
            <w:vAlign w:val="center"/>
          </w:tcPr>
          <w:p w14:paraId="7FEDF269">
            <w:pPr>
              <w:jc w:val="center"/>
            </w:pPr>
            <w:r>
              <w:rPr>
                <w:rFonts w:ascii="宋体" w:hAnsi="宋体" w:eastAsia="宋体"/>
                <w:sz w:val="24"/>
              </w:rPr>
              <w:t>项目支出绩效自评表</w:t>
            </w:r>
          </w:p>
        </w:tc>
      </w:tr>
      <w:tr w14:paraId="09B490FD">
        <w:tblPrEx>
          <w:tblCellMar>
            <w:top w:w="0" w:type="dxa"/>
            <w:left w:w="108" w:type="dxa"/>
            <w:bottom w:w="0" w:type="dxa"/>
            <w:right w:w="108" w:type="dxa"/>
          </w:tblCellMar>
        </w:tblPrEx>
        <w:tc>
          <w:tcPr>
            <w:tcW w:w="8848" w:type="dxa"/>
            <w:gridSpan w:val="14"/>
            <w:vAlign w:val="center"/>
          </w:tcPr>
          <w:p w14:paraId="2743604C">
            <w:pPr>
              <w:jc w:val="center"/>
            </w:pPr>
            <w:r>
              <w:rPr>
                <w:rFonts w:ascii="宋体" w:hAnsi="宋体" w:eastAsia="宋体"/>
                <w:sz w:val="24"/>
              </w:rPr>
              <w:t>(2024年度)</w:t>
            </w:r>
          </w:p>
        </w:tc>
      </w:tr>
      <w:tr w14:paraId="727CD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6E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284B01">
            <w:pPr>
              <w:jc w:val="center"/>
            </w:pPr>
            <w:r>
              <w:rPr>
                <w:rFonts w:ascii="宋体" w:hAnsi="宋体" w:eastAsia="宋体"/>
                <w:sz w:val="16"/>
              </w:rPr>
              <w:t>上海援疆项目-2024年叶城县林果业发展项目（应急药剂购置）</w:t>
            </w:r>
          </w:p>
        </w:tc>
      </w:tr>
      <w:tr w14:paraId="793839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69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5D910">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C0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97708">
            <w:pPr>
              <w:jc w:val="center"/>
            </w:pPr>
            <w:r>
              <w:rPr>
                <w:rFonts w:ascii="宋体" w:hAnsi="宋体" w:eastAsia="宋体"/>
                <w:sz w:val="16"/>
              </w:rPr>
              <w:t>叶城县核桃产业化发展中心</w:t>
            </w:r>
          </w:p>
        </w:tc>
      </w:tr>
      <w:tr w14:paraId="345B6F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93C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1F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26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200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D9F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61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488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ADCA">
            <w:pPr>
              <w:jc w:val="center"/>
            </w:pPr>
            <w:r>
              <w:rPr>
                <w:rFonts w:ascii="宋体" w:hAnsi="宋体" w:eastAsia="宋体"/>
                <w:sz w:val="16"/>
              </w:rPr>
              <w:t>得分</w:t>
            </w:r>
          </w:p>
        </w:tc>
      </w:tr>
      <w:tr w14:paraId="5475C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CD3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C7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304B">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211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98D5C">
            <w:pPr>
              <w:jc w:val="center"/>
            </w:pPr>
            <w:r>
              <w:rPr>
                <w:rFonts w:ascii="宋体" w:hAnsi="宋体" w:eastAsia="宋体"/>
                <w:sz w:val="16"/>
              </w:rPr>
              <w:t>181.86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40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5FA69">
            <w:pPr>
              <w:jc w:val="center"/>
            </w:pPr>
            <w:r>
              <w:rPr>
                <w:rFonts w:ascii="宋体" w:hAnsi="宋体" w:eastAsia="宋体"/>
                <w:sz w:val="16"/>
              </w:rPr>
              <w:t>60.6%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FB66">
            <w:pPr>
              <w:jc w:val="center"/>
            </w:pPr>
            <w:r>
              <w:rPr>
                <w:rFonts w:ascii="宋体" w:hAnsi="宋体" w:eastAsia="宋体"/>
                <w:sz w:val="16"/>
              </w:rPr>
              <w:t>0.15分</w:t>
            </w:r>
          </w:p>
        </w:tc>
      </w:tr>
      <w:tr w14:paraId="71B89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7BF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21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B38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D8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4CA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D3D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F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D2BD">
            <w:pPr>
              <w:jc w:val="center"/>
            </w:pPr>
            <w:r>
              <w:rPr>
                <w:rFonts w:ascii="宋体" w:hAnsi="宋体" w:eastAsia="宋体"/>
                <w:sz w:val="16"/>
              </w:rPr>
              <w:t>—</w:t>
            </w:r>
          </w:p>
        </w:tc>
      </w:tr>
      <w:tr w14:paraId="0CCFB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3B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F5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949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025C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2FCB0">
            <w:pPr>
              <w:jc w:val="center"/>
            </w:pPr>
            <w:r>
              <w:rPr>
                <w:rFonts w:ascii="宋体" w:hAnsi="宋体" w:eastAsia="宋体"/>
                <w:sz w:val="16"/>
              </w:rPr>
              <w:t>181.86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4B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12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5961">
            <w:pPr>
              <w:jc w:val="center"/>
            </w:pPr>
            <w:r>
              <w:rPr>
                <w:rFonts w:ascii="宋体" w:hAnsi="宋体" w:eastAsia="宋体"/>
                <w:sz w:val="16"/>
              </w:rPr>
              <w:t>—</w:t>
            </w:r>
          </w:p>
        </w:tc>
      </w:tr>
      <w:tr w14:paraId="17B2A1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8EB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08E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B39B17">
            <w:pPr>
              <w:jc w:val="center"/>
            </w:pPr>
            <w:r>
              <w:rPr>
                <w:rFonts w:ascii="宋体" w:hAnsi="宋体" w:eastAsia="宋体"/>
                <w:sz w:val="16"/>
              </w:rPr>
              <w:t>实际完成情况</w:t>
            </w:r>
          </w:p>
        </w:tc>
      </w:tr>
      <w:tr w14:paraId="7E79B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720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DBFB6">
            <w:pPr>
              <w:jc w:val="both"/>
            </w:pPr>
            <w:r>
              <w:rPr>
                <w:rFonts w:ascii="宋体" w:hAnsi="宋体" w:eastAsia="宋体"/>
                <w:sz w:val="16"/>
              </w:rPr>
              <w:t>该项目下达资金300万元，采购蚜虫、红蜘蛛、食心虫、蚧类害虫、核桃腐烂病等林果有害生物应急药剂；项目的实施可以保障公共安全、促进社会稳定、提升农业科技水平、增强社会责任感并推动农业产业升级。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E42C23">
            <w:pPr>
              <w:jc w:val="both"/>
            </w:pPr>
            <w:r>
              <w:rPr>
                <w:rFonts w:ascii="宋体" w:hAnsi="宋体" w:eastAsia="宋体"/>
                <w:sz w:val="16"/>
              </w:rPr>
              <w:t>项目总投资300万元，截至目前完成支付181.86万元，主要用于采购蚜虫、红蜘蛛、食心虫、蚧类害虫、核桃腐烂病等林果有害生物应急药剂；项目的实施可以保障公共安全、促进社会稳定、提升农业科技水平、增强社会责任感并推动农业产业升级。截至目前已完成药剂采购，预计2025年9月完成服务。</w:t>
            </w:r>
          </w:p>
        </w:tc>
      </w:tr>
      <w:tr w14:paraId="2AA87D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582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02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0A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7C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72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A9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3D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68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6D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0D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56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A0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26A76">
            <w:pPr>
              <w:jc w:val="center"/>
            </w:pPr>
            <w:r>
              <w:rPr>
                <w:rFonts w:ascii="宋体" w:hAnsi="宋体" w:eastAsia="宋体"/>
                <w:sz w:val="16"/>
              </w:rPr>
              <w:t>偏差原因分析及改进措施</w:t>
            </w:r>
          </w:p>
        </w:tc>
      </w:tr>
      <w:tr w14:paraId="3A1871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A9F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E7A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024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7095">
            <w:pPr>
              <w:jc w:val="center"/>
            </w:pPr>
            <w:r>
              <w:rPr>
                <w:rFonts w:ascii="宋体" w:hAnsi="宋体" w:eastAsia="宋体"/>
                <w:sz w:val="16"/>
              </w:rPr>
              <w:t>购置病虫害应急药剂（公斤）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771E">
            <w:pPr>
              <w:jc w:val="center"/>
            </w:pPr>
            <w:r>
              <w:rPr>
                <w:rFonts w:ascii="宋体" w:hAnsi="宋体" w:eastAsia="宋体"/>
                <w:sz w:val="16"/>
              </w:rPr>
              <w:t>&gt;=23151公斤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1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D0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C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B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AB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DBF8">
            <w:pPr>
              <w:jc w:val="center"/>
            </w:pPr>
            <w:r>
              <w:rPr>
                <w:rFonts w:ascii="宋体" w:hAnsi="宋体" w:eastAsia="宋体"/>
                <w:sz w:val="16"/>
              </w:rPr>
              <w:t>=23151公斤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B0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DC055">
            <w:pPr>
              <w:jc w:val="center"/>
            </w:pPr>
          </w:p>
        </w:tc>
      </w:tr>
      <w:tr w14:paraId="720C9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4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D9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84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8E3E">
            <w:pPr>
              <w:jc w:val="center"/>
            </w:pPr>
            <w:r>
              <w:rPr>
                <w:rFonts w:ascii="宋体" w:hAnsi="宋体" w:eastAsia="宋体"/>
                <w:sz w:val="16"/>
              </w:rPr>
              <w:t>苹果蠹蛾和梨小食心虫防治服务（批）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6D9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9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43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A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E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C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699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C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31CAB">
            <w:pPr>
              <w:jc w:val="center"/>
            </w:pPr>
          </w:p>
        </w:tc>
      </w:tr>
      <w:tr w14:paraId="284F4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2A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CE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2E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D6F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C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3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4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35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D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0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C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F5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0550E">
            <w:pPr>
              <w:jc w:val="center"/>
            </w:pPr>
          </w:p>
        </w:tc>
      </w:tr>
      <w:tr w14:paraId="5929C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AE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74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F7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084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1E2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A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F5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81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C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9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931C">
            <w:pPr>
              <w:jc w:val="center"/>
            </w:pPr>
            <w:r>
              <w:rPr>
                <w:rFonts w:ascii="宋体" w:hAnsi="宋体" w:eastAsia="宋体"/>
                <w:sz w:val="16"/>
              </w:rPr>
              <w:t>=2025年12月20日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83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04377">
            <w:pPr>
              <w:jc w:val="center"/>
            </w:pPr>
            <w:r>
              <w:rPr>
                <w:rFonts w:ascii="宋体" w:hAnsi="宋体" w:eastAsia="宋体"/>
                <w:sz w:val="16"/>
              </w:rPr>
              <w:t>病虫害防治最佳期限在3月-9月期间，该项目下达时间晚，故在2025年3月-9月实施</w:t>
            </w:r>
          </w:p>
        </w:tc>
      </w:tr>
      <w:tr w14:paraId="52E23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F09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F8D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F63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50FB">
            <w:pPr>
              <w:jc w:val="center"/>
            </w:pPr>
            <w:r>
              <w:rPr>
                <w:rFonts w:ascii="宋体" w:hAnsi="宋体" w:eastAsia="宋体"/>
                <w:sz w:val="16"/>
              </w:rPr>
              <w:t>药剂购置费用（万元）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366C">
            <w:pPr>
              <w:jc w:val="center"/>
            </w:pPr>
            <w:r>
              <w:rPr>
                <w:rFonts w:ascii="宋体" w:hAnsi="宋体" w:eastAsia="宋体"/>
                <w:sz w:val="16"/>
              </w:rPr>
              <w:t>&lt;=293.80万元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9F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FF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1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48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8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160B">
            <w:pPr>
              <w:jc w:val="center"/>
            </w:pPr>
            <w:r>
              <w:rPr>
                <w:rFonts w:ascii="宋体" w:hAnsi="宋体" w:eastAsia="宋体"/>
                <w:sz w:val="16"/>
              </w:rPr>
              <w:t>=181.86万元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3600">
            <w:pPr>
              <w:jc w:val="center"/>
            </w:pPr>
            <w:r>
              <w:rPr>
                <w:rFonts w:ascii="宋体" w:hAnsi="宋体" w:eastAsia="宋体"/>
                <w:sz w:val="16"/>
              </w:rPr>
              <w:t>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45A8">
            <w:pPr>
              <w:jc w:val="center"/>
            </w:pPr>
            <w:r>
              <w:rPr>
                <w:rFonts w:ascii="宋体" w:hAnsi="宋体" w:eastAsia="宋体"/>
                <w:sz w:val="16"/>
              </w:rPr>
              <w:t>项目实施完毕后方可支付下一笔费用</w:t>
            </w:r>
          </w:p>
        </w:tc>
      </w:tr>
      <w:tr w14:paraId="4E262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A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67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E5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560A">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5A7E">
            <w:pPr>
              <w:jc w:val="center"/>
            </w:pPr>
            <w:r>
              <w:rPr>
                <w:rFonts w:ascii="宋体" w:hAnsi="宋体" w:eastAsia="宋体"/>
                <w:sz w:val="16"/>
              </w:rPr>
              <w:t>&lt;=6.20万元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F7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9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FB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C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5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838C">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8A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BFB0E">
            <w:pPr>
              <w:jc w:val="center"/>
            </w:pPr>
          </w:p>
        </w:tc>
      </w:tr>
      <w:tr w14:paraId="0527F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78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DB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51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D29A">
            <w:pPr>
              <w:jc w:val="center"/>
            </w:pPr>
            <w:r>
              <w:rPr>
                <w:rFonts w:ascii="宋体" w:hAnsi="宋体" w:eastAsia="宋体"/>
                <w:sz w:val="16"/>
              </w:rPr>
              <w:t>提升农业科技水平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4B1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3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36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F5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BD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6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3E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883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14278">
            <w:pPr>
              <w:jc w:val="center"/>
            </w:pPr>
          </w:p>
        </w:tc>
      </w:tr>
      <w:tr w14:paraId="606A8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4A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AD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9A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839C">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1D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5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74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2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F4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F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4D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5E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CC671">
            <w:pPr>
              <w:jc w:val="center"/>
            </w:pPr>
          </w:p>
        </w:tc>
      </w:tr>
      <w:tr w14:paraId="3C003B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1E5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01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59A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F372">
            <w:pPr>
              <w:jc w:val="center"/>
            </w:pPr>
            <w:r>
              <w:rPr>
                <w:rFonts w:ascii="宋体" w:hAnsi="宋体" w:eastAsia="宋体"/>
                <w:sz w:val="16"/>
              </w:rPr>
              <w:t>70.62分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D1FF3A"/>
        </w:tc>
      </w:tr>
    </w:tbl>
    <w:p w14:paraId="34B457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48763C5">
        <w:tblPrEx>
          <w:tblCellMar>
            <w:top w:w="0" w:type="dxa"/>
            <w:left w:w="108" w:type="dxa"/>
            <w:bottom w:w="0" w:type="dxa"/>
            <w:right w:w="108" w:type="dxa"/>
          </w:tblCellMar>
        </w:tblPrEx>
        <w:tc>
          <w:tcPr>
            <w:tcW w:w="8848" w:type="dxa"/>
            <w:gridSpan w:val="14"/>
            <w:vAlign w:val="center"/>
          </w:tcPr>
          <w:p w14:paraId="004AEF0F">
            <w:pPr>
              <w:jc w:val="center"/>
            </w:pPr>
            <w:r>
              <w:rPr>
                <w:rFonts w:ascii="宋体" w:hAnsi="宋体" w:eastAsia="宋体"/>
                <w:sz w:val="24"/>
              </w:rPr>
              <w:t>项目支出绩效自评表</w:t>
            </w:r>
          </w:p>
        </w:tc>
      </w:tr>
      <w:tr w14:paraId="6F536707">
        <w:tblPrEx>
          <w:tblCellMar>
            <w:top w:w="0" w:type="dxa"/>
            <w:left w:w="108" w:type="dxa"/>
            <w:bottom w:w="0" w:type="dxa"/>
            <w:right w:w="108" w:type="dxa"/>
          </w:tblCellMar>
        </w:tblPrEx>
        <w:tc>
          <w:tcPr>
            <w:tcW w:w="8848" w:type="dxa"/>
            <w:gridSpan w:val="14"/>
            <w:vAlign w:val="center"/>
          </w:tcPr>
          <w:p w14:paraId="1EF81964">
            <w:pPr>
              <w:jc w:val="center"/>
            </w:pPr>
            <w:r>
              <w:rPr>
                <w:rFonts w:ascii="宋体" w:hAnsi="宋体" w:eastAsia="宋体"/>
                <w:sz w:val="24"/>
              </w:rPr>
              <w:t>(2024年度)</w:t>
            </w:r>
          </w:p>
        </w:tc>
      </w:tr>
      <w:tr w14:paraId="456E53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F8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AC7C9D">
            <w:pPr>
              <w:jc w:val="center"/>
            </w:pPr>
            <w:r>
              <w:rPr>
                <w:rFonts w:ascii="宋体" w:hAnsi="宋体" w:eastAsia="宋体"/>
                <w:sz w:val="16"/>
              </w:rPr>
              <w:t>上海援疆项目-文化润疆项目-文化节日活动（核桃文化节活动）</w:t>
            </w:r>
          </w:p>
        </w:tc>
      </w:tr>
      <w:tr w14:paraId="479588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B5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1CF9B8">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87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F523F">
            <w:pPr>
              <w:jc w:val="center"/>
            </w:pPr>
            <w:r>
              <w:rPr>
                <w:rFonts w:ascii="宋体" w:hAnsi="宋体" w:eastAsia="宋体"/>
                <w:sz w:val="16"/>
              </w:rPr>
              <w:t>叶城县核桃产业化发展中心</w:t>
            </w:r>
          </w:p>
        </w:tc>
      </w:tr>
      <w:tr w14:paraId="3BEC8C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A75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DC6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FE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540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3E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AF2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A6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CE94">
            <w:pPr>
              <w:jc w:val="center"/>
            </w:pPr>
            <w:r>
              <w:rPr>
                <w:rFonts w:ascii="宋体" w:hAnsi="宋体" w:eastAsia="宋体"/>
                <w:sz w:val="16"/>
              </w:rPr>
              <w:t>得分</w:t>
            </w:r>
          </w:p>
        </w:tc>
      </w:tr>
      <w:tr w14:paraId="1A685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E1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DE0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3CCB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6C72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38DC">
            <w:pPr>
              <w:jc w:val="center"/>
            </w:pPr>
            <w:r>
              <w:rPr>
                <w:rFonts w:ascii="宋体" w:hAnsi="宋体" w:eastAsia="宋体"/>
                <w:sz w:val="16"/>
              </w:rPr>
              <w:t>39.24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979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A4E6">
            <w:pPr>
              <w:jc w:val="center"/>
            </w:pPr>
            <w:r>
              <w:rPr>
                <w:rFonts w:ascii="宋体" w:hAnsi="宋体" w:eastAsia="宋体"/>
                <w:sz w:val="16"/>
              </w:rPr>
              <w:t>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11F1">
            <w:pPr>
              <w:jc w:val="center"/>
            </w:pPr>
            <w:r>
              <w:rPr>
                <w:rFonts w:ascii="宋体" w:hAnsi="宋体" w:eastAsia="宋体"/>
                <w:sz w:val="16"/>
              </w:rPr>
              <w:t>4.62分</w:t>
            </w:r>
          </w:p>
        </w:tc>
      </w:tr>
      <w:tr w14:paraId="3F359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E35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451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DA9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534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EB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F5C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9D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D0C0">
            <w:pPr>
              <w:jc w:val="center"/>
            </w:pPr>
            <w:r>
              <w:rPr>
                <w:rFonts w:ascii="宋体" w:hAnsi="宋体" w:eastAsia="宋体"/>
                <w:sz w:val="16"/>
              </w:rPr>
              <w:t>—</w:t>
            </w:r>
          </w:p>
        </w:tc>
      </w:tr>
      <w:tr w14:paraId="67454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213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AD7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23E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FD2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8B77F">
            <w:pPr>
              <w:jc w:val="center"/>
            </w:pPr>
            <w:r>
              <w:rPr>
                <w:rFonts w:ascii="宋体" w:hAnsi="宋体" w:eastAsia="宋体"/>
                <w:sz w:val="16"/>
              </w:rPr>
              <w:t>39.24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98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F9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D166">
            <w:pPr>
              <w:jc w:val="center"/>
            </w:pPr>
            <w:r>
              <w:rPr>
                <w:rFonts w:ascii="宋体" w:hAnsi="宋体" w:eastAsia="宋体"/>
                <w:sz w:val="16"/>
              </w:rPr>
              <w:t>—</w:t>
            </w:r>
          </w:p>
        </w:tc>
      </w:tr>
      <w:tr w14:paraId="3ED145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210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F49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8CB6E">
            <w:pPr>
              <w:jc w:val="center"/>
            </w:pPr>
            <w:r>
              <w:rPr>
                <w:rFonts w:ascii="宋体" w:hAnsi="宋体" w:eastAsia="宋体"/>
                <w:sz w:val="16"/>
              </w:rPr>
              <w:t>实际完成情况</w:t>
            </w:r>
          </w:p>
        </w:tc>
      </w:tr>
      <w:tr w14:paraId="147A6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36D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B2F07">
            <w:pPr>
              <w:jc w:val="both"/>
            </w:pPr>
            <w:r>
              <w:rPr>
                <w:rFonts w:ascii="宋体" w:hAnsi="宋体" w:eastAsia="宋体"/>
                <w:sz w:val="16"/>
              </w:rPr>
              <w:t>项目总投资50万元，在核桃七仙园组织“核桃文化节”活动，按照有特色、有规模、有档次、有影响的原则，依托新闻发布会、直播、文艺活动等活动，邀请国内知名报刊端网等平台记者参加，打响“核桃之乡”名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A99CF">
            <w:pPr>
              <w:jc w:val="both"/>
            </w:pPr>
            <w:r>
              <w:rPr>
                <w:rFonts w:hint="eastAsia" w:ascii="宋体" w:hAnsi="宋体"/>
                <w:sz w:val="16"/>
                <w:lang w:eastAsia="zh-CN"/>
              </w:rPr>
              <w:t>截至</w:t>
            </w:r>
            <w:r>
              <w:rPr>
                <w:rFonts w:ascii="宋体" w:hAnsi="宋体" w:eastAsia="宋体"/>
                <w:sz w:val="16"/>
              </w:rPr>
              <w:t>2024年12月31日，项目总资金50万元，实际支付39.24万元，截至目前项目已完工，项目已完成在核桃七仙园组织“核桃文化节”活动，按照有特色、有规模、有档次、有影响的原则，依托新闻发布会、直播、文艺活动等活动，邀请国内知名报刊端网等平台记者参加，打响“核桃之乡”名片。</w:t>
            </w:r>
          </w:p>
        </w:tc>
      </w:tr>
      <w:tr w14:paraId="512AF8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20F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FB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38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F0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3E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D3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8E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FF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4B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4A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F0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4D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7BB9">
            <w:pPr>
              <w:jc w:val="center"/>
            </w:pPr>
            <w:r>
              <w:rPr>
                <w:rFonts w:ascii="宋体" w:hAnsi="宋体" w:eastAsia="宋体"/>
                <w:sz w:val="16"/>
              </w:rPr>
              <w:t>偏差原因分析及改进措施</w:t>
            </w:r>
          </w:p>
        </w:tc>
      </w:tr>
      <w:tr w14:paraId="643E3E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587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613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60A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3CFE">
            <w:pPr>
              <w:jc w:val="center"/>
            </w:pPr>
            <w:r>
              <w:rPr>
                <w:rFonts w:ascii="宋体" w:hAnsi="宋体" w:eastAsia="宋体"/>
                <w:sz w:val="16"/>
              </w:rPr>
              <w:t>表彰叶城核桃丰产园产量奖人员数量（人）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99D3">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3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0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BB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9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3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2A00">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04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F416">
            <w:pPr>
              <w:jc w:val="center"/>
            </w:pPr>
          </w:p>
        </w:tc>
      </w:tr>
      <w:tr w14:paraId="3964D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9A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35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89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AA0F">
            <w:pPr>
              <w:jc w:val="center"/>
            </w:pPr>
            <w:r>
              <w:rPr>
                <w:rFonts w:ascii="宋体" w:hAnsi="宋体" w:eastAsia="宋体"/>
                <w:sz w:val="16"/>
              </w:rPr>
              <w:t>开展核桃产销对接会次数（次）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71D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B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6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B4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6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7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737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47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F297">
            <w:pPr>
              <w:jc w:val="center"/>
            </w:pPr>
          </w:p>
        </w:tc>
      </w:tr>
      <w:tr w14:paraId="3749F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70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54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E3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001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B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0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1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92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F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3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C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69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6436">
            <w:pPr>
              <w:jc w:val="center"/>
            </w:pPr>
          </w:p>
        </w:tc>
      </w:tr>
      <w:tr w14:paraId="585C6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7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F1E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CA2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DFCE">
            <w:pPr>
              <w:jc w:val="center"/>
            </w:pPr>
            <w:r>
              <w:rPr>
                <w:rFonts w:ascii="宋体" w:hAnsi="宋体" w:eastAsia="宋体"/>
                <w:sz w:val="16"/>
              </w:rPr>
              <w:t>项目完工时间(年/月）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45F7">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B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3F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54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D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6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568A">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85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083A">
            <w:pPr>
              <w:jc w:val="center"/>
            </w:pPr>
          </w:p>
        </w:tc>
      </w:tr>
      <w:tr w14:paraId="1605A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59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B8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85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9377">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A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0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87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B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A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B5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E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4B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7BE22">
            <w:pPr>
              <w:jc w:val="center"/>
            </w:pPr>
          </w:p>
        </w:tc>
      </w:tr>
      <w:tr w14:paraId="5E4FC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C3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E25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7F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1DA3">
            <w:pPr>
              <w:jc w:val="center"/>
            </w:pPr>
            <w:r>
              <w:rPr>
                <w:rFonts w:ascii="宋体" w:hAnsi="宋体" w:eastAsia="宋体"/>
                <w:sz w:val="16"/>
              </w:rPr>
              <w:t>项目总投资（万元）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7D1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4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1B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21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3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67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5894">
            <w:pPr>
              <w:jc w:val="center"/>
            </w:pPr>
            <w:r>
              <w:rPr>
                <w:rFonts w:ascii="宋体" w:hAnsi="宋体" w:eastAsia="宋体"/>
                <w:sz w:val="16"/>
              </w:rPr>
              <w:t>=39.24万元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7F4C">
            <w:pPr>
              <w:jc w:val="center"/>
            </w:pPr>
            <w:r>
              <w:rPr>
                <w:rFonts w:ascii="宋体" w:hAnsi="宋体" w:eastAsia="宋体"/>
                <w:sz w:val="16"/>
              </w:rPr>
              <w:t>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4F4E7">
            <w:pPr>
              <w:jc w:val="center"/>
            </w:pPr>
            <w:r>
              <w:rPr>
                <w:rFonts w:ascii="宋体" w:hAnsi="宋体" w:eastAsia="宋体"/>
                <w:sz w:val="16"/>
              </w:rPr>
              <w:t>资金拨付材料已准备完成，待援疆会审支付。</w:t>
            </w:r>
          </w:p>
        </w:tc>
      </w:tr>
      <w:tr w14:paraId="5A0EF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AE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43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45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9799">
            <w:pPr>
              <w:jc w:val="center"/>
            </w:pPr>
            <w:r>
              <w:rPr>
                <w:rFonts w:ascii="宋体" w:hAnsi="宋体" w:eastAsia="宋体"/>
                <w:sz w:val="16"/>
              </w:rPr>
              <w:t>提升叶城核桃品牌影响力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435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6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9E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C5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E1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5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2D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DB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9EB74">
            <w:pPr>
              <w:jc w:val="center"/>
            </w:pPr>
          </w:p>
        </w:tc>
      </w:tr>
      <w:tr w14:paraId="0D15E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7B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7E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24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EAE5">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FB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A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5A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0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22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D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7C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D9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06F6">
            <w:pPr>
              <w:jc w:val="center"/>
            </w:pPr>
          </w:p>
        </w:tc>
      </w:tr>
      <w:tr w14:paraId="06DA93C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282F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E2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2CC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C9F7">
            <w:pPr>
              <w:jc w:val="center"/>
            </w:pPr>
            <w:r>
              <w:rPr>
                <w:rFonts w:ascii="宋体" w:hAnsi="宋体" w:eastAsia="宋体"/>
                <w:sz w:val="16"/>
              </w:rPr>
              <w:t>83.86分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B0AB1F"/>
        </w:tc>
      </w:tr>
    </w:tbl>
    <w:p w14:paraId="76FFB43E">
      <w:r>
        <w:br w:type="page"/>
      </w:r>
    </w:p>
    <w:tbl>
      <w:tblPr>
        <w:tblStyle w:val="9"/>
        <w:tblW w:w="0" w:type="auto"/>
        <w:tblInd w:w="0" w:type="dxa"/>
        <w:tblLayout w:type="autofit"/>
        <w:tblCellMar>
          <w:top w:w="0" w:type="dxa"/>
          <w:left w:w="108" w:type="dxa"/>
          <w:bottom w:w="0" w:type="dxa"/>
          <w:right w:w="108" w:type="dxa"/>
        </w:tblCellMar>
      </w:tblPr>
      <w:tblGrid>
        <w:gridCol w:w="624"/>
        <w:gridCol w:w="613"/>
        <w:gridCol w:w="614"/>
        <w:gridCol w:w="631"/>
        <w:gridCol w:w="856"/>
        <w:gridCol w:w="614"/>
        <w:gridCol w:w="631"/>
        <w:gridCol w:w="619"/>
        <w:gridCol w:w="614"/>
        <w:gridCol w:w="614"/>
        <w:gridCol w:w="776"/>
        <w:gridCol w:w="631"/>
        <w:gridCol w:w="592"/>
        <w:gridCol w:w="631"/>
      </w:tblGrid>
      <w:tr w14:paraId="7B9F1BB2">
        <w:tblPrEx>
          <w:tblCellMar>
            <w:top w:w="0" w:type="dxa"/>
            <w:left w:w="108" w:type="dxa"/>
            <w:bottom w:w="0" w:type="dxa"/>
            <w:right w:w="108" w:type="dxa"/>
          </w:tblCellMar>
        </w:tblPrEx>
        <w:tc>
          <w:tcPr>
            <w:tcW w:w="8848" w:type="dxa"/>
            <w:gridSpan w:val="14"/>
            <w:vAlign w:val="center"/>
          </w:tcPr>
          <w:p w14:paraId="7C214D10">
            <w:pPr>
              <w:jc w:val="center"/>
            </w:pPr>
            <w:r>
              <w:rPr>
                <w:rFonts w:ascii="宋体" w:hAnsi="宋体" w:eastAsia="宋体"/>
                <w:sz w:val="24"/>
              </w:rPr>
              <w:t>项目支出绩效自评表</w:t>
            </w:r>
          </w:p>
        </w:tc>
      </w:tr>
      <w:tr w14:paraId="4B9D5D89">
        <w:tblPrEx>
          <w:tblCellMar>
            <w:top w:w="0" w:type="dxa"/>
            <w:left w:w="108" w:type="dxa"/>
            <w:bottom w:w="0" w:type="dxa"/>
            <w:right w:w="108" w:type="dxa"/>
          </w:tblCellMar>
        </w:tblPrEx>
        <w:tc>
          <w:tcPr>
            <w:tcW w:w="8848" w:type="dxa"/>
            <w:gridSpan w:val="14"/>
            <w:vAlign w:val="center"/>
          </w:tcPr>
          <w:p w14:paraId="5FA268E1">
            <w:pPr>
              <w:jc w:val="center"/>
            </w:pPr>
            <w:r>
              <w:rPr>
                <w:rFonts w:ascii="宋体" w:hAnsi="宋体" w:eastAsia="宋体"/>
                <w:sz w:val="24"/>
              </w:rPr>
              <w:t>(2024年度)</w:t>
            </w:r>
          </w:p>
        </w:tc>
      </w:tr>
      <w:tr w14:paraId="7AA566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9E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D4A855">
            <w:pPr>
              <w:jc w:val="center"/>
            </w:pPr>
            <w:r>
              <w:rPr>
                <w:rFonts w:ascii="宋体" w:hAnsi="宋体" w:eastAsia="宋体"/>
                <w:sz w:val="16"/>
              </w:rPr>
              <w:t>历年农业保险保费补贴资金项目</w:t>
            </w:r>
          </w:p>
        </w:tc>
      </w:tr>
      <w:tr w14:paraId="23B5A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4C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5FB01A">
            <w:pPr>
              <w:jc w:val="center"/>
            </w:pPr>
            <w:r>
              <w:rPr>
                <w:rFonts w:ascii="宋体" w:hAnsi="宋体" w:eastAsia="宋体"/>
                <w:sz w:val="16"/>
              </w:rPr>
              <w:t>叶城县核桃产业化发展中心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A5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13BFF">
            <w:pPr>
              <w:jc w:val="center"/>
            </w:pPr>
            <w:r>
              <w:rPr>
                <w:rFonts w:ascii="宋体" w:hAnsi="宋体" w:eastAsia="宋体"/>
                <w:sz w:val="16"/>
              </w:rPr>
              <w:t>叶城县核桃产业化发展中心</w:t>
            </w:r>
          </w:p>
        </w:tc>
      </w:tr>
      <w:tr w14:paraId="53DE13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5B2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ACC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BD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25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00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B9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4C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5192">
            <w:pPr>
              <w:jc w:val="center"/>
            </w:pPr>
            <w:r>
              <w:rPr>
                <w:rFonts w:ascii="宋体" w:hAnsi="宋体" w:eastAsia="宋体"/>
                <w:sz w:val="16"/>
              </w:rPr>
              <w:t>得分</w:t>
            </w:r>
          </w:p>
        </w:tc>
      </w:tr>
      <w:tr w14:paraId="23A12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931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0C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72C7E">
            <w:pPr>
              <w:jc w:val="center"/>
            </w:pPr>
            <w:r>
              <w:rPr>
                <w:rFonts w:ascii="宋体" w:hAnsi="宋体" w:eastAsia="宋体"/>
                <w:sz w:val="16"/>
              </w:rPr>
              <w:t>263.25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37A6">
            <w:pPr>
              <w:jc w:val="center"/>
            </w:pPr>
            <w:r>
              <w:rPr>
                <w:rFonts w:ascii="宋体" w:hAnsi="宋体" w:eastAsia="宋体"/>
                <w:sz w:val="16"/>
              </w:rPr>
              <w:t>263.25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62082">
            <w:pPr>
              <w:jc w:val="center"/>
            </w:pPr>
            <w:r>
              <w:rPr>
                <w:rFonts w:ascii="宋体" w:hAnsi="宋体" w:eastAsia="宋体"/>
                <w:sz w:val="16"/>
              </w:rPr>
              <w:t>183.42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4AF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C800B">
            <w:pPr>
              <w:jc w:val="center"/>
            </w:pPr>
            <w:r>
              <w:rPr>
                <w:rFonts w:ascii="宋体" w:hAnsi="宋体" w:eastAsia="宋体"/>
                <w:sz w:val="16"/>
              </w:rPr>
              <w:t>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0287">
            <w:pPr>
              <w:jc w:val="center"/>
            </w:pPr>
            <w:r>
              <w:rPr>
                <w:rFonts w:ascii="宋体" w:hAnsi="宋体" w:eastAsia="宋体"/>
                <w:sz w:val="16"/>
              </w:rPr>
              <w:t>2.42分</w:t>
            </w:r>
          </w:p>
        </w:tc>
      </w:tr>
      <w:tr w14:paraId="0C8B7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78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BF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6D8E">
            <w:pPr>
              <w:jc w:val="center"/>
            </w:pPr>
            <w:r>
              <w:rPr>
                <w:rFonts w:ascii="宋体" w:hAnsi="宋体" w:eastAsia="宋体"/>
                <w:sz w:val="16"/>
              </w:rPr>
              <w:t>263.25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C684E">
            <w:pPr>
              <w:jc w:val="center"/>
            </w:pPr>
            <w:r>
              <w:rPr>
                <w:rFonts w:ascii="宋体" w:hAnsi="宋体" w:eastAsia="宋体"/>
                <w:sz w:val="16"/>
              </w:rPr>
              <w:t>263.25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02F0">
            <w:pPr>
              <w:jc w:val="center"/>
            </w:pPr>
            <w:r>
              <w:rPr>
                <w:rFonts w:ascii="宋体" w:hAnsi="宋体" w:eastAsia="宋体"/>
                <w:sz w:val="16"/>
              </w:rPr>
              <w:t>183.42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B1B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9E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13AC">
            <w:pPr>
              <w:jc w:val="center"/>
            </w:pPr>
            <w:r>
              <w:rPr>
                <w:rFonts w:ascii="宋体" w:hAnsi="宋体" w:eastAsia="宋体"/>
                <w:sz w:val="16"/>
              </w:rPr>
              <w:t>—</w:t>
            </w:r>
          </w:p>
        </w:tc>
      </w:tr>
      <w:tr w14:paraId="4BF7A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A4E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D0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DA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D0C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6B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CE8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F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B53A">
            <w:pPr>
              <w:jc w:val="center"/>
            </w:pPr>
            <w:r>
              <w:rPr>
                <w:rFonts w:ascii="宋体" w:hAnsi="宋体" w:eastAsia="宋体"/>
                <w:sz w:val="16"/>
              </w:rPr>
              <w:t>—</w:t>
            </w:r>
          </w:p>
        </w:tc>
      </w:tr>
      <w:tr w14:paraId="141600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666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A60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6D5F6">
            <w:pPr>
              <w:jc w:val="center"/>
            </w:pPr>
            <w:r>
              <w:rPr>
                <w:rFonts w:ascii="宋体" w:hAnsi="宋体" w:eastAsia="宋体"/>
                <w:sz w:val="16"/>
              </w:rPr>
              <w:t>实际完成情况</w:t>
            </w:r>
          </w:p>
        </w:tc>
      </w:tr>
      <w:tr w14:paraId="43F5F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C7D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4F5F7">
            <w:pPr>
              <w:jc w:val="both"/>
            </w:pPr>
            <w:r>
              <w:rPr>
                <w:rFonts w:ascii="宋体" w:hAnsi="宋体" w:eastAsia="宋体"/>
                <w:sz w:val="16"/>
              </w:rPr>
              <w:t>项目计划资金263.25万元。引导和支持农户参加农业保险，林果投保面积覆盖率65%以上，不断扩大农业保险覆盖面和风险保障水平，逐步建立市场化的农业生产风险防范化解机制，稳定农业生产，保障农户收入。受益投保农户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B13669">
            <w:pPr>
              <w:jc w:val="both"/>
            </w:pPr>
            <w:r>
              <w:rPr>
                <w:rFonts w:hint="eastAsia" w:ascii="宋体" w:hAnsi="宋体"/>
                <w:sz w:val="16"/>
                <w:lang w:eastAsia="zh-CN"/>
              </w:rPr>
              <w:t>截至2024</w:t>
            </w:r>
            <w:r>
              <w:rPr>
                <w:rFonts w:ascii="宋体" w:hAnsi="宋体" w:eastAsia="宋体"/>
                <w:sz w:val="16"/>
              </w:rPr>
              <w:t>年12月31日，项目实际支付183.42万元，完成了指导和支持农户参加农业保险，林果投保面积覆盖率65%以上，不断扩大农业保险覆盖面和风险保障水平，逐步建立市场化的农业生产风险防范化解机制，有效降低农业生产风险，保障农户收入。</w:t>
            </w:r>
          </w:p>
        </w:tc>
      </w:tr>
      <w:tr w14:paraId="48FF79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BD4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28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1F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CE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06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F7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DE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D9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B1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8C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87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924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F2FBA">
            <w:pPr>
              <w:jc w:val="center"/>
            </w:pPr>
            <w:r>
              <w:rPr>
                <w:rFonts w:ascii="宋体" w:hAnsi="宋体" w:eastAsia="宋体"/>
                <w:sz w:val="16"/>
              </w:rPr>
              <w:t>偏差原因分析及改进措施</w:t>
            </w:r>
          </w:p>
        </w:tc>
      </w:tr>
      <w:tr w14:paraId="11894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3A9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2C50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7D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F166">
            <w:pPr>
              <w:jc w:val="center"/>
            </w:pPr>
            <w:r>
              <w:rPr>
                <w:rFonts w:ascii="宋体" w:hAnsi="宋体" w:eastAsia="宋体"/>
                <w:sz w:val="16"/>
              </w:rPr>
              <w:t>林果投保面积覆盖率（%）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2AE8">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3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84B7">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1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D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1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7974">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E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261E0">
            <w:pPr>
              <w:jc w:val="center"/>
            </w:pPr>
          </w:p>
        </w:tc>
      </w:tr>
      <w:tr w14:paraId="7F4BF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FE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66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12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2ECC">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E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6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7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24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9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6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6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89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C34F">
            <w:pPr>
              <w:jc w:val="center"/>
            </w:pPr>
          </w:p>
        </w:tc>
      </w:tr>
      <w:tr w14:paraId="0F563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48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CA9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900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0531">
            <w:pPr>
              <w:jc w:val="center"/>
            </w:pPr>
            <w:r>
              <w:rPr>
                <w:rFonts w:ascii="宋体" w:hAnsi="宋体" w:eastAsia="宋体"/>
                <w:sz w:val="16"/>
              </w:rPr>
              <w:t>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A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F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5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2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3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0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5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3E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40CCE">
            <w:pPr>
              <w:jc w:val="center"/>
            </w:pPr>
            <w:r>
              <w:rPr>
                <w:rFonts w:ascii="宋体" w:hAnsi="宋体" w:eastAsia="宋体"/>
                <w:sz w:val="16"/>
              </w:rPr>
              <w:t>无</w:t>
            </w:r>
          </w:p>
        </w:tc>
      </w:tr>
      <w:tr w14:paraId="6F980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C6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B1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BD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45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DBF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5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529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B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B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8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F77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7A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1EC4">
            <w:pPr>
              <w:jc w:val="center"/>
            </w:pPr>
          </w:p>
        </w:tc>
      </w:tr>
      <w:tr w14:paraId="0F04A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C6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40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77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F830">
            <w:pPr>
              <w:jc w:val="center"/>
            </w:pPr>
            <w:r>
              <w:rPr>
                <w:rFonts w:ascii="宋体" w:hAnsi="宋体" w:eastAsia="宋体"/>
                <w:sz w:val="16"/>
              </w:rPr>
              <w:t>农业保险保费补贴资金（万元）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3802">
            <w:pPr>
              <w:jc w:val="center"/>
            </w:pPr>
            <w:r>
              <w:rPr>
                <w:rFonts w:ascii="宋体" w:hAnsi="宋体" w:eastAsia="宋体"/>
                <w:sz w:val="16"/>
              </w:rPr>
              <w:t>&lt;=263.25万元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7C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069A">
            <w:pPr>
              <w:jc w:val="center"/>
            </w:pPr>
            <w:r>
              <w:rPr>
                <w:rFonts w:ascii="宋体" w:hAnsi="宋体" w:eastAsia="宋体"/>
                <w:sz w:val="16"/>
              </w:rPr>
              <w:t>=1275万元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97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8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CE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6997">
            <w:pPr>
              <w:jc w:val="center"/>
            </w:pPr>
            <w:r>
              <w:rPr>
                <w:rFonts w:ascii="宋体" w:hAnsi="宋体" w:eastAsia="宋体"/>
                <w:sz w:val="16"/>
              </w:rPr>
              <w:t>=183.42万元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F45C">
            <w:pPr>
              <w:jc w:val="center"/>
            </w:pPr>
            <w:r>
              <w:rPr>
                <w:rFonts w:ascii="宋体" w:hAnsi="宋体" w:eastAsia="宋体"/>
                <w:sz w:val="16"/>
              </w:rPr>
              <w:t>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BAF6">
            <w:pPr>
              <w:jc w:val="center"/>
            </w:pPr>
            <w:r>
              <w:rPr>
                <w:rFonts w:ascii="宋体" w:hAnsi="宋体" w:eastAsia="宋体"/>
                <w:sz w:val="16"/>
              </w:rPr>
              <w:t>偏差原因：投保户对项目实施都很满意：改进措施：加强年初预算编制管理</w:t>
            </w:r>
          </w:p>
        </w:tc>
      </w:tr>
      <w:tr w14:paraId="2E487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1B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0F7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C05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2FF1">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0ED9">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2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C8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1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2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3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16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5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6EB3">
            <w:pPr>
              <w:jc w:val="center"/>
            </w:pPr>
          </w:p>
        </w:tc>
      </w:tr>
      <w:tr w14:paraId="5E360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3C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8C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B0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72C9">
            <w:pPr>
              <w:jc w:val="center"/>
            </w:pPr>
            <w:r>
              <w:rPr>
                <w:rFonts w:ascii="宋体" w:hAnsi="宋体" w:eastAsia="宋体"/>
                <w:sz w:val="16"/>
              </w:rPr>
              <w:t>经办机构县直分支机构覆盖率（%）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4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99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A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3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7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F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1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90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D9E6B">
            <w:pPr>
              <w:jc w:val="center"/>
            </w:pPr>
          </w:p>
        </w:tc>
      </w:tr>
      <w:tr w14:paraId="6F887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26C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CC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A5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BE7A">
            <w:pPr>
              <w:jc w:val="center"/>
            </w:pPr>
            <w:r>
              <w:rPr>
                <w:rFonts w:ascii="宋体" w:hAnsi="宋体" w:eastAsia="宋体"/>
                <w:sz w:val="16"/>
              </w:rPr>
              <w:t>受益投保农户满意度（%）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C7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1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E8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34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3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0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79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0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9CEF">
            <w:pPr>
              <w:jc w:val="center"/>
            </w:pPr>
            <w:r>
              <w:rPr>
                <w:rFonts w:ascii="宋体" w:hAnsi="宋体" w:eastAsia="宋体"/>
                <w:sz w:val="16"/>
              </w:rPr>
              <w:t>偏差原因：实际保费支付183.42万元，存在结余资金；改进措施：结余资金申请退库。</w:t>
            </w:r>
          </w:p>
        </w:tc>
      </w:tr>
      <w:tr w14:paraId="1D9F457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30D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EE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CE4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07D6">
            <w:pPr>
              <w:jc w:val="center"/>
            </w:pPr>
            <w:r>
              <w:rPr>
                <w:rFonts w:ascii="宋体" w:hAnsi="宋体" w:eastAsia="宋体"/>
                <w:sz w:val="16"/>
              </w:rPr>
              <w:t>77.27分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A1AA15"/>
        </w:tc>
      </w:tr>
    </w:tbl>
    <w:p w14:paraId="667A47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33ABA2FC">
        <w:tblPrEx>
          <w:tblCellMar>
            <w:top w:w="0" w:type="dxa"/>
            <w:left w:w="108" w:type="dxa"/>
            <w:bottom w:w="0" w:type="dxa"/>
            <w:right w:w="108" w:type="dxa"/>
          </w:tblCellMar>
        </w:tblPrEx>
        <w:tc>
          <w:tcPr>
            <w:tcW w:w="8848" w:type="dxa"/>
            <w:gridSpan w:val="14"/>
            <w:vAlign w:val="center"/>
          </w:tcPr>
          <w:p w14:paraId="40B6D940">
            <w:pPr>
              <w:jc w:val="center"/>
            </w:pPr>
            <w:r>
              <w:rPr>
                <w:rFonts w:ascii="宋体" w:hAnsi="宋体" w:eastAsia="宋体"/>
                <w:sz w:val="24"/>
              </w:rPr>
              <w:t>项目支出绩效自评表</w:t>
            </w:r>
          </w:p>
        </w:tc>
      </w:tr>
      <w:tr w14:paraId="1B21642D">
        <w:tblPrEx>
          <w:tblCellMar>
            <w:top w:w="0" w:type="dxa"/>
            <w:left w:w="108" w:type="dxa"/>
            <w:bottom w:w="0" w:type="dxa"/>
            <w:right w:w="108" w:type="dxa"/>
          </w:tblCellMar>
        </w:tblPrEx>
        <w:tc>
          <w:tcPr>
            <w:tcW w:w="8848" w:type="dxa"/>
            <w:gridSpan w:val="14"/>
            <w:vAlign w:val="center"/>
          </w:tcPr>
          <w:p w14:paraId="206F2686">
            <w:pPr>
              <w:jc w:val="center"/>
            </w:pPr>
            <w:r>
              <w:rPr>
                <w:rFonts w:ascii="宋体" w:hAnsi="宋体" w:eastAsia="宋体"/>
                <w:sz w:val="24"/>
              </w:rPr>
              <w:t>(2024年度)</w:t>
            </w:r>
          </w:p>
        </w:tc>
      </w:tr>
      <w:tr w14:paraId="78B12B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12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2CA731">
            <w:pPr>
              <w:jc w:val="center"/>
            </w:pPr>
            <w:r>
              <w:rPr>
                <w:rFonts w:ascii="宋体" w:hAnsi="宋体" w:eastAsia="宋体"/>
                <w:sz w:val="16"/>
              </w:rPr>
              <w:t>叶城县核桃产业质量创新提升建设项目</w:t>
            </w:r>
          </w:p>
        </w:tc>
      </w:tr>
      <w:tr w14:paraId="317700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FD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75954">
            <w:pPr>
              <w:jc w:val="center"/>
            </w:pPr>
            <w:r>
              <w:rPr>
                <w:rFonts w:ascii="宋体" w:hAnsi="宋体" w:eastAsia="宋体"/>
                <w:sz w:val="16"/>
              </w:rPr>
              <w:t>叶城县核桃产业化发展中心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64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73B5CE">
            <w:pPr>
              <w:jc w:val="center"/>
            </w:pPr>
            <w:r>
              <w:rPr>
                <w:rFonts w:ascii="宋体" w:hAnsi="宋体" w:eastAsia="宋体"/>
                <w:sz w:val="16"/>
              </w:rPr>
              <w:t>叶城县核桃产业化发展中心</w:t>
            </w:r>
          </w:p>
        </w:tc>
      </w:tr>
      <w:tr w14:paraId="1B0D29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852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D75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91E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A8B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5A1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FF9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95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95E5">
            <w:pPr>
              <w:jc w:val="center"/>
            </w:pPr>
            <w:r>
              <w:rPr>
                <w:rFonts w:ascii="宋体" w:hAnsi="宋体" w:eastAsia="宋体"/>
                <w:sz w:val="16"/>
              </w:rPr>
              <w:t>得分</w:t>
            </w:r>
          </w:p>
        </w:tc>
      </w:tr>
      <w:tr w14:paraId="4A6EF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841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37D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6FE1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CB9C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A70A4">
            <w:pPr>
              <w:jc w:val="center"/>
            </w:pPr>
            <w:r>
              <w:rPr>
                <w:rFonts w:ascii="宋体" w:hAnsi="宋体" w:eastAsia="宋体"/>
                <w:sz w:val="16"/>
              </w:rPr>
              <w:t>139.02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D6E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D27E">
            <w:pPr>
              <w:jc w:val="center"/>
            </w:pPr>
            <w:r>
              <w:rPr>
                <w:rFonts w:ascii="宋体" w:hAnsi="宋体" w:eastAsia="宋体"/>
                <w:sz w:val="16"/>
              </w:rPr>
              <w:t>69.5%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C80A">
            <w:pPr>
              <w:jc w:val="center"/>
            </w:pPr>
            <w:r>
              <w:rPr>
                <w:rFonts w:ascii="宋体" w:hAnsi="宋体" w:eastAsia="宋体"/>
                <w:sz w:val="16"/>
              </w:rPr>
              <w:t>2.38分</w:t>
            </w:r>
          </w:p>
        </w:tc>
      </w:tr>
      <w:tr w14:paraId="050FC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83C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F7D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011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D0D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75E4">
            <w:pPr>
              <w:jc w:val="center"/>
            </w:pPr>
            <w:r>
              <w:rPr>
                <w:rFonts w:ascii="宋体" w:hAnsi="宋体" w:eastAsia="宋体"/>
                <w:sz w:val="16"/>
              </w:rPr>
              <w:t>139.02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C56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10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38D7">
            <w:pPr>
              <w:jc w:val="center"/>
            </w:pPr>
            <w:r>
              <w:rPr>
                <w:rFonts w:ascii="宋体" w:hAnsi="宋体" w:eastAsia="宋体"/>
                <w:sz w:val="16"/>
              </w:rPr>
              <w:t>—</w:t>
            </w:r>
          </w:p>
        </w:tc>
      </w:tr>
      <w:tr w14:paraId="54764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24E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AD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F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5CE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D66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AC2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69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2104">
            <w:pPr>
              <w:jc w:val="center"/>
            </w:pPr>
            <w:r>
              <w:rPr>
                <w:rFonts w:ascii="宋体" w:hAnsi="宋体" w:eastAsia="宋体"/>
                <w:sz w:val="16"/>
              </w:rPr>
              <w:t>—</w:t>
            </w:r>
          </w:p>
        </w:tc>
      </w:tr>
      <w:tr w14:paraId="430EBA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F09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6138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5939D8">
            <w:pPr>
              <w:jc w:val="center"/>
            </w:pPr>
            <w:r>
              <w:rPr>
                <w:rFonts w:ascii="宋体" w:hAnsi="宋体" w:eastAsia="宋体"/>
                <w:sz w:val="16"/>
              </w:rPr>
              <w:t>实际完成情况</w:t>
            </w:r>
          </w:p>
        </w:tc>
      </w:tr>
      <w:tr w14:paraId="0C0E3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BDC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EB66B">
            <w:pPr>
              <w:jc w:val="both"/>
            </w:pPr>
            <w:r>
              <w:rPr>
                <w:rFonts w:ascii="宋体" w:hAnsi="宋体" w:eastAsia="宋体"/>
                <w:sz w:val="16"/>
              </w:rPr>
              <w:t>项目总投资200万元，主要用于选育核桃优系或新品种1-2项，建立良种核桃富根壮苗培育技术1项；初步建立核桃快速无损营养诊断技术1项，通过精准施肥技术示范应用，实现减肥10%、增产10%、增效10%；完成核桃深加工新产品开发1项，完成加工工艺创新1项；研发核桃田间专用生产机械1-2项，完成实用新型专利申报1-2项，核桃全程机械化率提高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BBBA1">
            <w:pPr>
              <w:jc w:val="both"/>
            </w:pPr>
            <w:r>
              <w:rPr>
                <w:rFonts w:hint="eastAsia" w:ascii="宋体" w:hAnsi="宋体"/>
                <w:sz w:val="16"/>
                <w:lang w:eastAsia="zh-CN"/>
              </w:rPr>
              <w:t>截至2024</w:t>
            </w:r>
            <w:r>
              <w:rPr>
                <w:rFonts w:ascii="宋体" w:hAnsi="宋体" w:eastAsia="宋体"/>
                <w:sz w:val="16"/>
              </w:rPr>
              <w:t>年12月31日，项目总支出139.02万元，主要完成了选育核桃优系或新品种1项，建立良种核桃富根壮苗培育技术1项；初步建立核桃快速无损营养诊断技术1项，通过精准施肥技术示范应用，实现减肥10%、增产10%、增效10%；完成核桃深加工新产品开发1项，完成加工工艺创新1项；研发核桃田间专用生产机械1-2项，完成实用新型专利申报1-2项，核桃全程机械化率提高5%。</w:t>
            </w:r>
          </w:p>
        </w:tc>
      </w:tr>
      <w:tr w14:paraId="17878B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A7C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E6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F2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B5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2C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46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9E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6A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67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DD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97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20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B926">
            <w:pPr>
              <w:jc w:val="center"/>
            </w:pPr>
            <w:r>
              <w:rPr>
                <w:rFonts w:ascii="宋体" w:hAnsi="宋体" w:eastAsia="宋体"/>
                <w:sz w:val="16"/>
              </w:rPr>
              <w:t>偏差原因分析及改进措施</w:t>
            </w:r>
          </w:p>
        </w:tc>
      </w:tr>
      <w:tr w14:paraId="1548D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AD0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A26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9D8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A810">
            <w:pPr>
              <w:jc w:val="center"/>
            </w:pPr>
            <w:r>
              <w:rPr>
                <w:rFonts w:ascii="宋体" w:hAnsi="宋体" w:eastAsia="宋体"/>
                <w:sz w:val="16"/>
              </w:rPr>
              <w:t>完成实用新型专利申报（项）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D487">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1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6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D3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A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1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76A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FF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E9A7D">
            <w:pPr>
              <w:jc w:val="center"/>
            </w:pPr>
          </w:p>
        </w:tc>
      </w:tr>
      <w:tr w14:paraId="366B2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B2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49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95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98CB">
            <w:pPr>
              <w:jc w:val="center"/>
            </w:pPr>
            <w:r>
              <w:rPr>
                <w:rFonts w:ascii="宋体" w:hAnsi="宋体" w:eastAsia="宋体"/>
                <w:sz w:val="16"/>
              </w:rPr>
              <w:t>建立良种核桃富根壮苗培育技术（项）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A204">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B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FA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EF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6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1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A52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E8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12A0F">
            <w:pPr>
              <w:jc w:val="center"/>
            </w:pPr>
          </w:p>
        </w:tc>
      </w:tr>
      <w:tr w14:paraId="10A26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09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0B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3A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08AF">
            <w:pPr>
              <w:jc w:val="center"/>
            </w:pPr>
            <w:r>
              <w:rPr>
                <w:rFonts w:ascii="宋体" w:hAnsi="宋体" w:eastAsia="宋体"/>
                <w:sz w:val="16"/>
              </w:rPr>
              <w:t>建立核桃快速无损营养诊断技术（项）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5BC9">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E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5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28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2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F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1BD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22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8773">
            <w:pPr>
              <w:jc w:val="center"/>
            </w:pPr>
          </w:p>
        </w:tc>
      </w:tr>
      <w:tr w14:paraId="560C9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1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E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50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98D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40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B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6D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26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2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C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B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34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3921">
            <w:pPr>
              <w:jc w:val="center"/>
            </w:pPr>
          </w:p>
        </w:tc>
      </w:tr>
      <w:tr w14:paraId="4A620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59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ADC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A7A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4A5D">
            <w:pPr>
              <w:jc w:val="center"/>
            </w:pPr>
            <w:r>
              <w:rPr>
                <w:rFonts w:ascii="宋体" w:hAnsi="宋体" w:eastAsia="宋体"/>
                <w:sz w:val="16"/>
              </w:rPr>
              <w:t>项目开工时间(年/月）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B633">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E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F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F3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D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C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E0F7">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6B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2FD3B">
            <w:pPr>
              <w:jc w:val="center"/>
            </w:pPr>
          </w:p>
        </w:tc>
      </w:tr>
      <w:tr w14:paraId="41759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49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0B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DE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E514">
            <w:pPr>
              <w:jc w:val="center"/>
            </w:pPr>
            <w:r>
              <w:rPr>
                <w:rFonts w:ascii="宋体" w:hAnsi="宋体" w:eastAsia="宋体"/>
                <w:sz w:val="16"/>
              </w:rPr>
              <w:t>项目完工时间(年/月）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9333">
            <w:pPr>
              <w:jc w:val="center"/>
            </w:pPr>
            <w:r>
              <w:rPr>
                <w:rFonts w:ascii="宋体" w:hAnsi="宋体" w:eastAsia="宋体"/>
                <w:sz w:val="16"/>
              </w:rPr>
              <w:t>2025年8月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5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A8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CE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A7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0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BE6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41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937D1">
            <w:pPr>
              <w:jc w:val="center"/>
            </w:pPr>
            <w:r>
              <w:rPr>
                <w:rFonts w:ascii="宋体" w:hAnsi="宋体" w:eastAsia="宋体"/>
                <w:sz w:val="16"/>
              </w:rPr>
              <w:t>偏差原因：跨年项目，因没能按时完工。整改措施：确保按计划完成项目</w:t>
            </w:r>
          </w:p>
        </w:tc>
      </w:tr>
      <w:tr w14:paraId="65EA4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28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20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5E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2AF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5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E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A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E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A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8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9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39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972F">
            <w:pPr>
              <w:jc w:val="center"/>
            </w:pPr>
          </w:p>
        </w:tc>
      </w:tr>
      <w:tr w14:paraId="41A58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B6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71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2C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DA00">
            <w:pPr>
              <w:jc w:val="center"/>
            </w:pPr>
            <w:r>
              <w:rPr>
                <w:rFonts w:ascii="宋体" w:hAnsi="宋体" w:eastAsia="宋体"/>
                <w:sz w:val="16"/>
              </w:rPr>
              <w:t>项目总投资（万元）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EBD8">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9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0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EE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4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86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A265">
            <w:pPr>
              <w:jc w:val="center"/>
            </w:pPr>
            <w:r>
              <w:rPr>
                <w:rFonts w:ascii="宋体" w:hAnsi="宋体" w:eastAsia="宋体"/>
                <w:sz w:val="16"/>
              </w:rPr>
              <w:t>=139.02万元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4ED0">
            <w:pPr>
              <w:jc w:val="center"/>
            </w:pPr>
            <w:r>
              <w:rPr>
                <w:rFonts w:ascii="宋体" w:hAnsi="宋体" w:eastAsia="宋体"/>
                <w:sz w:val="16"/>
              </w:rPr>
              <w:t>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9500">
            <w:pPr>
              <w:jc w:val="center"/>
            </w:pPr>
            <w:r>
              <w:rPr>
                <w:rFonts w:ascii="宋体" w:hAnsi="宋体" w:eastAsia="宋体"/>
                <w:sz w:val="16"/>
              </w:rPr>
              <w:t>偏差原因：跨年项目，按合同约定付款。整改措施：按照合同约定及时申请资金。</w:t>
            </w:r>
          </w:p>
        </w:tc>
      </w:tr>
      <w:tr w14:paraId="11382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17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62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F8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444E">
            <w:pPr>
              <w:jc w:val="center"/>
            </w:pPr>
            <w:r>
              <w:rPr>
                <w:rFonts w:ascii="宋体" w:hAnsi="宋体" w:eastAsia="宋体"/>
                <w:sz w:val="16"/>
              </w:rPr>
              <w:t>推进标准化管理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DE68">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D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F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53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58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18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FB13">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AE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F041D">
            <w:pPr>
              <w:jc w:val="center"/>
            </w:pPr>
          </w:p>
        </w:tc>
      </w:tr>
      <w:tr w14:paraId="772B5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3C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03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4D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1DB0">
            <w:pPr>
              <w:jc w:val="center"/>
            </w:pPr>
            <w:r>
              <w:rPr>
                <w:rFonts w:ascii="宋体" w:hAnsi="宋体" w:eastAsia="宋体"/>
                <w:sz w:val="16"/>
              </w:rPr>
              <w:t>受益脱贫户人口满意度（%）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0C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8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1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D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4F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25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3C5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7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1C8F5">
            <w:pPr>
              <w:jc w:val="center"/>
            </w:pPr>
          </w:p>
        </w:tc>
      </w:tr>
      <w:tr w14:paraId="2E1B54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EF5E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92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55A5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17B3">
            <w:pPr>
              <w:jc w:val="center"/>
            </w:pPr>
            <w:r>
              <w:rPr>
                <w:rFonts w:ascii="宋体" w:hAnsi="宋体" w:eastAsia="宋体"/>
                <w:sz w:val="16"/>
              </w:rPr>
              <w:t>72.14分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03E43C"/>
        </w:tc>
      </w:tr>
    </w:tbl>
    <w:p w14:paraId="1EF6A522">
      <w:r>
        <w:br w:type="page"/>
      </w:r>
    </w:p>
    <w:p w14:paraId="630AFB96">
      <w:pPr>
        <w:spacing w:line="640" w:lineRule="exact"/>
        <w:ind w:firstLine="640"/>
        <w:jc w:val="both"/>
        <w:outlineLvl w:val="2"/>
      </w:pPr>
      <w:r>
        <w:rPr>
          <w:rFonts w:ascii="黑体" w:hAnsi="黑体" w:eastAsia="黑体"/>
          <w:sz w:val="32"/>
        </w:rPr>
        <w:t>十二、其他需说明的事项</w:t>
      </w:r>
    </w:p>
    <w:p w14:paraId="46313154">
      <w:pPr>
        <w:spacing w:line="580" w:lineRule="exact"/>
        <w:ind w:firstLine="640"/>
        <w:jc w:val="both"/>
      </w:pPr>
      <w:r>
        <w:rPr>
          <w:rFonts w:ascii="仿宋_GB2312" w:hAnsi="仿宋_GB2312" w:eastAsia="仿宋_GB2312"/>
          <w:b w:val="0"/>
          <w:sz w:val="32"/>
        </w:rPr>
        <w:t>本单位无其他需说明的事项。</w:t>
      </w:r>
    </w:p>
    <w:p w14:paraId="4B5F7276">
      <w:r>
        <w:br w:type="page"/>
      </w:r>
    </w:p>
    <w:p w14:paraId="0E144681">
      <w:pPr>
        <w:spacing w:line="240" w:lineRule="auto"/>
        <w:jc w:val="center"/>
        <w:outlineLvl w:val="1"/>
      </w:pPr>
      <w:r>
        <w:rPr>
          <w:rFonts w:ascii="黑体" w:hAnsi="黑体" w:eastAsia="黑体"/>
          <w:sz w:val="32"/>
        </w:rPr>
        <w:t>第三部分 专业名词解释</w:t>
      </w:r>
    </w:p>
    <w:p w14:paraId="626336D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E07DAA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904CF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E153DF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6D1D7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2FC8EA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6860C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3B64F2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ED4F2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14EDC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E4B5E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53567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0966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C851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86447BB">
      <w:r>
        <w:br w:type="page"/>
      </w:r>
    </w:p>
    <w:p w14:paraId="15F68A2A">
      <w:pPr>
        <w:spacing w:line="240" w:lineRule="auto"/>
        <w:jc w:val="center"/>
        <w:outlineLvl w:val="1"/>
      </w:pPr>
      <w:r>
        <w:rPr>
          <w:rFonts w:ascii="黑体" w:hAnsi="黑体" w:eastAsia="黑体"/>
          <w:sz w:val="32"/>
        </w:rPr>
        <w:t>第四部分 部门决算报表（见附表）</w:t>
      </w:r>
    </w:p>
    <w:p w14:paraId="6F038149">
      <w:pPr>
        <w:spacing w:line="240" w:lineRule="auto"/>
        <w:ind w:firstLine="640"/>
        <w:jc w:val="both"/>
      </w:pPr>
      <w:r>
        <w:rPr>
          <w:rFonts w:ascii="仿宋_GB2312" w:hAnsi="仿宋_GB2312" w:eastAsia="仿宋_GB2312"/>
          <w:b w:val="0"/>
          <w:sz w:val="32"/>
        </w:rPr>
        <w:t>一、《收入支出决算总表》</w:t>
      </w:r>
    </w:p>
    <w:p w14:paraId="75D4F7F8">
      <w:pPr>
        <w:spacing w:line="240" w:lineRule="auto"/>
        <w:ind w:firstLine="640"/>
        <w:jc w:val="both"/>
      </w:pPr>
      <w:r>
        <w:rPr>
          <w:rFonts w:ascii="仿宋_GB2312" w:hAnsi="仿宋_GB2312" w:eastAsia="仿宋_GB2312"/>
          <w:b w:val="0"/>
          <w:sz w:val="32"/>
        </w:rPr>
        <w:t>二、《收入决算表》</w:t>
      </w:r>
    </w:p>
    <w:p w14:paraId="2275B5CC">
      <w:pPr>
        <w:spacing w:line="240" w:lineRule="auto"/>
        <w:ind w:firstLine="640"/>
        <w:jc w:val="both"/>
      </w:pPr>
      <w:r>
        <w:rPr>
          <w:rFonts w:ascii="仿宋_GB2312" w:hAnsi="仿宋_GB2312" w:eastAsia="仿宋_GB2312"/>
          <w:b w:val="0"/>
          <w:sz w:val="32"/>
        </w:rPr>
        <w:t>三、《支出决算表》</w:t>
      </w:r>
    </w:p>
    <w:p w14:paraId="021AB9D2">
      <w:pPr>
        <w:spacing w:line="240" w:lineRule="auto"/>
        <w:ind w:firstLine="640"/>
        <w:jc w:val="both"/>
      </w:pPr>
      <w:r>
        <w:rPr>
          <w:rFonts w:ascii="仿宋_GB2312" w:hAnsi="仿宋_GB2312" w:eastAsia="仿宋_GB2312"/>
          <w:b w:val="0"/>
          <w:sz w:val="32"/>
        </w:rPr>
        <w:t>四、《财政拨款收入支出决算总表》</w:t>
      </w:r>
    </w:p>
    <w:p w14:paraId="511B296B">
      <w:pPr>
        <w:spacing w:line="240" w:lineRule="auto"/>
        <w:ind w:firstLine="640"/>
        <w:jc w:val="both"/>
      </w:pPr>
      <w:r>
        <w:rPr>
          <w:rFonts w:ascii="仿宋_GB2312" w:hAnsi="仿宋_GB2312" w:eastAsia="仿宋_GB2312"/>
          <w:b w:val="0"/>
          <w:sz w:val="32"/>
        </w:rPr>
        <w:t>五、《一般公共预算财政拨款支出决算表》</w:t>
      </w:r>
    </w:p>
    <w:p w14:paraId="6E73EAC0">
      <w:pPr>
        <w:spacing w:line="240" w:lineRule="auto"/>
        <w:ind w:firstLine="640"/>
        <w:jc w:val="both"/>
      </w:pPr>
      <w:r>
        <w:rPr>
          <w:rFonts w:ascii="仿宋_GB2312" w:hAnsi="仿宋_GB2312" w:eastAsia="仿宋_GB2312"/>
          <w:b w:val="0"/>
          <w:sz w:val="32"/>
        </w:rPr>
        <w:t>六、《一般公共预算财政拨款基本支出决算表》</w:t>
      </w:r>
    </w:p>
    <w:p w14:paraId="701DBD47">
      <w:pPr>
        <w:spacing w:line="240" w:lineRule="auto"/>
        <w:ind w:firstLine="640"/>
        <w:jc w:val="both"/>
      </w:pPr>
      <w:r>
        <w:rPr>
          <w:rFonts w:ascii="仿宋_GB2312" w:hAnsi="仿宋_GB2312" w:eastAsia="仿宋_GB2312"/>
          <w:b w:val="0"/>
          <w:sz w:val="32"/>
        </w:rPr>
        <w:t>七、《政府性基金预算财政拨款收入支出决算表》</w:t>
      </w:r>
    </w:p>
    <w:p w14:paraId="6F94F44B">
      <w:pPr>
        <w:spacing w:line="240" w:lineRule="auto"/>
        <w:ind w:firstLine="640"/>
        <w:jc w:val="both"/>
      </w:pPr>
      <w:r>
        <w:rPr>
          <w:rFonts w:ascii="仿宋_GB2312" w:hAnsi="仿宋_GB2312" w:eastAsia="仿宋_GB2312"/>
          <w:b w:val="0"/>
          <w:sz w:val="32"/>
        </w:rPr>
        <w:t>八、《国有资本经营预算财政拨款收入支出决算表》</w:t>
      </w:r>
    </w:p>
    <w:p w14:paraId="77AEAF5A">
      <w:pPr>
        <w:spacing w:line="240" w:lineRule="auto"/>
        <w:ind w:firstLine="640"/>
        <w:jc w:val="both"/>
      </w:pPr>
      <w:r>
        <w:rPr>
          <w:rFonts w:ascii="仿宋_GB2312" w:hAnsi="仿宋_GB2312" w:eastAsia="仿宋_GB2312"/>
          <w:b w:val="0"/>
          <w:sz w:val="32"/>
        </w:rPr>
        <w:t>九、《财政拨款“三公”经费支出决算表》</w:t>
      </w:r>
    </w:p>
    <w:p w14:paraId="53A2F62D">
      <w:pPr>
        <w:spacing w:line="240" w:lineRule="auto"/>
        <w:ind w:firstLine="640"/>
        <w:jc w:val="both"/>
      </w:pPr>
    </w:p>
    <w:p w14:paraId="19AB59BF">
      <w:pPr>
        <w:spacing w:line="240" w:lineRule="auto"/>
        <w:ind w:firstLine="640"/>
        <w:jc w:val="both"/>
      </w:pPr>
    </w:p>
    <w:p w14:paraId="01EDC8B9">
      <w:pPr>
        <w:spacing w:line="240" w:lineRule="auto"/>
        <w:ind w:firstLine="640"/>
        <w:jc w:val="both"/>
      </w:pPr>
    </w:p>
    <w:p w14:paraId="61C22B43">
      <w:pPr>
        <w:spacing w:line="240" w:lineRule="auto"/>
        <w:ind w:firstLine="640"/>
        <w:jc w:val="both"/>
      </w:pPr>
    </w:p>
    <w:p w14:paraId="406C592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9E03F8"/>
    <w:rsid w:val="65D97752"/>
    <w:rsid w:val="664C500C"/>
    <w:rsid w:val="67D111AB"/>
    <w:rsid w:val="68DB0208"/>
    <w:rsid w:val="68DF36D5"/>
    <w:rsid w:val="69846A0E"/>
    <w:rsid w:val="69AD798C"/>
    <w:rsid w:val="6B68175F"/>
    <w:rsid w:val="6B8B5C99"/>
    <w:rsid w:val="6CA7198F"/>
    <w:rsid w:val="6D8919A8"/>
    <w:rsid w:val="6E0F7A08"/>
    <w:rsid w:val="6E22495A"/>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5345</Words>
  <Characters>6219</Characters>
  <Lines>0</Lines>
  <Paragraphs>0</Paragraphs>
  <TotalTime>4</TotalTime>
  <ScaleCrop>false</ScaleCrop>
  <LinksUpToDate>false</LinksUpToDate>
  <CharactersWithSpaces>6227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2025-09-29T10:54:15Z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