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年度新疆喀什地区叶城县交通局部门决算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、贯彻执行国家有关交通工作的法律法规、方针和政策；制定并组织实施全县交通行业发展规划、计划；制定全县交通运输发展战略。</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、负责全县交通基础设施建设、道路运输、市场管理、行政管理、行政执法和行政复议，监督交通基础设施建设资金的管理、使用。</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、负责全县公路通，运政、路政管理，依法保护县道公路产权、培育和发展交通运输市场；负责道路运输管理工作；负责对重点物资运输和紧急客货运输进行调整。</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、负责交通质量、技术监督工作，对县管公路的工程质量进行强制性监督和管理；抓好公路、桥梁设计的整体质量，规范公路建设技术管理。负责全县交通行业安全生产和交通运输战备工作。</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、负责全县公路、水路交通行业综合统计，提供信息和咨询服务。会同有关部门研究制定交通运输行业的价格、财税、信贷、劳资等宏观调控的政策措施。</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、负责管理交通行业的教学；指导执行交通科技政策、技术标准，组织抓好交通行业精神文明和行风建设。承办县委、县人民政府和上级机关交办的其他事项。</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从决算单位构成看，新疆喀什地区叶城县交通局部门决算包括：新疆喀什地区叶城县交通局部门本级决算、所属单位决算等。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纳入新疆喀什地区叶城县交通局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新疆喀什地区叶城县交通局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100"/>
      <w:bookmarkStart w:id="5" w:name="OLE_LINK99"/>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41,370.54</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14,258.86</w:t>
      </w:r>
      <w:r>
        <w:rPr>
          <w:rFonts w:hint="eastAsia" w:ascii="仿宋_GB2312" w:eastAsia="仿宋_GB2312" w:cs="仿宋_GB2312"/>
          <w:sz w:val="32"/>
          <w:szCs w:val="32"/>
        </w:rPr>
        <w:t>万元，增长</w:t>
      </w:r>
      <w:r>
        <w:rPr>
          <w:rFonts w:ascii="仿宋_GB2312" w:eastAsia="仿宋_GB2312" w:cs="仿宋_GB2312"/>
          <w:sz w:val="32"/>
          <w:szCs w:val="32"/>
        </w:rPr>
        <w:t>52.59%</w:t>
      </w:r>
      <w:r>
        <w:rPr>
          <w:rFonts w:hint="eastAsia" w:ascii="仿宋_GB2312" w:eastAsia="仿宋_GB2312" w:cs="仿宋_GB2312"/>
          <w:sz w:val="32"/>
          <w:szCs w:val="32"/>
        </w:rPr>
        <w:t>，增加的主要原因是：农村公路项目资金、油价补贴资金增加；</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41,570.54</w:t>
      </w:r>
      <w:r>
        <w:rPr>
          <w:rFonts w:hint="eastAsia" w:ascii="仿宋_GB2312" w:eastAsia="仿宋_GB2312" w:cs="仿宋_GB2312"/>
          <w:sz w:val="32"/>
          <w:szCs w:val="32"/>
        </w:rPr>
        <w:t>万元，与上年相比，增加</w:t>
      </w:r>
      <w:r>
        <w:rPr>
          <w:rFonts w:ascii="仿宋_GB2312" w:eastAsia="仿宋_GB2312" w:cs="仿宋_GB2312"/>
          <w:sz w:val="32"/>
          <w:szCs w:val="32"/>
        </w:rPr>
        <w:t>14,548.86</w:t>
      </w:r>
      <w:r>
        <w:rPr>
          <w:rFonts w:hint="eastAsia" w:ascii="仿宋_GB2312" w:eastAsia="仿宋_GB2312" w:cs="仿宋_GB2312"/>
          <w:sz w:val="32"/>
          <w:szCs w:val="32"/>
        </w:rPr>
        <w:t>万元，增长</w:t>
      </w:r>
      <w:r>
        <w:rPr>
          <w:rFonts w:ascii="仿宋_GB2312" w:eastAsia="仿宋_GB2312" w:cs="仿宋_GB2312"/>
          <w:sz w:val="32"/>
          <w:szCs w:val="32"/>
        </w:rPr>
        <w:t>53.84%</w:t>
      </w:r>
      <w:r>
        <w:rPr>
          <w:rFonts w:hint="eastAsia" w:ascii="仿宋_GB2312" w:eastAsia="仿宋_GB2312" w:cs="仿宋_GB2312"/>
          <w:sz w:val="32"/>
          <w:szCs w:val="32"/>
        </w:rPr>
        <w:t>，增加的主要原因是：农村公路项目资金、油价补贴资金增加；</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万元，与上年相比，减少</w:t>
      </w:r>
      <w:r>
        <w:rPr>
          <w:rFonts w:ascii="仿宋_GB2312" w:eastAsia="仿宋_GB2312" w:cs="仿宋_GB2312"/>
          <w:sz w:val="32"/>
          <w:szCs w:val="32"/>
        </w:rPr>
        <w:t>200</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，减少的主要原因是：上年有农村公路项目结余资金200万元。</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41,370.54</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41,370.54</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41,370.54</w:t>
      </w:r>
      <w:r>
        <w:rPr>
          <w:rFonts w:hint="eastAsia" w:ascii="仿宋_GB2312" w:eastAsia="仿宋_GB2312" w:cs="仿宋_GB2312"/>
          <w:sz w:val="32"/>
          <w:szCs w:val="32"/>
        </w:rPr>
        <w:t>万元，预决算差异率</w:t>
      </w:r>
      <w:r>
        <w:rPr>
          <w:rFonts w:ascii="仿宋_GB2312" w:eastAsia="仿宋_GB2312" w:cs="仿宋_GB2312"/>
          <w:sz w:val="32"/>
          <w:szCs w:val="32"/>
        </w:rPr>
        <w:t>273.59%</w:t>
      </w:r>
      <w:r>
        <w:rPr>
          <w:rFonts w:hint="eastAsia" w:ascii="仿宋_GB2312" w:eastAsia="仿宋_GB2312" w:cs="仿宋_GB2312"/>
          <w:sz w:val="32"/>
          <w:szCs w:val="32"/>
        </w:rPr>
        <w:t>，差异主要原因是上级农村公路项目资金、油价补贴资金增加。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41,570.54</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148.1</w:t>
      </w:r>
      <w:r>
        <w:rPr>
          <w:rFonts w:hint="eastAsia" w:ascii="仿宋_GB2312" w:eastAsia="仿宋_GB2312" w:cs="仿宋_GB2312"/>
          <w:sz w:val="32"/>
          <w:szCs w:val="32"/>
        </w:rPr>
        <w:t>万元，占</w:t>
      </w:r>
      <w:r>
        <w:rPr>
          <w:rFonts w:ascii="仿宋_GB2312" w:eastAsia="仿宋_GB2312" w:cs="仿宋_GB2312"/>
          <w:sz w:val="32"/>
          <w:szCs w:val="32"/>
        </w:rPr>
        <w:t>0.36%</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41,422.44</w:t>
      </w:r>
      <w:r>
        <w:rPr>
          <w:rFonts w:hint="eastAsia" w:ascii="仿宋_GB2312" w:eastAsia="仿宋_GB2312" w:cs="仿宋_GB2312"/>
          <w:sz w:val="32"/>
          <w:szCs w:val="32"/>
        </w:rPr>
        <w:t>万元，占</w:t>
      </w:r>
      <w:r>
        <w:rPr>
          <w:rFonts w:ascii="仿宋_GB2312" w:eastAsia="仿宋_GB2312" w:cs="仿宋_GB2312"/>
          <w:sz w:val="32"/>
          <w:szCs w:val="32"/>
        </w:rPr>
        <w:t>99.64%</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41,570.54</w:t>
      </w:r>
      <w:r>
        <w:rPr>
          <w:rFonts w:hint="eastAsia" w:ascii="仿宋_GB2312" w:eastAsia="仿宋_GB2312" w:cs="仿宋_GB2312"/>
          <w:sz w:val="32"/>
          <w:szCs w:val="32"/>
        </w:rPr>
        <w:t>万元，预决算差异率</w:t>
      </w:r>
      <w:r>
        <w:rPr>
          <w:rFonts w:ascii="仿宋_GB2312" w:eastAsia="仿宋_GB2312" w:cs="仿宋_GB2312"/>
          <w:sz w:val="32"/>
          <w:szCs w:val="32"/>
        </w:rPr>
        <w:t>275.4%</w:t>
      </w:r>
      <w:r>
        <w:rPr>
          <w:rFonts w:hint="eastAsia" w:ascii="仿宋_GB2312" w:eastAsia="仿宋_GB2312" w:cs="仿宋_GB2312"/>
          <w:sz w:val="32"/>
          <w:szCs w:val="32"/>
        </w:rPr>
        <w:t>，差异主要原因是上级农村公路项目资金、油价补贴资金增加。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8"/>
      <w:bookmarkStart w:id="24" w:name="OLE_LINK57"/>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41,370.54</w:t>
      </w:r>
      <w:r>
        <w:rPr>
          <w:rFonts w:hint="eastAsia" w:ascii="仿宋_GB2312" w:eastAsia="仿宋_GB2312" w:cs="仿宋_GB2312"/>
          <w:sz w:val="32"/>
          <w:szCs w:val="32"/>
        </w:rPr>
        <w:t>万元，与上年相比，增加</w:t>
      </w:r>
      <w:r>
        <w:rPr>
          <w:rFonts w:ascii="仿宋_GB2312" w:eastAsia="仿宋_GB2312" w:cs="仿宋_GB2312"/>
          <w:sz w:val="32"/>
          <w:szCs w:val="32"/>
        </w:rPr>
        <w:t>15,377.86</w:t>
      </w:r>
      <w:r>
        <w:rPr>
          <w:rFonts w:hint="eastAsia" w:ascii="仿宋_GB2312" w:eastAsia="仿宋_GB2312" w:cs="仿宋_GB2312"/>
          <w:sz w:val="32"/>
          <w:szCs w:val="32"/>
        </w:rPr>
        <w:t>万元，增长</w:t>
      </w:r>
      <w:r>
        <w:rPr>
          <w:rFonts w:ascii="仿宋_GB2312" w:eastAsia="仿宋_GB2312" w:cs="仿宋_GB2312"/>
          <w:sz w:val="32"/>
          <w:szCs w:val="32"/>
        </w:rPr>
        <w:t>59.16%</w:t>
      </w:r>
      <w:r>
        <w:rPr>
          <w:rFonts w:hint="eastAsia" w:ascii="仿宋_GB2312" w:eastAsia="仿宋_GB2312" w:cs="仿宋_GB2312"/>
          <w:sz w:val="32"/>
          <w:szCs w:val="32"/>
        </w:rPr>
        <w:t>，增加的主要原因是：农村公路项目资金、油价补贴资金增加。</w:t>
      </w:r>
      <w:bookmarkEnd w:id="23"/>
      <w:bookmarkEnd w:id="24"/>
      <w:bookmarkStart w:id="26" w:name="OLE_LINK14"/>
      <w:bookmarkStart w:id="27" w:name="OLE_LINK59"/>
      <w:bookmarkStart w:id="28" w:name="OLE_LINK60"/>
      <w:r>
        <w:rPr>
          <w:rFonts w:hint="eastAsia" w:ascii="仿宋_GB2312" w:eastAsia="仿宋_GB2312" w:cs="仿宋_GB2312"/>
          <w:sz w:val="32"/>
          <w:szCs w:val="32"/>
        </w:rPr>
        <w:t>财政拨款支出</w:t>
      </w:r>
      <w:bookmarkEnd w:id="26"/>
      <w:r>
        <w:rPr>
          <w:rFonts w:ascii="仿宋_GB2312" w:eastAsia="仿宋_GB2312" w:cs="仿宋_GB2312"/>
          <w:sz w:val="32"/>
          <w:szCs w:val="32"/>
        </w:rPr>
        <w:t>41,570.54</w:t>
      </w:r>
      <w:r>
        <w:rPr>
          <w:rFonts w:hint="eastAsia" w:ascii="仿宋_GB2312" w:eastAsia="仿宋_GB2312" w:cs="仿宋_GB2312"/>
          <w:sz w:val="32"/>
          <w:szCs w:val="32"/>
        </w:rPr>
        <w:t>万元，与上年相比，增加</w:t>
      </w:r>
      <w:r>
        <w:rPr>
          <w:rFonts w:ascii="仿宋_GB2312" w:eastAsia="仿宋_GB2312" w:cs="仿宋_GB2312"/>
          <w:sz w:val="32"/>
          <w:szCs w:val="32"/>
        </w:rPr>
        <w:t>15,667.86</w:t>
      </w:r>
      <w:r>
        <w:rPr>
          <w:rFonts w:hint="eastAsia" w:ascii="仿宋_GB2312" w:eastAsia="仿宋_GB2312" w:cs="仿宋_GB2312"/>
          <w:sz w:val="32"/>
          <w:szCs w:val="32"/>
        </w:rPr>
        <w:t>万元，增长</w:t>
      </w:r>
      <w:r>
        <w:rPr>
          <w:rFonts w:ascii="仿宋_GB2312" w:eastAsia="仿宋_GB2312" w:cs="仿宋_GB2312"/>
          <w:sz w:val="32"/>
          <w:szCs w:val="32"/>
        </w:rPr>
        <w:t>60.49%</w:t>
      </w:r>
      <w:r>
        <w:rPr>
          <w:rFonts w:hint="eastAsia" w:ascii="仿宋_GB2312" w:eastAsia="仿宋_GB2312" w:cs="仿宋_GB2312"/>
          <w:sz w:val="32"/>
          <w:szCs w:val="32"/>
        </w:rPr>
        <w:t>，增加的主要原因是：农村公路项目资金、油价补贴资金增加。</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148.1</w:t>
      </w:r>
      <w:r>
        <w:rPr>
          <w:rFonts w:hint="eastAsia" w:ascii="仿宋_GB2312" w:eastAsia="仿宋_GB2312" w:cs="仿宋_GB2312"/>
          <w:sz w:val="32"/>
          <w:szCs w:val="32"/>
        </w:rPr>
        <w:t>万元，项目支出</w:t>
      </w:r>
      <w:r>
        <w:rPr>
          <w:rFonts w:ascii="仿宋_GB2312" w:eastAsia="仿宋_GB2312" w:cs="仿宋_GB2312"/>
          <w:sz w:val="32"/>
          <w:szCs w:val="32"/>
        </w:rPr>
        <w:t>41,422.44</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sz w:val="32"/>
          <w:szCs w:val="32"/>
        </w:rPr>
        <w:t>万元，与上年相比，减少</w:t>
      </w:r>
      <w:r>
        <w:rPr>
          <w:rFonts w:ascii="仿宋_GB2312" w:eastAsia="仿宋_GB2312" w:cs="仿宋_GB2312"/>
          <w:sz w:val="32"/>
          <w:szCs w:val="32"/>
        </w:rPr>
        <w:t>200</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，减少的主要原因是：农村公路项目资金2017年有结余200万元，今年无结转结余资金。</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41,370.54</w:t>
      </w:r>
      <w:r>
        <w:rPr>
          <w:rFonts w:hint="eastAsia" w:ascii="仿宋_GB2312" w:eastAsia="仿宋_GB2312" w:cs="仿宋_GB2312"/>
          <w:sz w:val="32"/>
          <w:szCs w:val="32"/>
        </w:rPr>
        <w:t>万元，预决算差异率</w:t>
      </w:r>
      <w:r>
        <w:rPr>
          <w:rFonts w:ascii="仿宋_GB2312" w:eastAsia="仿宋_GB2312" w:cs="仿宋_GB2312"/>
          <w:sz w:val="32"/>
          <w:szCs w:val="32"/>
        </w:rPr>
        <w:t>273.59%</w:t>
      </w:r>
      <w:r>
        <w:rPr>
          <w:rFonts w:hint="eastAsia" w:ascii="仿宋_GB2312" w:eastAsia="仿宋_GB2312" w:cs="仿宋_GB2312"/>
          <w:sz w:val="32"/>
          <w:szCs w:val="32"/>
        </w:rPr>
        <w:t>，差异主要原因是上级农村公路项目资金、油价补贴资金增加。</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41,570.54</w:t>
      </w:r>
      <w:r>
        <w:rPr>
          <w:rFonts w:hint="eastAsia" w:ascii="仿宋_GB2312" w:eastAsia="仿宋_GB2312" w:cs="仿宋_GB2312"/>
          <w:sz w:val="32"/>
          <w:szCs w:val="32"/>
        </w:rPr>
        <w:t>万元，预决算差异率</w:t>
      </w:r>
      <w:r>
        <w:rPr>
          <w:rFonts w:ascii="仿宋_GB2312" w:eastAsia="仿宋_GB2312" w:cs="仿宋_GB2312"/>
          <w:sz w:val="32"/>
          <w:szCs w:val="32"/>
        </w:rPr>
        <w:t>275.4%</w:t>
      </w:r>
      <w:r>
        <w:rPr>
          <w:rFonts w:hint="eastAsia" w:ascii="仿宋_GB2312" w:eastAsia="仿宋_GB2312" w:cs="仿宋_GB2312"/>
          <w:sz w:val="32"/>
          <w:szCs w:val="32"/>
        </w:rPr>
        <w:t>，差异主要原因是上级农村公路项目资金、油价补贴资金增加。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41,370.54</w:t>
      </w:r>
      <w:r>
        <w:rPr>
          <w:rFonts w:hint="eastAsia" w:ascii="仿宋_GB2312" w:eastAsia="仿宋_GB2312" w:cs="仿宋_GB2312"/>
          <w:sz w:val="32"/>
          <w:szCs w:val="32"/>
        </w:rPr>
        <w:t>万元，与上年相比，增加</w:t>
      </w:r>
      <w:r>
        <w:rPr>
          <w:rFonts w:ascii="仿宋_GB2312" w:eastAsia="仿宋_GB2312" w:cs="仿宋_GB2312"/>
          <w:sz w:val="32"/>
          <w:szCs w:val="32"/>
        </w:rPr>
        <w:t>15,377.86</w:t>
      </w:r>
      <w:r>
        <w:rPr>
          <w:rFonts w:hint="eastAsia" w:ascii="仿宋_GB2312" w:eastAsia="仿宋_GB2312" w:cs="仿宋_GB2312"/>
          <w:sz w:val="32"/>
          <w:szCs w:val="32"/>
        </w:rPr>
        <w:t>万元，增长</w:t>
      </w:r>
      <w:r>
        <w:rPr>
          <w:rFonts w:ascii="仿宋_GB2312" w:eastAsia="仿宋_GB2312" w:cs="仿宋_GB2312"/>
          <w:sz w:val="32"/>
          <w:szCs w:val="32"/>
        </w:rPr>
        <w:t>59.16%</w:t>
      </w:r>
      <w:r>
        <w:rPr>
          <w:rFonts w:hint="eastAsia" w:ascii="仿宋_GB2312" w:eastAsia="仿宋_GB2312" w:cs="仿宋_GB2312"/>
          <w:sz w:val="32"/>
          <w:szCs w:val="32"/>
        </w:rPr>
        <w:t>，增加的主要原因是：上级农村公路项目资金、油价补贴资金增加。</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41,570.54</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15,667.86</w:t>
      </w:r>
      <w:r>
        <w:rPr>
          <w:rFonts w:hint="eastAsia" w:ascii="仿宋_GB2312" w:eastAsia="仿宋_GB2312" w:cs="仿宋_GB2312"/>
          <w:sz w:val="32"/>
          <w:szCs w:val="32"/>
        </w:rPr>
        <w:t>万元，增长</w:t>
      </w:r>
      <w:r>
        <w:rPr>
          <w:rFonts w:ascii="仿宋_GB2312" w:eastAsia="仿宋_GB2312" w:cs="仿宋_GB2312"/>
          <w:sz w:val="32"/>
          <w:szCs w:val="32"/>
        </w:rPr>
        <w:t>60.49%</w:t>
      </w:r>
      <w:r>
        <w:rPr>
          <w:rFonts w:hint="eastAsia" w:ascii="仿宋_GB2312" w:eastAsia="仿宋_GB2312" w:cs="仿宋_GB2312"/>
          <w:sz w:val="32"/>
          <w:szCs w:val="32"/>
        </w:rPr>
        <w:t>，增加的主要原因是：上级农村公路项目资金、油价补贴资金增加。</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，住房保障支出</w:t>
      </w:r>
      <w:r>
        <w:rPr>
          <w:rFonts w:ascii="仿宋_GB2312" w:eastAsia="仿宋_GB2312" w:cs="仿宋_GB2312"/>
          <w:sz w:val="32"/>
          <w:szCs w:val="32"/>
        </w:rPr>
        <w:t>9.02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27,819.88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13,607.14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119.01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15.49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138.19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2.78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4,207.25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15,327.47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21,894.86</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6"/>
      <w:bookmarkStart w:id="42" w:name="OLE_LINK67"/>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41,370.54</w:t>
      </w:r>
      <w:r>
        <w:rPr>
          <w:rFonts w:hint="eastAsia" w:ascii="仿宋_GB2312" w:eastAsia="仿宋_GB2312" w:cs="仿宋_GB2312"/>
          <w:sz w:val="32"/>
          <w:szCs w:val="32"/>
        </w:rPr>
        <w:t>万元，预决算差异率</w:t>
      </w:r>
      <w:r>
        <w:rPr>
          <w:rFonts w:ascii="仿宋_GB2312" w:eastAsia="仿宋_GB2312" w:cs="仿宋_GB2312"/>
          <w:sz w:val="32"/>
          <w:szCs w:val="32"/>
        </w:rPr>
        <w:t>273.59%</w:t>
      </w:r>
      <w:r>
        <w:rPr>
          <w:rFonts w:hint="eastAsia" w:ascii="仿宋_GB2312" w:eastAsia="仿宋_GB2312" w:cs="仿宋_GB2312"/>
          <w:sz w:val="32"/>
          <w:szCs w:val="32"/>
        </w:rPr>
        <w:t>，差异主要原因是上级农村公路项目资金、油价补贴资金增加。</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11,073.67</w:t>
      </w:r>
      <w:r>
        <w:rPr>
          <w:rFonts w:hint="eastAsia" w:ascii="仿宋_GB2312" w:eastAsia="仿宋_GB2312" w:cs="仿宋_GB2312"/>
          <w:sz w:val="32"/>
          <w:szCs w:val="32"/>
        </w:rPr>
        <w:t>万元，决算数</w:t>
      </w:r>
      <w:r>
        <w:rPr>
          <w:rFonts w:ascii="仿宋_GB2312" w:eastAsia="仿宋_GB2312" w:cs="仿宋_GB2312"/>
          <w:sz w:val="32"/>
          <w:szCs w:val="32"/>
        </w:rPr>
        <w:t>41,570.54</w:t>
      </w:r>
      <w:r>
        <w:rPr>
          <w:rFonts w:hint="eastAsia" w:ascii="仿宋_GB2312" w:eastAsia="仿宋_GB2312" w:cs="仿宋_GB2312"/>
          <w:sz w:val="32"/>
          <w:szCs w:val="32"/>
        </w:rPr>
        <w:t>万元，预决算差异率</w:t>
      </w:r>
      <w:r>
        <w:rPr>
          <w:rFonts w:ascii="仿宋_GB2312" w:eastAsia="仿宋_GB2312" w:cs="仿宋_GB2312"/>
          <w:sz w:val="32"/>
          <w:szCs w:val="32"/>
        </w:rPr>
        <w:t>275.4%</w:t>
      </w:r>
      <w:r>
        <w:rPr>
          <w:rFonts w:hint="eastAsia" w:ascii="仿宋_GB2312" w:eastAsia="仿宋_GB2312" w:cs="仿宋_GB2312"/>
          <w:sz w:val="32"/>
          <w:szCs w:val="32"/>
        </w:rPr>
        <w:t>，差异主要原因是上级农村公路项目资金、油价补贴资金增加。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sz w:val="32"/>
          <w:szCs w:val="32"/>
        </w:rPr>
        <w:t>万元，</w:t>
      </w:r>
      <w:bookmarkEnd w:id="44"/>
      <w:bookmarkStart w:id="46" w:name="OLE_LINK71"/>
      <w:bookmarkStart w:id="47" w:name="OLE_LINK72"/>
      <w:r>
        <w:rPr>
          <w:rFonts w:hint="eastAsia" w:ascii="仿宋_GB2312" w:eastAsia="仿宋_GB2312"/>
          <w:sz w:val="32"/>
          <w:szCs w:val="32"/>
        </w:rPr>
        <w:t>与上年相比，增加0万元，增长0%。增加的主要原因是：本单位无政府性基金预算财政拨款收入。政府性基金预算支出0万元。与上年相比，增加0万元，增长0%。增加的主要原因是：与上年相比无增减变化，无政府性基金预算支出。其中：按功能分类科目（按类级科目公开），无。按经济分类科目（按类级科目公开），无。</w:t>
      </w:r>
    </w:p>
    <w:bookmarkEnd w:id="46"/>
    <w:bookmarkEnd w:id="47"/>
    <w:p>
      <w:pPr>
        <w:spacing w:line="540" w:lineRule="exact"/>
        <w:ind w:firstLine="640" w:firstLineChars="200"/>
        <w:rPr>
          <w:rFonts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决算无差异，无政府性基金预算财政拨款收入。政府性基金预算财政拨款支出年初预算数0万元，决算数0万元，预决算差异率0%，差异主要原因预决算无差异，无政府性基金预算财政拨款支出。</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2018年度一般公共预算“三公”经费支出决算</w:t>
      </w:r>
      <w:r>
        <w:rPr>
          <w:rFonts w:ascii="仿宋_GB2312" w:eastAsia="仿宋_GB2312" w:cs="仿宋_GB2312"/>
          <w:sz w:val="32"/>
          <w:szCs w:val="32"/>
        </w:rPr>
        <w:t>1.35</w:t>
      </w:r>
      <w:r>
        <w:rPr>
          <w:rFonts w:hint="eastAsia" w:ascii="仿宋_GB2312" w:eastAsia="仿宋_GB2312"/>
          <w:sz w:val="32"/>
          <w:szCs w:val="32"/>
        </w:rPr>
        <w:t>万元，比上年减少0.23万元，降低14.56%，减少原因是认真贯彻落实中央和自治区厉行节约的各项规定，严格控制和降低行政运行成本，大力压缩“三公”经费支出规模。其中，因公出国（境）费支出0万元，占0%，比上年增加0万元，增长0%，增加原因是2018年我单位无</w:t>
      </w:r>
      <w:r>
        <w:rPr>
          <w:rFonts w:hint="eastAsia" w:ascii="仿宋_GB2312" w:eastAsia="仿宋_GB2312" w:cs="仿宋_GB2312"/>
          <w:color w:val="000000"/>
          <w:sz w:val="32"/>
          <w:szCs w:val="32"/>
        </w:rPr>
        <w:t>因公出国（境）费</w:t>
      </w:r>
      <w:r>
        <w:rPr>
          <w:rFonts w:hint="eastAsia" w:ascii="仿宋_GB2312" w:eastAsia="仿宋_GB2312"/>
          <w:sz w:val="32"/>
          <w:szCs w:val="32"/>
        </w:rPr>
        <w:t>；公务用车购置及运行维护费支出1.35万元，占100%，比上年减少0.15万元，降低10%，减少原因是</w:t>
      </w:r>
      <w:r>
        <w:rPr>
          <w:rFonts w:hint="eastAsia" w:ascii="仿宋_GB2312" w:eastAsia="仿宋_GB2312" w:cs="仿宋_GB2312"/>
          <w:sz w:val="32"/>
          <w:szCs w:val="32"/>
        </w:rPr>
        <w:t>我单位严把车辆管控关，严格遵守公务车辆配置标准和管理制度，减少使用高耗油车辆，严禁公车私用；公务接待费支出0万元，占0%，比上年增加0万元，增长0%，增加原因是严把监督检查关，对接待费严格控制，减少一切不必要的公务接待开支。具</w:t>
      </w:r>
      <w:r>
        <w:rPr>
          <w:rFonts w:hint="eastAsia" w:ascii="仿宋_GB2312" w:eastAsia="仿宋_GB2312"/>
          <w:sz w:val="32"/>
          <w:szCs w:val="32"/>
        </w:rPr>
        <w:t>体情况如下：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w:t>
      </w:r>
      <w:r>
        <w:rPr>
          <w:rFonts w:hint="eastAsia" w:ascii="仿宋_GB2312" w:eastAsia="仿宋_GB2312" w:cs="仿宋_GB2312"/>
          <w:sz w:val="32"/>
          <w:szCs w:val="32"/>
        </w:rPr>
        <w:t>新疆喀什地区叶城县</w:t>
      </w:r>
      <w:r>
        <w:rPr>
          <w:rFonts w:hint="eastAsia" w:ascii="仿宋_GB2312" w:eastAsia="仿宋_GB2312" w:cs="仿宋_GB2312"/>
          <w:sz w:val="32"/>
          <w:szCs w:val="32"/>
          <w:lang w:eastAsia="zh-CN"/>
        </w:rPr>
        <w:t>交通局</w:t>
      </w:r>
      <w:r>
        <w:rPr>
          <w:rFonts w:hint="eastAsia" w:ascii="仿宋_GB2312" w:eastAsia="仿宋_GB2312"/>
          <w:sz w:val="32"/>
          <w:szCs w:val="32"/>
        </w:rPr>
        <w:t>全年使用一般公共预算财政拨款安排的因公出国（境）团组0个，累计0人次。开支内容包括：2018年我单位无因公出国（境）费，与上年一致。</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公务用车购置及运行维护费1.35万元,其中，公务用车购置0万元，公务用车运行维护费1.35万元。主要用于</w:t>
      </w:r>
      <w:r>
        <w:rPr>
          <w:rFonts w:hint="eastAsia" w:ascii="仿宋_GB2312" w:eastAsia="仿宋_GB2312" w:cs="仿宋_GB2312"/>
          <w:sz w:val="32"/>
          <w:szCs w:val="32"/>
        </w:rPr>
        <w:t>车辆燃油，车辆保险及维修</w:t>
      </w:r>
      <w:r>
        <w:rPr>
          <w:rFonts w:hint="eastAsia" w:ascii="仿宋_GB2312" w:eastAsia="仿宋_GB2312"/>
          <w:sz w:val="32"/>
          <w:szCs w:val="32"/>
        </w:rPr>
        <w:t>等。单位一般公共财政拨款安排的公务用车购置量0辆，保有量为2辆。</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公务接待费0万元。具体是：国内公务接待支出0万元，主要是</w:t>
      </w:r>
      <w:r>
        <w:rPr>
          <w:rFonts w:hint="eastAsia" w:ascii="仿宋_GB2312" w:eastAsia="仿宋_GB2312" w:cs="仿宋_GB2312"/>
          <w:sz w:val="32"/>
          <w:szCs w:val="32"/>
        </w:rPr>
        <w:t>严把监督检查关，对接待费严格控制，减少一切不必要的公务接待开支，</w:t>
      </w:r>
      <w:r>
        <w:rPr>
          <w:rFonts w:hint="eastAsia" w:ascii="仿宋_GB2312" w:eastAsia="仿宋_GB2312"/>
          <w:sz w:val="32"/>
          <w:szCs w:val="32"/>
        </w:rPr>
        <w:t>无此项开支。</w:t>
      </w:r>
      <w:r>
        <w:rPr>
          <w:rFonts w:hint="eastAsia" w:ascii="仿宋_GB2312" w:eastAsia="仿宋_GB2312" w:cs="仿宋_GB2312"/>
          <w:sz w:val="32"/>
          <w:szCs w:val="32"/>
        </w:rPr>
        <w:t>新疆喀什地区叶城县交通局</w:t>
      </w:r>
      <w:r>
        <w:rPr>
          <w:rFonts w:hint="eastAsia" w:ascii="仿宋_GB2312" w:eastAsia="仿宋_GB2312"/>
          <w:sz w:val="32"/>
          <w:szCs w:val="32"/>
        </w:rPr>
        <w:t>国内公务接待0批次，0人次。</w:t>
      </w:r>
    </w:p>
    <w:p>
      <w:pPr>
        <w:spacing w:line="540" w:lineRule="exact"/>
        <w:ind w:firstLine="640" w:firstLineChars="200"/>
        <w:rPr>
          <w:rFonts w:ascii="仿宋_GB2312" w:hAnsi="宋体" w:eastAsia="仿宋_GB2312" w:cs="宋体"/>
          <w:kern w:val="0"/>
          <w:sz w:val="32"/>
          <w:szCs w:val="32"/>
        </w:rPr>
      </w:pPr>
      <w:r>
        <w:rPr>
          <w:rFonts w:hint="eastAsia" w:ascii="仿宋_GB2312" w:eastAsia="仿宋_GB2312"/>
          <w:sz w:val="32"/>
          <w:szCs w:val="32"/>
        </w:rPr>
        <w:t>与年初预算数相比情况：一般公共预算“三公”经费支出年初预算数1.35万元，决算数1.35万元，预决算差异率0%，差异主要原因认真贯彻落实中央和自治区厉行节约的各项规定，严格控制和降低行政运行成本，大力压缩“三公”经费支出规模，预决算无差异。</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预算数0万元，决算数0万元，预决算差异率0%，差异主要原因预决算无差异；</w:t>
      </w:r>
      <w:r>
        <w:rPr>
          <w:rFonts w:hint="eastAsia" w:ascii="仿宋_GB2312" w:hAnsi="宋体" w:eastAsia="仿宋_GB2312" w:cs="宋体"/>
          <w:kern w:val="0"/>
          <w:sz w:val="32"/>
          <w:szCs w:val="32"/>
        </w:rPr>
        <w:t>公务用车购置</w:t>
      </w:r>
      <w:r>
        <w:rPr>
          <w:rFonts w:hint="eastAsia" w:ascii="仿宋_GB2312" w:eastAsia="仿宋_GB2312"/>
          <w:sz w:val="32"/>
          <w:szCs w:val="32"/>
        </w:rPr>
        <w:t>预算数0万元，决算数0万元，预决算差异率0%，差异主要原因</w:t>
      </w:r>
      <w:r>
        <w:rPr>
          <w:rFonts w:hint="eastAsia" w:ascii="仿宋_GB2312" w:eastAsia="仿宋_GB2312" w:cs="仿宋_GB2312"/>
          <w:sz w:val="32"/>
          <w:szCs w:val="32"/>
        </w:rPr>
        <w:t>我单位严把车辆管控关，严格遵守公务车辆配置标准和管理制度，减少使用高耗油车辆，严禁公车私用，预决算无差异</w:t>
      </w:r>
      <w:r>
        <w:rPr>
          <w:rFonts w:hint="eastAsia" w:ascii="仿宋_GB2312" w:eastAsia="仿宋_GB2312"/>
          <w:sz w:val="32"/>
          <w:szCs w:val="32"/>
        </w:rPr>
        <w:t>；</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预算数1.35万元，决算数1.35万元，预决算差异率0%，差异主要原因</w:t>
      </w:r>
      <w:r>
        <w:rPr>
          <w:rFonts w:hint="eastAsia" w:ascii="仿宋_GB2312" w:eastAsia="仿宋_GB2312" w:cs="仿宋_GB2312"/>
          <w:sz w:val="32"/>
          <w:szCs w:val="32"/>
        </w:rPr>
        <w:t>我单位严把车辆管控关，严格遵守公务车辆配置标准和管理制度，减少使用高耗油车辆，严禁公车私用，预决算无差异</w:t>
      </w:r>
      <w:r>
        <w:rPr>
          <w:rFonts w:hint="eastAsia" w:ascii="仿宋_GB2312" w:eastAsia="仿宋_GB2312"/>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预算数0万元，决算数0万元，预决算差异率0%，差异主要原因</w:t>
      </w:r>
      <w:r>
        <w:rPr>
          <w:rFonts w:hint="eastAsia" w:ascii="仿宋_GB2312" w:eastAsia="仿宋_GB2312" w:cs="仿宋_GB2312"/>
          <w:sz w:val="32"/>
          <w:szCs w:val="32"/>
        </w:rPr>
        <w:t>严把监督检查关，对接待费严格控制，减少一切不必要的公务接待开支，</w:t>
      </w:r>
      <w:r>
        <w:rPr>
          <w:rFonts w:hint="eastAsia" w:ascii="仿宋_GB2312" w:eastAsia="仿宋_GB2312"/>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w:t>
      </w:r>
      <w:r>
        <w:rPr>
          <w:rFonts w:hint="eastAsia" w:ascii="仿宋_GB2312" w:eastAsia="仿宋_GB2312" w:cs="仿宋_GB2312"/>
          <w:sz w:val="32"/>
          <w:szCs w:val="32"/>
        </w:rPr>
        <w:t>新疆喀什地区叶城县交通局机关运行经费支出</w:t>
      </w:r>
      <w:r>
        <w:rPr>
          <w:rFonts w:ascii="仿宋_GB2312" w:eastAsia="仿宋_GB2312" w:cs="仿宋_GB2312"/>
          <w:sz w:val="32"/>
          <w:szCs w:val="32"/>
        </w:rPr>
        <w:t>2.78</w:t>
      </w:r>
      <w:r>
        <w:rPr>
          <w:rFonts w:hint="eastAsia" w:ascii="仿宋_GB2312" w:eastAsia="仿宋_GB2312" w:cs="仿宋_GB2312"/>
          <w:sz w:val="32"/>
          <w:szCs w:val="32"/>
        </w:rPr>
        <w:t>万元，与上年相比，减少</w:t>
      </w:r>
      <w:r>
        <w:rPr>
          <w:rFonts w:ascii="仿宋_GB2312" w:eastAsia="仿宋_GB2312" w:cs="仿宋_GB2312"/>
          <w:sz w:val="32"/>
          <w:szCs w:val="32"/>
        </w:rPr>
        <w:t>2.57</w:t>
      </w:r>
      <w:r>
        <w:rPr>
          <w:rFonts w:hint="eastAsia" w:ascii="仿宋_GB2312" w:eastAsia="仿宋_GB2312" w:cs="仿宋_GB2312"/>
          <w:sz w:val="32"/>
          <w:szCs w:val="32"/>
        </w:rPr>
        <w:t>万元，</w:t>
      </w:r>
      <w:r>
        <w:rPr>
          <w:rFonts w:hint="eastAsia" w:ascii="仿宋_GB2312" w:eastAsia="仿宋_GB2312"/>
          <w:sz w:val="32"/>
          <w:szCs w:val="32"/>
        </w:rPr>
        <w:t>降低48.04%，主要原因是认真贯彻落实中央和自治区厉行节约的各项规定，严格控制和降低行政运行成本，大力压缩“三公”经费支出规模。</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48" w:name="OLE_LINK45"/>
      <w:r>
        <w:rPr>
          <w:rFonts w:hint="eastAsia" w:ascii="仿宋_GB2312" w:eastAsia="仿宋_GB2312" w:cs="仿宋_GB2312"/>
          <w:sz w:val="32"/>
          <w:szCs w:val="32"/>
        </w:rPr>
        <w:t>政府采购支出总额</w:t>
      </w:r>
      <w:bookmarkEnd w:id="48"/>
      <w:r>
        <w:rPr>
          <w:rFonts w:ascii="仿宋_GB2312" w:eastAsia="仿宋_GB2312" w:cs="仿宋_GB2312"/>
          <w:sz w:val="32"/>
          <w:szCs w:val="32"/>
        </w:rPr>
        <w:t>20.29</w:t>
      </w:r>
      <w:r>
        <w:rPr>
          <w:rFonts w:hint="eastAsia" w:ascii="仿宋_GB2312" w:eastAsia="仿宋_GB2312" w:cs="仿宋_GB2312"/>
          <w:sz w:val="32"/>
          <w:szCs w:val="32"/>
        </w:rPr>
        <w:t>万元，其中：</w:t>
      </w:r>
      <w:bookmarkStart w:id="49" w:name="OLE_LINK46"/>
      <w:r>
        <w:rPr>
          <w:rFonts w:hint="eastAsia" w:ascii="仿宋_GB2312" w:eastAsia="仿宋_GB2312" w:cs="仿宋_GB2312"/>
          <w:sz w:val="32"/>
          <w:szCs w:val="32"/>
        </w:rPr>
        <w:t>政府采购货物支出</w:t>
      </w:r>
      <w:bookmarkEnd w:id="49"/>
      <w:r>
        <w:rPr>
          <w:rFonts w:ascii="仿宋_GB2312" w:eastAsia="仿宋_GB2312" w:cs="仿宋_GB2312"/>
          <w:sz w:val="32"/>
          <w:szCs w:val="32"/>
        </w:rPr>
        <w:t>19.89</w:t>
      </w:r>
      <w:r>
        <w:rPr>
          <w:rFonts w:hint="eastAsia" w:ascii="仿宋_GB2312" w:eastAsia="仿宋_GB2312" w:cs="仿宋_GB2312"/>
          <w:sz w:val="32"/>
          <w:szCs w:val="32"/>
        </w:rPr>
        <w:t>万元、</w:t>
      </w:r>
      <w:bookmarkStart w:id="50" w:name="OLE_LINK47"/>
      <w:r>
        <w:rPr>
          <w:rFonts w:hint="eastAsia" w:ascii="仿宋_GB2312" w:eastAsia="仿宋_GB2312" w:cs="仿宋_GB2312"/>
          <w:sz w:val="32"/>
          <w:szCs w:val="32"/>
        </w:rPr>
        <w:t>政府采购工程支出</w:t>
      </w:r>
      <w:bookmarkEnd w:id="50"/>
      <w:r>
        <w:rPr>
          <w:rFonts w:ascii="仿宋_GB2312" w:eastAsia="仿宋_GB2312" w:cs="仿宋_GB2312"/>
          <w:sz w:val="32"/>
          <w:szCs w:val="32"/>
        </w:rPr>
        <w:t>0</w:t>
      </w:r>
      <w:r>
        <w:rPr>
          <w:rFonts w:hint="eastAsia" w:ascii="仿宋_GB2312" w:eastAsia="仿宋_GB2312" w:cs="仿宋_GB2312"/>
          <w:sz w:val="32"/>
          <w:szCs w:val="32"/>
        </w:rPr>
        <w:t>万元、</w:t>
      </w:r>
      <w:bookmarkStart w:id="51" w:name="OLE_LINK48"/>
      <w:r>
        <w:rPr>
          <w:rFonts w:hint="eastAsia" w:ascii="仿宋_GB2312" w:eastAsia="仿宋_GB2312" w:cs="仿宋_GB2312"/>
          <w:sz w:val="32"/>
          <w:szCs w:val="32"/>
        </w:rPr>
        <w:t>政府采购服务支出</w:t>
      </w:r>
      <w:bookmarkEnd w:id="51"/>
      <w:r>
        <w:rPr>
          <w:rFonts w:ascii="仿宋_GB2312" w:eastAsia="仿宋_GB2312" w:cs="仿宋_GB2312"/>
          <w:sz w:val="32"/>
          <w:szCs w:val="32"/>
        </w:rPr>
        <w:t>0.4</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52"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2</w:t>
      </w:r>
      <w:r>
        <w:rPr>
          <w:rFonts w:hint="eastAsia" w:ascii="仿宋_GB2312" w:eastAsia="仿宋_GB2312" w:cs="仿宋_GB2312"/>
          <w:sz w:val="32"/>
          <w:szCs w:val="32"/>
        </w:rPr>
        <w:t>辆，价值</w:t>
      </w:r>
      <w:r>
        <w:rPr>
          <w:rFonts w:ascii="仿宋_GB2312" w:eastAsia="仿宋_GB2312" w:cs="仿宋_GB2312"/>
          <w:sz w:val="32"/>
          <w:szCs w:val="32"/>
        </w:rPr>
        <w:t>21.46</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2</w:t>
      </w:r>
      <w:r>
        <w:rPr>
          <w:rFonts w:hint="eastAsia" w:ascii="仿宋_GB2312" w:eastAsia="仿宋_GB2312" w:cs="仿宋_GB2312"/>
          <w:sz w:val="32"/>
          <w:szCs w:val="32"/>
        </w:rPr>
        <w:t>辆，其他用车主要是：一般交通执法业务用车；单位价值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5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交通局2018年度部门预算总额为41422.44万元，执行金额为41422.44万元，预算执行率为100%。本次自评共涉及项目数2个，其中已完成项目2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1、城市公交、农村客运成品油补贴项目绩效自评综述：根据年初设定的绩效目标，该项目绩效自评得分为95分。项目全年预算数为4,200.11万元，执行数为4,200.11万元，完成预算的100%。主要产出和效果：1.产出指标完成情况分析。 （1）项目完成数量。</w:t>
      </w:r>
      <w:r>
        <w:rPr>
          <w:rFonts w:hint="eastAsia" w:ascii="仿宋_GB2312" w:hAnsi="仿宋" w:eastAsia="仿宋_GB2312" w:cs="宋体"/>
          <w:kern w:val="0"/>
          <w:sz w:val="32"/>
          <w:szCs w:val="32"/>
        </w:rPr>
        <w:t>城市公交车辆数142辆，农村线路车辆数1864辆，数量指标全部完成，该项目年度设定的预期目标全部完成,完成率为100%。</w:t>
      </w:r>
      <w:r>
        <w:rPr>
          <w:rFonts w:hint="eastAsia" w:ascii="仿宋_GB2312" w:hAnsi="仿宋_GB2312" w:eastAsia="仿宋_GB2312" w:cs="仿宋_GB2312"/>
          <w:sz w:val="32"/>
          <w:szCs w:val="32"/>
        </w:rPr>
        <w:t xml:space="preserve"> （2）项目完成质量。</w:t>
      </w:r>
      <w:r>
        <w:rPr>
          <w:rFonts w:hint="eastAsia" w:ascii="仿宋_GB2312" w:hAnsi="仿宋" w:eastAsia="仿宋_GB2312" w:cs="宋体"/>
          <w:kern w:val="0"/>
          <w:sz w:val="32"/>
          <w:szCs w:val="32"/>
        </w:rPr>
        <w:t>成品油补贴发放率100%，完成率为100%，按照油价补贴发放的政策规定，以及享受油价补贴的经营者和车辆的相关信息在各运输企业等进行公示，保质保量的将该笔资金全部发放下去，根据项目实施完成后的结果来看,我单位严格规范项目资执行情况，高质量完成项目建设</w:t>
      </w:r>
      <w:r>
        <w:rPr>
          <w:rFonts w:hint="eastAsia" w:ascii="仿宋_GB2312" w:hAnsi="仿宋_GB2312" w:eastAsia="仿宋_GB2312" w:cs="仿宋_GB2312"/>
          <w:sz w:val="32"/>
          <w:szCs w:val="32"/>
        </w:rPr>
        <w:t>。 （3）项目实施进度。</w:t>
      </w:r>
      <w:r>
        <w:rPr>
          <w:rFonts w:hint="eastAsia" w:ascii="仿宋_GB2312" w:hAnsi="仿宋" w:eastAsia="仿宋_GB2312"/>
          <w:sz w:val="32"/>
          <w:szCs w:val="32"/>
        </w:rPr>
        <w:t>成品油补贴及时率100%，城市公交车</w:t>
      </w:r>
      <w:r>
        <w:rPr>
          <w:rFonts w:hint="eastAsia" w:ascii="仿宋_GB2312" w:hAnsi="仿宋" w:eastAsia="仿宋_GB2312" w:cs="宋体"/>
          <w:kern w:val="0"/>
          <w:sz w:val="32"/>
          <w:szCs w:val="32"/>
        </w:rPr>
        <w:t>到位发放时限2018年7月16日至2018年12月30日项目已经按照规定时限已完成。农村客运车辆到位发放时限2018年11月12日至2018年12月30日项目已经按照规定时限已完成，完成率为100%</w:t>
      </w:r>
      <w:r>
        <w:rPr>
          <w:rFonts w:hint="eastAsia" w:ascii="仿宋_GB2312" w:hAnsi="仿宋_GB2312" w:eastAsia="仿宋_GB2312" w:cs="仿宋_GB2312"/>
          <w:sz w:val="32"/>
          <w:szCs w:val="32"/>
        </w:rPr>
        <w:t>。（4）项目成本节约情况。</w:t>
      </w:r>
      <w:r>
        <w:rPr>
          <w:rFonts w:hint="eastAsia" w:ascii="仿宋_GB2312" w:hAnsi="仿宋" w:eastAsia="仿宋_GB2312"/>
          <w:sz w:val="32"/>
          <w:szCs w:val="32"/>
        </w:rPr>
        <w:t>城市公交车发放标准每月城市公交车发放标准2627.3元/标台</w:t>
      </w:r>
      <w:r>
        <w:rPr>
          <w:rFonts w:hint="eastAsia" w:ascii="仿宋_GB2312" w:hAnsi="仿宋" w:eastAsia="仿宋_GB2312" w:cs="宋体"/>
          <w:kern w:val="0"/>
          <w:sz w:val="32"/>
          <w:szCs w:val="32"/>
        </w:rPr>
        <w:t>，完成率100%，我单位在执行该类项目时,严格控制成本在预算之内,</w:t>
      </w:r>
      <w:r>
        <w:rPr>
          <w:rFonts w:hint="eastAsia" w:ascii="仿宋_GB2312" w:hAnsi="仿宋" w:eastAsia="仿宋_GB2312"/>
          <w:sz w:val="32"/>
          <w:szCs w:val="32"/>
        </w:rPr>
        <w:t>城市公交车</w:t>
      </w:r>
      <w:r>
        <w:rPr>
          <w:rFonts w:hint="eastAsia" w:ascii="仿宋_GB2312" w:hAnsi="仿宋" w:eastAsia="仿宋_GB2312" w:cs="宋体"/>
          <w:kern w:val="0"/>
          <w:sz w:val="32"/>
          <w:szCs w:val="32"/>
        </w:rPr>
        <w:t>经过预算，节约成本，按照竞标的最低价施工，坚决杜绝资金浪费现象的产生,效果良好</w:t>
      </w:r>
      <w:r>
        <w:rPr>
          <w:rFonts w:hint="eastAsia" w:ascii="仿宋_GB2312" w:hAnsi="仿宋_GB2312" w:eastAsia="仿宋_GB2312" w:cs="仿宋_GB2312"/>
          <w:sz w:val="32"/>
          <w:szCs w:val="32"/>
        </w:rPr>
        <w:t>。 2.效益指标完成情况分析。 （1）项目实施的经济效益分析。</w:t>
      </w:r>
      <w:r>
        <w:rPr>
          <w:rFonts w:hint="eastAsia" w:ascii="仿宋_GB2312" w:hAnsi="仿宋" w:eastAsia="仿宋_GB2312" w:cs="宋体"/>
          <w:kern w:val="0"/>
          <w:sz w:val="32"/>
          <w:szCs w:val="32"/>
        </w:rPr>
        <w:t>减轻营运车主负担4200.114万元，完成率100%，减轻因燃油上涨给营运车主带来的经济负担，确保国家的惠民政策落实到位，促进出租车、城市公交车行业的稳、持续、健康发展,服务水平有效提高</w:t>
      </w:r>
      <w:r>
        <w:rPr>
          <w:rFonts w:hint="eastAsia" w:ascii="仿宋_GB2312" w:hAnsi="仿宋_GB2312" w:eastAsia="仿宋_GB2312" w:cs="仿宋_GB2312"/>
          <w:sz w:val="32"/>
          <w:szCs w:val="32"/>
        </w:rPr>
        <w:t>。 （2）项目实施的社会效益分析。</w:t>
      </w:r>
      <w:bookmarkStart w:id="53" w:name="_Toc268521453"/>
      <w:r>
        <w:rPr>
          <w:rFonts w:hint="eastAsia" w:ascii="仿宋_GB2312" w:hAnsi="仿宋" w:eastAsia="仿宋_GB2312" w:cs="宋体"/>
          <w:kern w:val="0"/>
          <w:sz w:val="32"/>
          <w:szCs w:val="32"/>
        </w:rPr>
        <w:t>政策知晓率达100%，完成率100%，通过油价补助的发放，使公交车公司及驾驶员生活环境得到改善</w:t>
      </w:r>
      <w:bookmarkEnd w:id="53"/>
      <w:r>
        <w:rPr>
          <w:rFonts w:hint="eastAsia" w:ascii="仿宋_GB2312" w:hAnsi="仿宋_GB2312" w:eastAsia="仿宋_GB2312" w:cs="仿宋_GB2312"/>
          <w:sz w:val="32"/>
          <w:szCs w:val="32"/>
        </w:rPr>
        <w:t>。 （3）项目实施的生态效益分析。未产生生态效益。 （4）项目实施的可持续影响分析。</w:t>
      </w:r>
      <w:r>
        <w:rPr>
          <w:rFonts w:hint="eastAsia" w:ascii="仿宋_GB2312" w:hAnsi="仿宋" w:eastAsia="仿宋_GB2312" w:cs="宋体"/>
          <w:kern w:val="0"/>
          <w:sz w:val="32"/>
          <w:szCs w:val="32"/>
        </w:rPr>
        <w:t>保障客运车辆正常运行100%，完成率100%，进一步减轻城乡客运、公交驾驶员负担，保证车辆正常运行，助力地方经济，造福区域百姓，对改善边疆地区生产生活条件、完善公共基础设施、维护社会稳安全，起到了举足轻重的作用</w:t>
      </w:r>
      <w:r>
        <w:rPr>
          <w:rFonts w:hint="eastAsia" w:ascii="仿宋_GB2312" w:hAnsi="仿宋_GB2312" w:eastAsia="仿宋_GB2312" w:cs="仿宋_GB2312"/>
          <w:sz w:val="32"/>
          <w:szCs w:val="32"/>
        </w:rPr>
        <w:t>。 3.满意度指标完成情况分析。</w:t>
      </w:r>
      <w:r>
        <w:rPr>
          <w:rFonts w:hint="eastAsia" w:ascii="仿宋_GB2312" w:hAnsi="仿宋" w:eastAsia="仿宋_GB2312" w:cs="宋体"/>
          <w:kern w:val="0"/>
          <w:sz w:val="32"/>
          <w:szCs w:val="32"/>
        </w:rPr>
        <w:t>按计划完成项目实施，受益群众满意度100%，服务对象满意度指标完成</w:t>
      </w:r>
      <w:r>
        <w:rPr>
          <w:rFonts w:hint="eastAsia" w:ascii="仿宋_GB2312" w:hAnsi="仿宋_GB2312" w:eastAsia="仿宋_GB2312" w:cs="仿宋_GB2312"/>
          <w:sz w:val="32"/>
          <w:szCs w:val="32"/>
        </w:rPr>
        <w:t>。发现的问题及原因：不存在问题。下一步改进措施： 本项目不存在问题；无改进措施。</w:t>
      </w:r>
    </w:p>
    <w:p>
      <w:pPr>
        <w:spacing w:line="560" w:lineRule="exact"/>
        <w:ind w:firstLine="640" w:firstLineChars="200"/>
        <w:rPr>
          <w:rFonts w:ascii="仿宋_GB2312" w:hAnsi="仿宋" w:eastAsia="仿宋_GB2312" w:cs="仿宋"/>
          <w:sz w:val="32"/>
          <w:szCs w:val="32"/>
        </w:rPr>
      </w:pPr>
      <w:r>
        <w:rPr>
          <w:rFonts w:hint="eastAsia" w:ascii="仿宋_GB2312" w:hAnsi="仿宋_GB2312" w:eastAsia="仿宋_GB2312" w:cs="仿宋_GB2312"/>
          <w:sz w:val="32"/>
          <w:szCs w:val="32"/>
        </w:rPr>
        <w:t>2、叶城县2018年农村公路建设项目绩效自评综述：根据年初设定的绩效目标，该项目绩效自评得分为96分。项目全年预算数为37,222.32万元，执行数为37,222.32万元，完成预算的100%。主要产出和效果：1.产出指标完成情况分析。 (1)项目完成数量。</w:t>
      </w:r>
      <w:r>
        <w:rPr>
          <w:rFonts w:hint="eastAsia" w:ascii="仿宋_GB2312" w:hAnsi="仿宋" w:eastAsia="仿宋_GB2312"/>
          <w:sz w:val="32"/>
          <w:szCs w:val="32"/>
        </w:rPr>
        <w:t>贫困村新增沥青混凝土路面公路里程891.605公里，贫困村新增水泥混凝土路面公路里程285.79公里，贫困村公路危桥改造米数54米，项目覆盖贫困村个数185个，贫困村危桥改建数量8座，该项目年度设定的预期目标全部完成,完成率为100%</w:t>
      </w:r>
      <w:r>
        <w:rPr>
          <w:rFonts w:hint="eastAsia" w:ascii="仿宋_GB2312" w:hAnsi="仿宋_GB2312" w:eastAsia="仿宋_GB2312" w:cs="仿宋_GB2312"/>
          <w:sz w:val="32"/>
          <w:szCs w:val="32"/>
        </w:rPr>
        <w:t>。 (2)项目完成质量。</w:t>
      </w:r>
      <w:r>
        <w:rPr>
          <w:rFonts w:hint="eastAsia" w:ascii="仿宋_GB2312" w:hAnsi="仿宋" w:eastAsia="仿宋_GB2312" w:cs="仿宋"/>
          <w:sz w:val="32"/>
          <w:szCs w:val="32"/>
        </w:rPr>
        <w:t>项目（工程）验收合格率100%，完成率100%，根据项目实施完成后的结果来看,我单位严格规范项目资执行情况，高质量完成</w:t>
      </w:r>
      <w:r>
        <w:rPr>
          <w:rFonts w:hint="eastAsia" w:ascii="仿宋_GB2312" w:hAnsi="仿宋_GB2312" w:eastAsia="仿宋_GB2312" w:cs="仿宋_GB2312"/>
          <w:sz w:val="32"/>
          <w:szCs w:val="32"/>
        </w:rPr>
        <w:t>。 (3)项目实施进度。</w:t>
      </w:r>
      <w:r>
        <w:rPr>
          <w:rFonts w:hint="eastAsia" w:ascii="仿宋_GB2312" w:hAnsi="仿宋" w:eastAsia="仿宋_GB2312" w:cs="宋体"/>
          <w:kern w:val="0"/>
          <w:sz w:val="32"/>
          <w:szCs w:val="32"/>
        </w:rPr>
        <w:t>项目完工及时率100%，该项目已按照工程建设计划及时完成公路项目建设。根据年初单位制定的实施方案,严格把控资金与项目实施进度相统一的原则,项目完成进度良好</w:t>
      </w:r>
      <w:r>
        <w:rPr>
          <w:rFonts w:hint="eastAsia" w:ascii="仿宋_GB2312" w:hAnsi="仿宋_GB2312" w:eastAsia="仿宋_GB2312" w:cs="仿宋_GB2312"/>
          <w:sz w:val="32"/>
          <w:szCs w:val="32"/>
        </w:rPr>
        <w:t>。 (4)项目成本节约情况。</w:t>
      </w:r>
      <w:r>
        <w:rPr>
          <w:rFonts w:hint="eastAsia" w:ascii="仿宋_GB2312" w:hAnsi="仿宋" w:eastAsia="仿宋_GB2312" w:cs="仿宋"/>
          <w:kern w:val="0"/>
          <w:sz w:val="32"/>
          <w:szCs w:val="32"/>
        </w:rPr>
        <w:t>贫困村农村公路危桥改造成本8.81万元/米，水泥混凝土路面平均成本35万元/公里，沥青混凝土路面平均成本30万元/公里，以上指标完成率100%，我单位在执行该类项目时,严格控制成本在预算之内,该项目经过预算，节约成本，按照竞标的最低价施工，坚决杜绝资金浪费现象的产生</w:t>
      </w:r>
      <w:r>
        <w:rPr>
          <w:rFonts w:hint="eastAsia" w:ascii="仿宋_GB2312" w:hAnsi="仿宋_GB2312" w:eastAsia="仿宋_GB2312" w:cs="仿宋_GB2312"/>
          <w:sz w:val="32"/>
          <w:szCs w:val="32"/>
        </w:rPr>
        <w:t>。 2.效益指标完成情况分析。 (1)项目实施的经济效益分析。</w:t>
      </w:r>
      <w:r>
        <w:rPr>
          <w:rFonts w:hint="eastAsia" w:ascii="仿宋_GB2312" w:hAnsi="仿宋" w:eastAsia="仿宋_GB2312" w:cs="仿宋"/>
          <w:kern w:val="0"/>
          <w:sz w:val="32"/>
          <w:szCs w:val="32"/>
        </w:rPr>
        <w:t>平均每人每年减少出行费用150元，指标完成率100%，保证了群众的出行率，同时改善了群众的基本生活、生存条件，进一步完善了基层基础设施，提高了可持续发展的能力</w:t>
      </w:r>
      <w:r>
        <w:rPr>
          <w:rFonts w:hint="eastAsia" w:ascii="仿宋_GB2312" w:hAnsi="仿宋_GB2312" w:eastAsia="仿宋_GB2312" w:cs="仿宋_GB2312"/>
          <w:sz w:val="32"/>
          <w:szCs w:val="32"/>
        </w:rPr>
        <w:t>。 (2)项目实施的社会效益分析。</w:t>
      </w:r>
      <w:r>
        <w:rPr>
          <w:rFonts w:hint="eastAsia" w:ascii="仿宋_GB2312" w:hAnsi="仿宋" w:eastAsia="仿宋_GB2312" w:cs="仿宋"/>
          <w:kern w:val="0"/>
          <w:sz w:val="32"/>
          <w:szCs w:val="32"/>
        </w:rPr>
        <w:t>贫困地区建制村通客车率达100%，受益群众达20万人，完成率100%</w:t>
      </w:r>
      <w:r>
        <w:rPr>
          <w:rFonts w:hint="eastAsia" w:ascii="仿宋_GB2312" w:hAnsi="仿宋_GB2312" w:eastAsia="仿宋_GB2312" w:cs="仿宋_GB2312"/>
          <w:sz w:val="32"/>
          <w:szCs w:val="32"/>
        </w:rPr>
        <w:t>。 (3)项目实施的生态效益分析。</w:t>
      </w:r>
      <w:r>
        <w:rPr>
          <w:rFonts w:hint="eastAsia" w:ascii="仿宋_GB2312" w:hAnsi="仿宋" w:eastAsia="仿宋_GB2312" w:cs="仿宋"/>
          <w:kern w:val="0"/>
          <w:sz w:val="32"/>
          <w:szCs w:val="32"/>
        </w:rPr>
        <w:t>交通建设符合环评审批要求100%，完成率100%，生活污染治理相关指标得到进一步优化，在改善农村面貌、发展农村经济、为农民的休憩提供优美充足的场</w:t>
      </w:r>
      <w:r>
        <w:rPr>
          <w:rFonts w:hint="eastAsia" w:ascii="仿宋_GB2312" w:hAnsi="仿宋_GB2312" w:eastAsia="仿宋_GB2312" w:cs="仿宋_GB2312"/>
          <w:sz w:val="32"/>
          <w:szCs w:val="32"/>
        </w:rPr>
        <w:t>。 (4)项目实施的可持续影响分析。</w:t>
      </w:r>
      <w:r>
        <w:rPr>
          <w:rFonts w:hint="eastAsia" w:ascii="仿宋_GB2312" w:hAnsi="仿宋" w:eastAsia="仿宋_GB2312" w:cs="仿宋"/>
          <w:kern w:val="0"/>
          <w:sz w:val="32"/>
          <w:szCs w:val="32"/>
        </w:rPr>
        <w:t>通过农村公路项目的实施，农牧民出行得到了有效保护和改善，道路验收合格可保障持续使用8年</w:t>
      </w:r>
      <w:r>
        <w:rPr>
          <w:rFonts w:hint="eastAsia" w:ascii="仿宋_GB2312" w:hAnsi="仿宋_GB2312" w:eastAsia="仿宋_GB2312" w:cs="仿宋_GB2312"/>
          <w:sz w:val="32"/>
          <w:szCs w:val="32"/>
        </w:rPr>
        <w:t>。 3.满意度指标完成情况分析。按计划完成项目实施，通过满意度调查，</w:t>
      </w:r>
      <w:r>
        <w:rPr>
          <w:rFonts w:hint="eastAsia" w:ascii="仿宋_GB2312" w:hAnsi="仿宋" w:eastAsia="仿宋_GB2312" w:cs="仿宋"/>
          <w:sz w:val="32"/>
          <w:szCs w:val="32"/>
        </w:rPr>
        <w:t>按计划完成项目实施，受益群众满意度100%，</w:t>
      </w:r>
      <w:r>
        <w:rPr>
          <w:rFonts w:hint="eastAsia" w:ascii="仿宋_GB2312" w:hAnsi="仿宋" w:eastAsia="仿宋_GB2312" w:cs="仿宋"/>
          <w:kern w:val="0"/>
          <w:sz w:val="32"/>
          <w:szCs w:val="32"/>
        </w:rPr>
        <w:t>完成率100%</w:t>
      </w:r>
      <w:r>
        <w:rPr>
          <w:rFonts w:hint="eastAsia" w:ascii="仿宋_GB2312" w:hAnsi="仿宋" w:eastAsia="仿宋_GB2312" w:cs="仿宋"/>
          <w:sz w:val="32"/>
          <w:szCs w:val="32"/>
        </w:rPr>
        <w:t>。</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反映单位公务</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bookmarkStart w:id="54" w:name="_GoBack"/>
      <w:bookmarkEnd w:id="54"/>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（项）指：公路建设。</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（项）指：对城市公交的补贴。</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（项）指：对农村道路客运的补贴。</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（项）指：车辆购置税用于公路等基础设施建设支出。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（项）指：车辆购置税用于农村公路建设支出。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42</w:t>
      </w:r>
      <w:r>
        <w:rPr>
          <w:rFonts w:hint="eastAsia" w:ascii="仿宋_GB2312" w:eastAsia="仿宋_GB2312" w:cs="仿宋_GB2312"/>
          <w:sz w:val="32"/>
          <w:szCs w:val="32"/>
        </w:rPr>
        <w:t>（项）指：农村道路建设。</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- 14 -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2160"/>
    <w:rsid w:val="00044097"/>
    <w:rsid w:val="0004530D"/>
    <w:rsid w:val="000456F4"/>
    <w:rsid w:val="00050E1F"/>
    <w:rsid w:val="00054305"/>
    <w:rsid w:val="00060E28"/>
    <w:rsid w:val="000635BD"/>
    <w:rsid w:val="00065838"/>
    <w:rsid w:val="00080DEB"/>
    <w:rsid w:val="00083BBE"/>
    <w:rsid w:val="00083EBE"/>
    <w:rsid w:val="00086A80"/>
    <w:rsid w:val="00091B9F"/>
    <w:rsid w:val="000A2EE8"/>
    <w:rsid w:val="000A497E"/>
    <w:rsid w:val="000A7773"/>
    <w:rsid w:val="000B08C5"/>
    <w:rsid w:val="000B206D"/>
    <w:rsid w:val="000B2C8D"/>
    <w:rsid w:val="000B6AD4"/>
    <w:rsid w:val="000B6C14"/>
    <w:rsid w:val="000B7C75"/>
    <w:rsid w:val="000C1474"/>
    <w:rsid w:val="000D21F9"/>
    <w:rsid w:val="000D3919"/>
    <w:rsid w:val="000E0AB3"/>
    <w:rsid w:val="000E21E6"/>
    <w:rsid w:val="000E3B8D"/>
    <w:rsid w:val="000E65F1"/>
    <w:rsid w:val="000E73E7"/>
    <w:rsid w:val="000E75AE"/>
    <w:rsid w:val="000F2362"/>
    <w:rsid w:val="0010072E"/>
    <w:rsid w:val="00101D4F"/>
    <w:rsid w:val="0010481F"/>
    <w:rsid w:val="001128DE"/>
    <w:rsid w:val="00112C4B"/>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868D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4794F"/>
    <w:rsid w:val="00251FC8"/>
    <w:rsid w:val="00256471"/>
    <w:rsid w:val="00257943"/>
    <w:rsid w:val="002608FE"/>
    <w:rsid w:val="00271D59"/>
    <w:rsid w:val="0027418F"/>
    <w:rsid w:val="00282470"/>
    <w:rsid w:val="00295B34"/>
    <w:rsid w:val="0029700A"/>
    <w:rsid w:val="002A7E48"/>
    <w:rsid w:val="002B1DA2"/>
    <w:rsid w:val="002B557B"/>
    <w:rsid w:val="002B5D8E"/>
    <w:rsid w:val="002C0491"/>
    <w:rsid w:val="002C0FB9"/>
    <w:rsid w:val="002C4530"/>
    <w:rsid w:val="002D12D0"/>
    <w:rsid w:val="002D24A4"/>
    <w:rsid w:val="002D2B8C"/>
    <w:rsid w:val="002D34C1"/>
    <w:rsid w:val="002D76FA"/>
    <w:rsid w:val="002E189D"/>
    <w:rsid w:val="002E18D1"/>
    <w:rsid w:val="002E531F"/>
    <w:rsid w:val="002E64E8"/>
    <w:rsid w:val="002F3234"/>
    <w:rsid w:val="002F3EDB"/>
    <w:rsid w:val="002F4F3E"/>
    <w:rsid w:val="002F7663"/>
    <w:rsid w:val="00300B06"/>
    <w:rsid w:val="0030440B"/>
    <w:rsid w:val="00305C33"/>
    <w:rsid w:val="00307208"/>
    <w:rsid w:val="00311036"/>
    <w:rsid w:val="0031265E"/>
    <w:rsid w:val="003136FF"/>
    <w:rsid w:val="003167D1"/>
    <w:rsid w:val="00317644"/>
    <w:rsid w:val="00317B91"/>
    <w:rsid w:val="00320F9D"/>
    <w:rsid w:val="003217D2"/>
    <w:rsid w:val="003228EE"/>
    <w:rsid w:val="0032647C"/>
    <w:rsid w:val="00326734"/>
    <w:rsid w:val="0033566D"/>
    <w:rsid w:val="003441F7"/>
    <w:rsid w:val="00344D62"/>
    <w:rsid w:val="00345984"/>
    <w:rsid w:val="00347440"/>
    <w:rsid w:val="00361388"/>
    <w:rsid w:val="00363F78"/>
    <w:rsid w:val="003642F3"/>
    <w:rsid w:val="00364924"/>
    <w:rsid w:val="00364D00"/>
    <w:rsid w:val="00366A76"/>
    <w:rsid w:val="003700A6"/>
    <w:rsid w:val="00371AB7"/>
    <w:rsid w:val="00376020"/>
    <w:rsid w:val="00376A23"/>
    <w:rsid w:val="00376E66"/>
    <w:rsid w:val="003818F3"/>
    <w:rsid w:val="0038402D"/>
    <w:rsid w:val="003852E9"/>
    <w:rsid w:val="00386083"/>
    <w:rsid w:val="003913BA"/>
    <w:rsid w:val="003929A0"/>
    <w:rsid w:val="00394644"/>
    <w:rsid w:val="00394E80"/>
    <w:rsid w:val="00396057"/>
    <w:rsid w:val="003A03AB"/>
    <w:rsid w:val="003A251D"/>
    <w:rsid w:val="003A4403"/>
    <w:rsid w:val="003B29BD"/>
    <w:rsid w:val="003B4AA1"/>
    <w:rsid w:val="003B68E6"/>
    <w:rsid w:val="003B6E53"/>
    <w:rsid w:val="003C5A61"/>
    <w:rsid w:val="003D07E2"/>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6120"/>
    <w:rsid w:val="0047598D"/>
    <w:rsid w:val="004802CE"/>
    <w:rsid w:val="00486DB6"/>
    <w:rsid w:val="00487D16"/>
    <w:rsid w:val="004957F5"/>
    <w:rsid w:val="004976A5"/>
    <w:rsid w:val="004A0034"/>
    <w:rsid w:val="004A02D4"/>
    <w:rsid w:val="004A0690"/>
    <w:rsid w:val="004A2CA4"/>
    <w:rsid w:val="004A7A7B"/>
    <w:rsid w:val="004A7E26"/>
    <w:rsid w:val="004B401D"/>
    <w:rsid w:val="004B58A1"/>
    <w:rsid w:val="004B5CAF"/>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1F10"/>
    <w:rsid w:val="00505587"/>
    <w:rsid w:val="00507F68"/>
    <w:rsid w:val="00513F49"/>
    <w:rsid w:val="0052003D"/>
    <w:rsid w:val="00523B8A"/>
    <w:rsid w:val="00532585"/>
    <w:rsid w:val="00533FA0"/>
    <w:rsid w:val="00536BB6"/>
    <w:rsid w:val="0054006F"/>
    <w:rsid w:val="00540C10"/>
    <w:rsid w:val="005464FA"/>
    <w:rsid w:val="00560650"/>
    <w:rsid w:val="00567FB5"/>
    <w:rsid w:val="005770C3"/>
    <w:rsid w:val="00577753"/>
    <w:rsid w:val="00581256"/>
    <w:rsid w:val="00581AD2"/>
    <w:rsid w:val="005857A0"/>
    <w:rsid w:val="00592D42"/>
    <w:rsid w:val="00593420"/>
    <w:rsid w:val="00595619"/>
    <w:rsid w:val="005A5B02"/>
    <w:rsid w:val="005A7418"/>
    <w:rsid w:val="005B1CD1"/>
    <w:rsid w:val="005B3245"/>
    <w:rsid w:val="005B6754"/>
    <w:rsid w:val="005B75C0"/>
    <w:rsid w:val="005C3143"/>
    <w:rsid w:val="005D0374"/>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03F1"/>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25F1"/>
    <w:rsid w:val="00821DE8"/>
    <w:rsid w:val="00821E76"/>
    <w:rsid w:val="008259BC"/>
    <w:rsid w:val="0083105A"/>
    <w:rsid w:val="008349D5"/>
    <w:rsid w:val="00837040"/>
    <w:rsid w:val="008427AB"/>
    <w:rsid w:val="0084603C"/>
    <w:rsid w:val="00847DCE"/>
    <w:rsid w:val="0085023C"/>
    <w:rsid w:val="00853966"/>
    <w:rsid w:val="00857827"/>
    <w:rsid w:val="00866A6C"/>
    <w:rsid w:val="008969FE"/>
    <w:rsid w:val="008A237C"/>
    <w:rsid w:val="008A2D2C"/>
    <w:rsid w:val="008A3633"/>
    <w:rsid w:val="008B0BF3"/>
    <w:rsid w:val="008B2514"/>
    <w:rsid w:val="008B4607"/>
    <w:rsid w:val="008C030F"/>
    <w:rsid w:val="008C3836"/>
    <w:rsid w:val="008D121B"/>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13A8"/>
    <w:rsid w:val="00940134"/>
    <w:rsid w:val="00943A3E"/>
    <w:rsid w:val="00944CCC"/>
    <w:rsid w:val="00945E7F"/>
    <w:rsid w:val="00947403"/>
    <w:rsid w:val="0095057C"/>
    <w:rsid w:val="00950C2C"/>
    <w:rsid w:val="009543BA"/>
    <w:rsid w:val="00954FB4"/>
    <w:rsid w:val="00960925"/>
    <w:rsid w:val="009658FC"/>
    <w:rsid w:val="00970AB3"/>
    <w:rsid w:val="00982C13"/>
    <w:rsid w:val="00985DF4"/>
    <w:rsid w:val="00987E45"/>
    <w:rsid w:val="0099241E"/>
    <w:rsid w:val="0099256B"/>
    <w:rsid w:val="009942F3"/>
    <w:rsid w:val="00994950"/>
    <w:rsid w:val="0099652B"/>
    <w:rsid w:val="009A0831"/>
    <w:rsid w:val="009A44FB"/>
    <w:rsid w:val="009A5CDE"/>
    <w:rsid w:val="009A7281"/>
    <w:rsid w:val="009B3F92"/>
    <w:rsid w:val="009C3CE9"/>
    <w:rsid w:val="009C6A82"/>
    <w:rsid w:val="009D15D2"/>
    <w:rsid w:val="009D592F"/>
    <w:rsid w:val="009D641F"/>
    <w:rsid w:val="009E197B"/>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1428"/>
    <w:rsid w:val="00AD3489"/>
    <w:rsid w:val="00AD3E2D"/>
    <w:rsid w:val="00AD51DD"/>
    <w:rsid w:val="00AE5C1B"/>
    <w:rsid w:val="00AE79D8"/>
    <w:rsid w:val="00AE7BAC"/>
    <w:rsid w:val="00AF09FB"/>
    <w:rsid w:val="00AF75C1"/>
    <w:rsid w:val="00B00C16"/>
    <w:rsid w:val="00B03B3E"/>
    <w:rsid w:val="00B046A4"/>
    <w:rsid w:val="00B06382"/>
    <w:rsid w:val="00B0733F"/>
    <w:rsid w:val="00B10701"/>
    <w:rsid w:val="00B146E7"/>
    <w:rsid w:val="00B20242"/>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185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47DD0"/>
    <w:rsid w:val="00C61A9B"/>
    <w:rsid w:val="00C732F1"/>
    <w:rsid w:val="00C8565C"/>
    <w:rsid w:val="00C92227"/>
    <w:rsid w:val="00CA2E90"/>
    <w:rsid w:val="00CB0287"/>
    <w:rsid w:val="00CB11AE"/>
    <w:rsid w:val="00CB196D"/>
    <w:rsid w:val="00CB2CF7"/>
    <w:rsid w:val="00CC1506"/>
    <w:rsid w:val="00CC176A"/>
    <w:rsid w:val="00CC1B4E"/>
    <w:rsid w:val="00CC3731"/>
    <w:rsid w:val="00CC3808"/>
    <w:rsid w:val="00CC4506"/>
    <w:rsid w:val="00CC4F04"/>
    <w:rsid w:val="00CD723D"/>
    <w:rsid w:val="00CE114D"/>
    <w:rsid w:val="00CE1BBB"/>
    <w:rsid w:val="00CF226A"/>
    <w:rsid w:val="00CF3263"/>
    <w:rsid w:val="00CF444E"/>
    <w:rsid w:val="00D001BF"/>
    <w:rsid w:val="00D07FED"/>
    <w:rsid w:val="00D1171B"/>
    <w:rsid w:val="00D1499A"/>
    <w:rsid w:val="00D16172"/>
    <w:rsid w:val="00D20653"/>
    <w:rsid w:val="00D25C67"/>
    <w:rsid w:val="00D25D4B"/>
    <w:rsid w:val="00D30DDB"/>
    <w:rsid w:val="00D334A9"/>
    <w:rsid w:val="00D36199"/>
    <w:rsid w:val="00D43678"/>
    <w:rsid w:val="00D51F2C"/>
    <w:rsid w:val="00D5247F"/>
    <w:rsid w:val="00D528F6"/>
    <w:rsid w:val="00D604F2"/>
    <w:rsid w:val="00D670F7"/>
    <w:rsid w:val="00D72734"/>
    <w:rsid w:val="00D7746E"/>
    <w:rsid w:val="00D819E7"/>
    <w:rsid w:val="00D85A61"/>
    <w:rsid w:val="00D92C82"/>
    <w:rsid w:val="00DA1E10"/>
    <w:rsid w:val="00DA463D"/>
    <w:rsid w:val="00DA5B64"/>
    <w:rsid w:val="00DB2B00"/>
    <w:rsid w:val="00DB45E7"/>
    <w:rsid w:val="00DC19E1"/>
    <w:rsid w:val="00DC25CF"/>
    <w:rsid w:val="00DC65F7"/>
    <w:rsid w:val="00DD0DB0"/>
    <w:rsid w:val="00DD52BC"/>
    <w:rsid w:val="00DE6458"/>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0424"/>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25589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8014AE8"/>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2D66C7"/>
    <w:rsid w:val="63AA02E5"/>
    <w:rsid w:val="64700DE9"/>
    <w:rsid w:val="65C613BD"/>
    <w:rsid w:val="65FD118C"/>
    <w:rsid w:val="682C3D89"/>
    <w:rsid w:val="68611305"/>
    <w:rsid w:val="6A162DE0"/>
    <w:rsid w:val="6A331428"/>
    <w:rsid w:val="6B2E5CB6"/>
    <w:rsid w:val="6B3D4886"/>
    <w:rsid w:val="6C3B7D47"/>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框文本 字符"/>
    <w:link w:val="3"/>
    <w:semiHidden/>
    <w:qFormat/>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qFormat/>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17</Pages>
  <Words>1281</Words>
  <Characters>7306</Characters>
  <Lines>60</Lines>
  <Paragraphs>17</Paragraphs>
  <TotalTime>0</TotalTime>
  <ScaleCrop>false</ScaleCrop>
  <LinksUpToDate>false</LinksUpToDate>
  <CharactersWithSpaces>8570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2025-02-12T05:25:31Z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