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EA2" w:rsidRDefault="00D21EA2">
      <w:pPr>
        <w:spacing w:line="540" w:lineRule="exact"/>
        <w:jc w:val="left"/>
        <w:rPr>
          <w:rFonts w:ascii="仿宋" w:eastAsia="仿宋" w:hAnsi="仿宋" w:cs="宋体"/>
          <w:kern w:val="0"/>
          <w:sz w:val="32"/>
          <w:szCs w:val="32"/>
        </w:rPr>
      </w:pPr>
    </w:p>
    <w:p w:rsidR="00D21EA2" w:rsidRDefault="00D21EA2">
      <w:pPr>
        <w:spacing w:line="540" w:lineRule="exact"/>
        <w:jc w:val="center"/>
        <w:rPr>
          <w:rFonts w:ascii="华文中宋" w:eastAsia="华文中宋" w:hAnsi="华文中宋" w:cs="宋体"/>
          <w:b/>
          <w:kern w:val="0"/>
          <w:sz w:val="52"/>
          <w:szCs w:val="52"/>
        </w:rPr>
      </w:pPr>
    </w:p>
    <w:p w:rsidR="00D21EA2" w:rsidRDefault="00D21EA2">
      <w:pPr>
        <w:spacing w:line="540" w:lineRule="exact"/>
        <w:jc w:val="center"/>
        <w:rPr>
          <w:rFonts w:ascii="华文中宋" w:eastAsia="华文中宋" w:hAnsi="华文中宋" w:cs="宋体"/>
          <w:b/>
          <w:kern w:val="0"/>
          <w:sz w:val="52"/>
          <w:szCs w:val="52"/>
        </w:rPr>
      </w:pPr>
    </w:p>
    <w:p w:rsidR="00D21EA2" w:rsidRDefault="00D21EA2">
      <w:pPr>
        <w:spacing w:line="540" w:lineRule="exact"/>
        <w:jc w:val="center"/>
        <w:rPr>
          <w:rFonts w:ascii="华文中宋" w:eastAsia="华文中宋" w:hAnsi="华文中宋" w:cs="宋体"/>
          <w:b/>
          <w:kern w:val="0"/>
          <w:sz w:val="52"/>
          <w:szCs w:val="52"/>
        </w:rPr>
      </w:pPr>
    </w:p>
    <w:p w:rsidR="00D21EA2" w:rsidRDefault="00D21EA2">
      <w:pPr>
        <w:spacing w:line="540" w:lineRule="exact"/>
        <w:jc w:val="center"/>
        <w:rPr>
          <w:rFonts w:ascii="华文中宋" w:eastAsia="华文中宋" w:hAnsi="华文中宋" w:cs="宋体"/>
          <w:b/>
          <w:kern w:val="0"/>
          <w:sz w:val="52"/>
          <w:szCs w:val="52"/>
        </w:rPr>
      </w:pPr>
    </w:p>
    <w:p w:rsidR="00D21EA2" w:rsidRDefault="00D21EA2">
      <w:pPr>
        <w:spacing w:line="540" w:lineRule="exact"/>
        <w:jc w:val="center"/>
        <w:rPr>
          <w:rFonts w:ascii="华文中宋" w:eastAsia="华文中宋" w:hAnsi="华文中宋" w:cs="宋体"/>
          <w:b/>
          <w:kern w:val="0"/>
          <w:sz w:val="52"/>
          <w:szCs w:val="52"/>
        </w:rPr>
      </w:pPr>
    </w:p>
    <w:p w:rsidR="00D21EA2" w:rsidRDefault="00D21EA2">
      <w:pPr>
        <w:spacing w:line="540" w:lineRule="exact"/>
        <w:jc w:val="center"/>
        <w:rPr>
          <w:rFonts w:ascii="华文中宋" w:eastAsia="华文中宋" w:hAnsi="华文中宋" w:cs="宋体"/>
          <w:b/>
          <w:kern w:val="0"/>
          <w:sz w:val="52"/>
          <w:szCs w:val="52"/>
        </w:rPr>
      </w:pPr>
    </w:p>
    <w:p w:rsidR="00D21EA2" w:rsidRDefault="00623A1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D21EA2" w:rsidRDefault="00D21EA2">
      <w:pPr>
        <w:spacing w:line="540" w:lineRule="exact"/>
        <w:jc w:val="center"/>
        <w:rPr>
          <w:rFonts w:ascii="华文中宋" w:eastAsia="华文中宋" w:hAnsi="华文中宋" w:cs="宋体"/>
          <w:b/>
          <w:kern w:val="0"/>
          <w:sz w:val="52"/>
          <w:szCs w:val="52"/>
        </w:rPr>
      </w:pPr>
    </w:p>
    <w:p w:rsidR="00D21EA2" w:rsidRDefault="00623A13">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jc w:val="center"/>
        <w:rPr>
          <w:rFonts w:eastAsia="仿宋_GB2312" w:hAnsi="宋体" w:cs="宋体"/>
          <w:kern w:val="0"/>
          <w:sz w:val="30"/>
          <w:szCs w:val="30"/>
        </w:rPr>
      </w:pPr>
    </w:p>
    <w:p w:rsidR="00D21EA2" w:rsidRDefault="00D21EA2">
      <w:pPr>
        <w:spacing w:line="540" w:lineRule="exact"/>
        <w:rPr>
          <w:rFonts w:eastAsia="仿宋_GB2312" w:hAnsi="宋体" w:cs="宋体"/>
          <w:kern w:val="0"/>
          <w:sz w:val="30"/>
          <w:szCs w:val="30"/>
        </w:rPr>
      </w:pPr>
    </w:p>
    <w:p w:rsidR="00D21EA2" w:rsidRDefault="00623A13">
      <w:pPr>
        <w:spacing w:line="700" w:lineRule="exact"/>
        <w:ind w:left="2880" w:hangingChars="800" w:hanging="2880"/>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2"/>
          <w:szCs w:val="32"/>
        </w:rPr>
        <w:t>棚户区改造资金及利息、城市基础设施建设、保障性住房资金项目</w:t>
      </w:r>
    </w:p>
    <w:p w:rsidR="00D21EA2" w:rsidRDefault="00623A13">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实施单位（公章）：叶城县住房和城乡建设局</w:t>
      </w:r>
    </w:p>
    <w:p w:rsidR="00D21EA2" w:rsidRDefault="00623A13" w:rsidP="00F21CA8">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主管部门（公章）：叶城县住房和城乡建设局</w:t>
      </w:r>
    </w:p>
    <w:p w:rsidR="00D21EA2" w:rsidRDefault="00623A13" w:rsidP="00F21CA8">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项目负责人（签章）：邱春鹏</w:t>
      </w:r>
    </w:p>
    <w:p w:rsidR="00D21EA2" w:rsidRDefault="00623A13" w:rsidP="00F21CA8">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31</w:t>
      </w:r>
      <w:r>
        <w:rPr>
          <w:rFonts w:eastAsia="仿宋_GB2312" w:hAnsi="宋体" w:cs="宋体" w:hint="eastAsia"/>
          <w:kern w:val="0"/>
          <w:sz w:val="36"/>
          <w:szCs w:val="36"/>
        </w:rPr>
        <w:t>日</w:t>
      </w:r>
    </w:p>
    <w:p w:rsidR="00D21EA2" w:rsidRDefault="00D21EA2">
      <w:pPr>
        <w:spacing w:line="540" w:lineRule="exact"/>
        <w:rPr>
          <w:rStyle w:val="a8"/>
          <w:rFonts w:ascii="黑体" w:eastAsia="黑体" w:hAnsi="黑体"/>
          <w:b w:val="0"/>
          <w:spacing w:val="-4"/>
          <w:sz w:val="32"/>
          <w:szCs w:val="32"/>
        </w:rPr>
      </w:pPr>
    </w:p>
    <w:p w:rsidR="00D21EA2" w:rsidRDefault="00623A13">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D21EA2" w:rsidRDefault="00623A13" w:rsidP="0088222B">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叶城县住房和城乡建设局下属六个单位，其中下属叶城县规划局，叶城县城市管理执法局，叶城县环卫局，叶城县供排水供暖总公司，叶城县天然气开发公司，叶城县市场开发，叶城县人民公园。2018年末共有机构数是1个，其中行政机关1个，机构比去年没有增加，机构数量不变。编制人数102人其中：其中行政编制13人，其中行政工勤人员编制1人，事业编制91人，其中参照公务员编制41人。在职实有公务员16人，事业人员125人，其中参照公务员36人。</w:t>
      </w:r>
    </w:p>
    <w:p w:rsidR="00D21EA2" w:rsidRPr="00F21CA8" w:rsidRDefault="00623A13">
      <w:pPr>
        <w:pStyle w:val="Char6"/>
        <w:spacing w:line="560" w:lineRule="exact"/>
        <w:ind w:firstLineChars="200" w:firstLine="640"/>
        <w:rPr>
          <w:rFonts w:cs="仿宋_GB2312"/>
          <w:b w:val="0"/>
        </w:rPr>
      </w:pPr>
      <w:r w:rsidRPr="00F21CA8">
        <w:rPr>
          <w:rFonts w:cs="仿宋_GB2312" w:hint="eastAsia"/>
          <w:b w:val="0"/>
        </w:rPr>
        <w:t>工作职能：</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（1）贯彻执行国家有关城市建设工作的法律法规、方针和政策；</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（2）制定并组织实施全县城市建设行业发展规划、计划；</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（3）制定全县城市建设发展战略。</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（4）负责全县城市基础设施建设、道路维护、市场管理、行政管理、行政执法和行政复议。</w:t>
      </w:r>
    </w:p>
    <w:p w:rsidR="00D21EA2" w:rsidRPr="00F21CA8" w:rsidRDefault="00623A13">
      <w:pPr>
        <w:pStyle w:val="Char6"/>
        <w:spacing w:line="560" w:lineRule="exact"/>
        <w:ind w:firstLineChars="200" w:firstLine="640"/>
        <w:rPr>
          <w:rFonts w:hAnsi="仿宋_GB2312" w:cs="仿宋_GB2312"/>
          <w:b w:val="0"/>
        </w:rPr>
      </w:pPr>
      <w:r w:rsidRPr="00F21CA8">
        <w:rPr>
          <w:rFonts w:hAnsi="仿宋_GB2312" w:cs="仿宋_GB2312" w:hint="eastAsia"/>
          <w:b w:val="0"/>
        </w:rPr>
        <w:t>（5）监督城市基础设施建设资金的管理、使用。</w:t>
      </w:r>
    </w:p>
    <w:p w:rsidR="00D21EA2" w:rsidRPr="00F21CA8" w:rsidRDefault="00623A13">
      <w:pPr>
        <w:pStyle w:val="Char6"/>
        <w:spacing w:line="560" w:lineRule="exact"/>
        <w:ind w:firstLineChars="200" w:firstLine="640"/>
      </w:pPr>
      <w:r w:rsidRPr="00F21CA8">
        <w:rPr>
          <w:rFonts w:hAnsi="仿宋_GB2312" w:cs="仿宋_GB2312" w:hint="eastAsia"/>
          <w:b w:val="0"/>
        </w:rPr>
        <w:t>（6）承办县委、县人民政府交办的其他工作。</w:t>
      </w:r>
    </w:p>
    <w:p w:rsidR="00D21EA2" w:rsidRDefault="00623A13" w:rsidP="0088222B">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D21EA2" w:rsidRDefault="00623A13" w:rsidP="009C0B0C">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D21EA2" w:rsidRPr="00F21CA8" w:rsidRDefault="00623A13">
      <w:pPr>
        <w:adjustRightInd w:val="0"/>
        <w:snapToGrid w:val="0"/>
        <w:spacing w:line="560" w:lineRule="exact"/>
        <w:ind w:firstLineChars="200" w:firstLine="624"/>
        <w:rPr>
          <w:rFonts w:ascii="仿宋_GB2312" w:eastAsia="仿宋_GB2312" w:hAnsi="仿宋_GB2312" w:cs="仿宋_GB2312"/>
          <w:bCs/>
          <w:spacing w:val="-4"/>
          <w:sz w:val="32"/>
          <w:szCs w:val="32"/>
        </w:rPr>
      </w:pPr>
      <w:r w:rsidRPr="00F21CA8">
        <w:rPr>
          <w:rStyle w:val="a8"/>
          <w:rFonts w:ascii="仿宋_GB2312" w:eastAsia="仿宋_GB2312" w:hAnsi="仿宋_GB2312" w:cs="仿宋_GB2312" w:hint="eastAsia"/>
          <w:b w:val="0"/>
          <w:bCs w:val="0"/>
          <w:spacing w:val="-4"/>
          <w:sz w:val="32"/>
          <w:szCs w:val="32"/>
        </w:rPr>
        <w:t>棚户区改造3277户，公共租赁住房建设3555套，棚户区改造基础设施建设道路、给排水、燃气、电力1832.43米；围栏10000米，补建公共租赁住房建设项目道路、给排水、燃气、电力、供暖</w:t>
      </w:r>
      <w:r w:rsidRPr="00F21CA8">
        <w:rPr>
          <w:rStyle w:val="a8"/>
          <w:rFonts w:ascii="仿宋_GB2312" w:eastAsia="仿宋_GB2312" w:hAnsi="仿宋_GB2312" w:cs="仿宋_GB2312" w:hint="eastAsia"/>
          <w:b w:val="0"/>
          <w:bCs w:val="0"/>
          <w:spacing w:val="-4"/>
          <w:sz w:val="32"/>
          <w:szCs w:val="32"/>
        </w:rPr>
        <w:lastRenderedPageBreak/>
        <w:t>等。</w:t>
      </w:r>
    </w:p>
    <w:p w:rsidR="00D21EA2" w:rsidRDefault="00623A13" w:rsidP="009C0B0C">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2、项目基本性质</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此项目为延续性项目，保障居民住房。此资金为本级财力安排资金。</w:t>
      </w:r>
    </w:p>
    <w:p w:rsidR="00D21EA2" w:rsidRDefault="00623A13" w:rsidP="009C0B0C">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棚户区改造3277户，公共租赁住房建设3555套，棚户区改造基础设施建设道路、给排水、燃气、电力等；补建公共租赁住房建设项目道路、给排水、燃气、电力、供暖等。</w:t>
      </w:r>
    </w:p>
    <w:p w:rsidR="00D21EA2" w:rsidRPr="00F21CA8" w:rsidRDefault="00623A13" w:rsidP="00F21CA8">
      <w:pPr>
        <w:spacing w:line="560" w:lineRule="exact"/>
        <w:ind w:firstLineChars="200" w:firstLine="624"/>
        <w:rPr>
          <w:rStyle w:val="a8"/>
          <w:rFonts w:ascii="黑体" w:eastAsia="黑体" w:hAnsi="黑体"/>
          <w:b w:val="0"/>
          <w:spacing w:val="-4"/>
          <w:sz w:val="32"/>
          <w:szCs w:val="32"/>
        </w:rPr>
      </w:pPr>
      <w:r w:rsidRPr="00F21CA8">
        <w:rPr>
          <w:rStyle w:val="a8"/>
          <w:rFonts w:ascii="黑体" w:eastAsia="黑体" w:hAnsi="黑体" w:hint="eastAsia"/>
          <w:b w:val="0"/>
          <w:spacing w:val="-4"/>
          <w:sz w:val="32"/>
          <w:szCs w:val="32"/>
        </w:rPr>
        <w:t>二、项目资金使用及管理情况</w:t>
      </w:r>
    </w:p>
    <w:p w:rsidR="00D21EA2" w:rsidRDefault="00623A13" w:rsidP="0088222B">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根据县财经领导小组会议精神，本项目预算安排资金74077.06万元，其中财政资金74077.06万元，其他资金0万元，资金到位74077.06万元；资金到位率100%。（其中县级财政资金64080.06万元，预算外资金9997万元）</w:t>
      </w:r>
    </w:p>
    <w:p w:rsidR="00D21EA2" w:rsidRDefault="00623A13" w:rsidP="0088222B">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根据县财经领导小组会议精神，到位资金74077.06万元，本项目实际支付资金74077.06万元，预算执行率100%，项目资金主要用于棚户区改造3277户，公共租赁住房建设3555套，棚户区改造基础设施建设道路、给排水、燃气、电力等；补建公共租赁住房建设项目道路、给排水、燃气、电力、供暖等。</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 xml:space="preserve">根据中央和自治区项目资金管理办法的要求，叶城县住房和城乡建设局严格按照项目资金规定的专项资金支持的项目条件和范围要求，严格按照有关规定使用管理项目资金。 </w:t>
      </w:r>
    </w:p>
    <w:p w:rsidR="00D21EA2" w:rsidRDefault="00623A13" w:rsidP="0088222B">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lastRenderedPageBreak/>
        <w:t>本项目资金严格按照《叶城县财政专项资金管理暂行办法》和财政资金管理制度支付资金；资金的支付有完整的审批程序和手续符合制度要求；严格按照项目资金管理办法，严格执行项目资金报账审批制度，确保资金专款专用；不存在截留、挤占、挪用、虚列支出等情况。</w:t>
      </w:r>
    </w:p>
    <w:p w:rsidR="00D21EA2" w:rsidRDefault="00623A13">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D21EA2" w:rsidRDefault="00623A13" w:rsidP="0088222B">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2018年保障性安居工程项目资金于2月份起下达，其中用于棚改拆迁3277套，建设还建公共租赁住房3555套。该项目经公开招标，由新疆雪域高原建设工程有限公司、喀什华厦建筑安装工程有限公司等公司承建。</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本项目不存在调整情况。</w:t>
      </w:r>
    </w:p>
    <w:p w:rsidR="00D21EA2" w:rsidRDefault="00623A13" w:rsidP="0088222B">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D21EA2" w:rsidRPr="00F21CA8" w:rsidRDefault="00623A13">
      <w:pPr>
        <w:adjustRightInd w:val="0"/>
        <w:snapToGrid w:val="0"/>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本项目着力安排部署，不断强化项目监督。县委、政府高度重视此项目，先后多次召开专题会议安排部署具体工作，并成立了领导小组，负责督促检查建设情况，及时协调解决项目建设过程中遇到的困难和问题，根据资金使用方案，严格按照审批程序，经县财政统一监管资金使用规范,不存在截流、挤占、挪用项目资金情况; 资金管理、费用支出制度健全，财务执行情况好，项目专项资金管理好。</w:t>
      </w:r>
    </w:p>
    <w:p w:rsidR="00D21EA2" w:rsidRPr="00F21CA8" w:rsidRDefault="00623A13" w:rsidP="00F21CA8">
      <w:pPr>
        <w:adjustRightInd w:val="0"/>
        <w:snapToGrid w:val="0"/>
        <w:spacing w:line="560" w:lineRule="exact"/>
        <w:ind w:firstLineChars="200" w:firstLine="624"/>
        <w:rPr>
          <w:rStyle w:val="a8"/>
          <w:rFonts w:ascii="黑体" w:eastAsia="黑体" w:hAnsi="黑体"/>
          <w:b w:val="0"/>
        </w:rPr>
      </w:pPr>
      <w:r w:rsidRPr="00F21CA8">
        <w:rPr>
          <w:rStyle w:val="a8"/>
          <w:rFonts w:ascii="黑体" w:eastAsia="黑体" w:hAnsi="黑体" w:hint="eastAsia"/>
          <w:b w:val="0"/>
          <w:spacing w:val="-4"/>
          <w:sz w:val="32"/>
          <w:szCs w:val="32"/>
        </w:rPr>
        <w:t>四、项目绩效情况</w:t>
      </w:r>
    </w:p>
    <w:p w:rsidR="00D21EA2" w:rsidRDefault="00623A13" w:rsidP="0088222B">
      <w:pPr>
        <w:adjustRightInd w:val="0"/>
        <w:snapToGrid w:val="0"/>
        <w:spacing w:line="560" w:lineRule="exact"/>
        <w:ind w:firstLineChars="200" w:firstLine="624"/>
        <w:rPr>
          <w:rStyle w:val="a8"/>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D21EA2" w:rsidRPr="00F21CA8" w:rsidRDefault="00623A13">
      <w:pPr>
        <w:widowControl/>
        <w:spacing w:line="560" w:lineRule="exact"/>
        <w:ind w:firstLineChars="200" w:firstLine="624"/>
        <w:rPr>
          <w:rFonts w:ascii="仿宋_GB2312" w:eastAsia="仿宋_GB2312" w:hAnsi="仿宋_GB2312" w:cs="仿宋_GB2312"/>
          <w:kern w:val="0"/>
          <w:sz w:val="32"/>
          <w:szCs w:val="32"/>
        </w:rPr>
      </w:pPr>
      <w:r w:rsidRPr="00F21CA8">
        <w:rPr>
          <w:rFonts w:ascii="仿宋_GB2312" w:eastAsia="仿宋_GB2312" w:hAnsi="仿宋_GB2312" w:cs="仿宋_GB2312" w:hint="eastAsia"/>
          <w:bCs/>
          <w:spacing w:val="-4"/>
          <w:sz w:val="32"/>
          <w:szCs w:val="32"/>
        </w:rPr>
        <w:lastRenderedPageBreak/>
        <w:t>本项目共设置一级指标3个，二级指标8个，三级指标13个，其中已完成三级指标13个，指标完成率为100%。</w:t>
      </w:r>
      <w:r w:rsidRPr="00F21CA8">
        <w:rPr>
          <w:rFonts w:ascii="仿宋_GB2312" w:eastAsia="仿宋_GB2312" w:hAnsi="仿宋_GB2312" w:cs="仿宋_GB2312" w:hint="eastAsia"/>
          <w:kern w:val="0"/>
          <w:sz w:val="32"/>
          <w:szCs w:val="32"/>
        </w:rPr>
        <w:t>根据年初设定的绩效目标，此项目自评得分为95分。</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1.产出指标完成情况分析</w:t>
      </w:r>
    </w:p>
    <w:p w:rsidR="00D21EA2" w:rsidRPr="00F21CA8" w:rsidRDefault="00623A13">
      <w:p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(1)项目完成数量。</w:t>
      </w:r>
    </w:p>
    <w:p w:rsidR="00D21EA2" w:rsidRPr="00F21CA8" w:rsidRDefault="00623A13">
      <w:p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棚户区改造户数3277户，公共租赁住房建设套数3555套，电力、燃气、给排水1832.43米，围栏10000米，安装地点14处，截至2018年绩效自评时,该项目年度设定的预期目标全部完成,完成率为100%。</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(2)项目完成质量。</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项目验收合格率100%。根据项目实施完成后的结果来看,我单位严格以高质量的项目完成情况来执行,完成率为100%。</w:t>
      </w:r>
    </w:p>
    <w:p w:rsidR="00D21EA2" w:rsidRPr="00F21CA8" w:rsidRDefault="00623A13">
      <w:pPr>
        <w:widowControl/>
        <w:numPr>
          <w:ilvl w:val="0"/>
          <w:numId w:val="1"/>
        </w:num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项目实施进度。</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项目完工及时率100%，根据年初单位制定的实施方案,严格把控资金与项目实施进度相统一的原则,项目完成进度良好,当年完成率为100%。</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(4)项目成本节约情况。</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房建平均单价1530元/平方米，配套设施建设平均单价400元/平方米，房屋拆迁补偿平均价152570元/户，我单位在执行该类项目时,严格控制成本在预算之内,坚决杜绝资金浪费现象的产生。</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2.效益指标完成情况分析。</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(1)项目实施的经济效益分析。</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无</w:t>
      </w:r>
    </w:p>
    <w:p w:rsidR="00D21EA2" w:rsidRPr="00F21CA8" w:rsidRDefault="00623A13">
      <w:pPr>
        <w:widowControl/>
        <w:numPr>
          <w:ilvl w:val="0"/>
          <w:numId w:val="2"/>
        </w:num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lastRenderedPageBreak/>
        <w:t>项目实施的社会效益分析。</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不断改善城区人居环境95%，完成率100%。</w:t>
      </w:r>
    </w:p>
    <w:p w:rsidR="00D21EA2" w:rsidRPr="00F21CA8" w:rsidRDefault="00623A13">
      <w:pPr>
        <w:widowControl/>
        <w:numPr>
          <w:ilvl w:val="0"/>
          <w:numId w:val="2"/>
        </w:num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项目实施的生态效益分析。</w:t>
      </w:r>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无。</w:t>
      </w:r>
    </w:p>
    <w:p w:rsidR="00D21EA2" w:rsidRPr="00F21CA8" w:rsidRDefault="00623A13">
      <w:pPr>
        <w:widowControl/>
        <w:numPr>
          <w:ilvl w:val="0"/>
          <w:numId w:val="2"/>
        </w:num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项目实施的可持续影响分析。</w:t>
      </w:r>
      <w:bookmarkStart w:id="0" w:name="_Toc268521436"/>
    </w:p>
    <w:p w:rsidR="00D21EA2" w:rsidRPr="00F21CA8" w:rsidRDefault="00623A13">
      <w:pPr>
        <w:widowControl/>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项目实施年限1年。</w:t>
      </w:r>
      <w:bookmarkEnd w:id="0"/>
    </w:p>
    <w:p w:rsidR="00D21EA2" w:rsidRPr="00F21CA8" w:rsidRDefault="00623A13">
      <w:pPr>
        <w:numPr>
          <w:ilvl w:val="0"/>
          <w:numId w:val="3"/>
        </w:num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满意度指标完成情况分析</w:t>
      </w:r>
    </w:p>
    <w:p w:rsidR="00D21EA2" w:rsidRPr="00F21CA8" w:rsidRDefault="00623A13">
      <w:pPr>
        <w:spacing w:line="560" w:lineRule="exact"/>
        <w:ind w:firstLineChars="200" w:firstLine="640"/>
        <w:rPr>
          <w:rFonts w:ascii="仿宋_GB2312" w:eastAsia="仿宋_GB2312" w:hAnsi="仿宋_GB2312" w:cs="仿宋_GB2312"/>
          <w:kern w:val="0"/>
          <w:sz w:val="32"/>
          <w:szCs w:val="32"/>
        </w:rPr>
      </w:pPr>
      <w:r w:rsidRPr="00F21CA8">
        <w:rPr>
          <w:rFonts w:ascii="仿宋_GB2312" w:eastAsia="仿宋_GB2312" w:hAnsi="仿宋_GB2312" w:cs="仿宋_GB2312" w:hint="eastAsia"/>
          <w:kern w:val="0"/>
          <w:sz w:val="32"/>
          <w:szCs w:val="32"/>
        </w:rPr>
        <w:t>按计划成项目实施，受益群众满意度96%，完成率100%。</w:t>
      </w:r>
    </w:p>
    <w:p w:rsidR="00D21EA2" w:rsidRDefault="00623A13" w:rsidP="0088222B">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D21EA2" w:rsidRPr="00F21CA8" w:rsidRDefault="00623A13">
      <w:pPr>
        <w:adjustRightInd w:val="0"/>
        <w:snapToGrid w:val="0"/>
        <w:spacing w:line="560" w:lineRule="exact"/>
        <w:ind w:firstLineChars="200" w:firstLine="624"/>
        <w:rPr>
          <w:rFonts w:ascii="仿宋_GB2312" w:eastAsia="仿宋_GB2312" w:hAnsi="仿宋_GB2312" w:cs="仿宋_GB2312"/>
          <w:spacing w:val="-4"/>
          <w:sz w:val="32"/>
          <w:szCs w:val="32"/>
        </w:rPr>
      </w:pPr>
      <w:r w:rsidRPr="00F21CA8">
        <w:rPr>
          <w:rFonts w:ascii="仿宋_GB2312" w:eastAsia="仿宋_GB2312" w:hAnsi="仿宋_GB2312" w:cs="仿宋_GB2312" w:hint="eastAsia"/>
          <w:spacing w:val="-4"/>
          <w:sz w:val="32"/>
          <w:szCs w:val="32"/>
        </w:rPr>
        <w:t>2018年本项目绩效目标全部达成，不存在未完成原因分析。</w:t>
      </w:r>
    </w:p>
    <w:p w:rsidR="00D21EA2" w:rsidRPr="00F21CA8" w:rsidRDefault="00623A13" w:rsidP="00F21CA8">
      <w:pPr>
        <w:adjustRightInd w:val="0"/>
        <w:snapToGrid w:val="0"/>
        <w:spacing w:line="560" w:lineRule="exact"/>
        <w:ind w:firstLineChars="200" w:firstLine="624"/>
        <w:rPr>
          <w:rStyle w:val="a8"/>
          <w:rFonts w:ascii="黑体" w:eastAsia="黑体" w:hAnsi="黑体"/>
          <w:b w:val="0"/>
          <w:spacing w:val="-4"/>
          <w:sz w:val="32"/>
          <w:szCs w:val="32"/>
        </w:rPr>
      </w:pPr>
      <w:r w:rsidRPr="00F21CA8">
        <w:rPr>
          <w:rStyle w:val="a8"/>
          <w:rFonts w:ascii="黑体" w:eastAsia="黑体" w:hAnsi="黑体" w:hint="eastAsia"/>
          <w:b w:val="0"/>
          <w:spacing w:val="-4"/>
          <w:sz w:val="32"/>
          <w:szCs w:val="32"/>
        </w:rPr>
        <w:t>五、其他需要说明的问题</w:t>
      </w:r>
    </w:p>
    <w:p w:rsidR="00D21EA2" w:rsidRDefault="00623A13" w:rsidP="0088222B">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（一）后续工作计划</w:t>
      </w:r>
    </w:p>
    <w:p w:rsidR="00D21EA2" w:rsidRPr="00F21CA8" w:rsidRDefault="00623A13">
      <w:pPr>
        <w:spacing w:line="560" w:lineRule="exact"/>
        <w:ind w:firstLineChars="200" w:firstLine="624"/>
        <w:rPr>
          <w:rFonts w:ascii="仿宋_GB2312" w:eastAsia="仿宋_GB2312" w:hAnsi="仿宋_GB2312" w:cs="仿宋_GB2312"/>
          <w:b/>
          <w:spacing w:val="-4"/>
          <w:sz w:val="32"/>
          <w:szCs w:val="32"/>
        </w:rPr>
      </w:pPr>
      <w:r w:rsidRPr="00F21CA8">
        <w:rPr>
          <w:rStyle w:val="a8"/>
          <w:rFonts w:ascii="仿宋_GB2312" w:eastAsia="仿宋_GB2312" w:hAnsi="仿宋_GB2312" w:cs="仿宋_GB2312" w:hint="eastAsia"/>
          <w:b w:val="0"/>
          <w:bCs w:val="0"/>
          <w:spacing w:val="-4"/>
          <w:sz w:val="32"/>
          <w:szCs w:val="32"/>
        </w:rPr>
        <w:t>对棚户区改造拆迁补偿资金发放情况进行检查督导，补建公租房3555套已竣工送审计，将加快进度做好收尾工作，积极做好配套基础设施建设，尽快交付使用。</w:t>
      </w:r>
    </w:p>
    <w:p w:rsidR="00D21EA2" w:rsidRDefault="00623A13" w:rsidP="0088222B">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D21EA2" w:rsidRPr="00F21CA8" w:rsidRDefault="00623A13">
      <w:pPr>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1、项目前期及招投标工作严格遵守相关法规制度规定，公开透明，未发现违规操作问题。项目建设严格按照国家标准执行，项目监理、质监站等部门对项目施工跟踪检查指导，建设过程中保证了施工安全，项目质量各项参数指标合格。</w:t>
      </w:r>
    </w:p>
    <w:p w:rsidR="00D21EA2" w:rsidRPr="00F21CA8" w:rsidRDefault="00623A13">
      <w:pPr>
        <w:spacing w:line="560" w:lineRule="exact"/>
        <w:ind w:firstLineChars="200" w:firstLine="624"/>
        <w:rPr>
          <w:rStyle w:val="a8"/>
          <w:rFonts w:ascii="仿宋_GB2312" w:eastAsia="仿宋_GB2312" w:hAnsi="仿宋_GB2312" w:cs="仿宋_GB2312"/>
          <w:b w:val="0"/>
          <w:bCs w:val="0"/>
          <w:spacing w:val="-4"/>
          <w:sz w:val="32"/>
          <w:szCs w:val="32"/>
        </w:rPr>
      </w:pPr>
      <w:r w:rsidRPr="00F21CA8">
        <w:rPr>
          <w:rStyle w:val="a8"/>
          <w:rFonts w:ascii="仿宋_GB2312" w:eastAsia="仿宋_GB2312" w:hAnsi="仿宋_GB2312" w:cs="仿宋_GB2312" w:hint="eastAsia"/>
          <w:b w:val="0"/>
          <w:bCs w:val="0"/>
          <w:spacing w:val="-4"/>
          <w:sz w:val="32"/>
          <w:szCs w:val="32"/>
        </w:rPr>
        <w:t>2、根据资金使用方案，严格按照审批程序，经县财政统一监管资金使用规范,不存在截流、挤占、挪用项目资金情况;资金管理、费用支出制度健全，财务执行情况好，项目专项资金管理好。</w:t>
      </w:r>
    </w:p>
    <w:p w:rsidR="00D21EA2" w:rsidRDefault="00623A13" w:rsidP="0088222B">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（三）其他</w:t>
      </w:r>
    </w:p>
    <w:p w:rsidR="00D21EA2" w:rsidRPr="00F21CA8" w:rsidRDefault="00623A13">
      <w:pPr>
        <w:spacing w:line="560" w:lineRule="exact"/>
        <w:ind w:firstLineChars="200" w:firstLine="624"/>
        <w:rPr>
          <w:rFonts w:ascii="仿宋_GB2312" w:eastAsia="仿宋_GB2312" w:hAnsi="仿宋_GB2312" w:cs="仿宋_GB2312"/>
          <w:bCs/>
          <w:spacing w:val="-4"/>
          <w:sz w:val="32"/>
          <w:szCs w:val="32"/>
        </w:rPr>
      </w:pPr>
      <w:r w:rsidRPr="00F21CA8">
        <w:rPr>
          <w:rFonts w:ascii="仿宋_GB2312" w:eastAsia="仿宋_GB2312" w:hAnsi="仿宋_GB2312" w:cs="仿宋_GB2312" w:hint="eastAsia"/>
          <w:bCs/>
          <w:spacing w:val="-4"/>
          <w:sz w:val="32"/>
          <w:szCs w:val="32"/>
        </w:rPr>
        <w:lastRenderedPageBreak/>
        <w:t>无其他说明内容。</w:t>
      </w:r>
    </w:p>
    <w:p w:rsidR="00D21EA2" w:rsidRPr="00F21CA8" w:rsidRDefault="00623A13" w:rsidP="00F21CA8">
      <w:pPr>
        <w:adjustRightInd w:val="0"/>
        <w:snapToGrid w:val="0"/>
        <w:spacing w:line="560" w:lineRule="exact"/>
        <w:ind w:firstLineChars="200" w:firstLine="624"/>
        <w:rPr>
          <w:rFonts w:ascii="黑体" w:eastAsia="黑体" w:hAnsi="黑体"/>
          <w:b/>
          <w:bCs/>
          <w:spacing w:val="-4"/>
          <w:sz w:val="32"/>
          <w:szCs w:val="32"/>
        </w:rPr>
      </w:pPr>
      <w:r w:rsidRPr="00F21CA8">
        <w:rPr>
          <w:rStyle w:val="a8"/>
          <w:rFonts w:ascii="黑体" w:eastAsia="黑体" w:hAnsi="黑体" w:hint="eastAsia"/>
          <w:b w:val="0"/>
          <w:spacing w:val="-4"/>
          <w:sz w:val="32"/>
          <w:szCs w:val="32"/>
        </w:rPr>
        <w:t>六、项目评价工作情况</w:t>
      </w:r>
    </w:p>
    <w:p w:rsidR="00D21EA2" w:rsidRPr="00F21CA8" w:rsidRDefault="00623A13">
      <w:pPr>
        <w:adjustRightInd w:val="0"/>
        <w:snapToGrid w:val="0"/>
        <w:spacing w:line="560" w:lineRule="exact"/>
        <w:ind w:firstLineChars="200" w:firstLine="624"/>
        <w:rPr>
          <w:rFonts w:ascii="仿宋_GB2312" w:eastAsia="仿宋_GB2312" w:hAnsi="仿宋_GB2312" w:cs="仿宋_GB2312"/>
          <w:spacing w:val="-4"/>
          <w:sz w:val="32"/>
          <w:szCs w:val="32"/>
        </w:rPr>
      </w:pPr>
      <w:r w:rsidRPr="00F21CA8">
        <w:rPr>
          <w:rFonts w:ascii="仿宋_GB2312" w:eastAsia="仿宋_GB2312" w:hAnsi="仿宋_GB2312" w:cs="仿宋_GB2312" w:hint="eastAsia"/>
          <w:spacing w:val="-4"/>
          <w:sz w:val="32"/>
          <w:szCs w:val="32"/>
        </w:rPr>
        <w:t>本次评价通过文件研读、实地调研、数据分析等方式，全面了解项目资金的使用效率和效果，项目管理过程是否规范，是否完成了预期绩效目标等。同时，通过开展自我评价吸取经验和教训，更好的开</w:t>
      </w:r>
      <w:bookmarkStart w:id="1" w:name="_GoBack"/>
      <w:bookmarkEnd w:id="1"/>
      <w:r w:rsidRPr="00F21CA8">
        <w:rPr>
          <w:rFonts w:ascii="仿宋_GB2312" w:eastAsia="仿宋_GB2312" w:hAnsi="仿宋_GB2312" w:cs="仿宋_GB2312" w:hint="eastAsia"/>
          <w:spacing w:val="-4"/>
          <w:sz w:val="32"/>
          <w:szCs w:val="32"/>
        </w:rPr>
        <w:t>展2019年项目实施。</w:t>
      </w:r>
    </w:p>
    <w:p w:rsidR="00D21EA2" w:rsidRPr="00F21CA8" w:rsidRDefault="00623A13" w:rsidP="00F21CA8">
      <w:pPr>
        <w:spacing w:line="560" w:lineRule="exact"/>
        <w:ind w:firstLineChars="200" w:firstLine="624"/>
        <w:rPr>
          <w:rStyle w:val="a8"/>
          <w:rFonts w:ascii="黑体" w:eastAsia="黑体" w:hAnsi="黑体"/>
          <w:b w:val="0"/>
          <w:spacing w:val="-4"/>
          <w:sz w:val="32"/>
          <w:szCs w:val="32"/>
        </w:rPr>
      </w:pPr>
      <w:r w:rsidRPr="00F21CA8">
        <w:rPr>
          <w:rStyle w:val="a8"/>
          <w:rFonts w:ascii="黑体" w:eastAsia="黑体" w:hAnsi="黑体" w:hint="eastAsia"/>
          <w:b w:val="0"/>
          <w:spacing w:val="-4"/>
          <w:sz w:val="32"/>
          <w:szCs w:val="32"/>
        </w:rPr>
        <w:t>七、附表</w:t>
      </w:r>
    </w:p>
    <w:p w:rsidR="00D21EA2" w:rsidRPr="00F21CA8" w:rsidRDefault="00623A13">
      <w:pPr>
        <w:spacing w:line="560" w:lineRule="exact"/>
        <w:ind w:firstLineChars="200" w:firstLine="624"/>
        <w:rPr>
          <w:rStyle w:val="a8"/>
          <w:rFonts w:ascii="仿宋_GB2312" w:eastAsia="仿宋_GB2312" w:hAnsi="仿宋_GB2312" w:cs="仿宋_GB2312"/>
          <w:b w:val="0"/>
          <w:spacing w:val="-4"/>
          <w:sz w:val="32"/>
          <w:szCs w:val="32"/>
        </w:rPr>
      </w:pPr>
      <w:r w:rsidRPr="00F21CA8">
        <w:rPr>
          <w:rStyle w:val="a8"/>
          <w:rFonts w:ascii="仿宋_GB2312" w:eastAsia="仿宋_GB2312" w:hAnsi="仿宋_GB2312" w:cs="仿宋_GB2312" w:hint="eastAsia"/>
          <w:b w:val="0"/>
          <w:spacing w:val="-4"/>
          <w:sz w:val="32"/>
          <w:szCs w:val="32"/>
        </w:rPr>
        <w:t>《项目支出绩效自评表》</w:t>
      </w:r>
    </w:p>
    <w:p w:rsidR="00D21EA2" w:rsidRPr="0088222B" w:rsidRDefault="00D21EA2">
      <w:pPr>
        <w:spacing w:line="540" w:lineRule="exact"/>
        <w:ind w:firstLine="567"/>
        <w:rPr>
          <w:rStyle w:val="a8"/>
          <w:rFonts w:ascii="仿宋_GB2312" w:eastAsia="仿宋_GB2312" w:hAnsi="仿宋"/>
          <w:b w:val="0"/>
          <w:spacing w:val="-4"/>
          <w:sz w:val="32"/>
          <w:szCs w:val="32"/>
        </w:rPr>
      </w:pPr>
    </w:p>
    <w:sectPr w:rsidR="00D21EA2" w:rsidRPr="0088222B" w:rsidSect="0088222B">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70D" w:rsidRDefault="0010270D" w:rsidP="00D21EA2">
      <w:r>
        <w:separator/>
      </w:r>
    </w:p>
  </w:endnote>
  <w:endnote w:type="continuationSeparator" w:id="0">
    <w:p w:rsidR="0010270D" w:rsidRDefault="0010270D" w:rsidP="00D21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
    <w:altName w:val="微软雅黑 Light"/>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D21EA2" w:rsidRDefault="0026055C">
        <w:pPr>
          <w:pStyle w:val="a4"/>
          <w:jc w:val="center"/>
        </w:pPr>
        <w:r>
          <w:fldChar w:fldCharType="begin"/>
        </w:r>
        <w:r w:rsidR="00623A13">
          <w:instrText>PAGE   \* MERGEFORMAT</w:instrText>
        </w:r>
        <w:r>
          <w:fldChar w:fldCharType="separate"/>
        </w:r>
        <w:r w:rsidR="009C0B0C" w:rsidRPr="009C0B0C">
          <w:rPr>
            <w:noProof/>
            <w:lang w:val="zh-CN"/>
          </w:rPr>
          <w:t>1</w:t>
        </w:r>
        <w:r>
          <w:fldChar w:fldCharType="end"/>
        </w:r>
      </w:p>
    </w:sdtContent>
  </w:sdt>
  <w:p w:rsidR="00D21EA2" w:rsidRDefault="00D21EA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70D" w:rsidRDefault="0010270D" w:rsidP="00D21EA2">
      <w:r>
        <w:separator/>
      </w:r>
    </w:p>
  </w:footnote>
  <w:footnote w:type="continuationSeparator" w:id="0">
    <w:p w:rsidR="0010270D" w:rsidRDefault="0010270D" w:rsidP="00D21E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C8F11F"/>
    <w:multiLevelType w:val="singleLevel"/>
    <w:tmpl w:val="D6C8F11F"/>
    <w:lvl w:ilvl="0">
      <w:start w:val="3"/>
      <w:numFmt w:val="decimal"/>
      <w:lvlText w:val="(%1)"/>
      <w:lvlJc w:val="left"/>
      <w:pPr>
        <w:tabs>
          <w:tab w:val="left" w:pos="312"/>
        </w:tabs>
      </w:pPr>
    </w:lvl>
  </w:abstractNum>
  <w:abstractNum w:abstractNumId="1">
    <w:nsid w:val="F283F606"/>
    <w:multiLevelType w:val="singleLevel"/>
    <w:tmpl w:val="F283F606"/>
    <w:lvl w:ilvl="0">
      <w:start w:val="2"/>
      <w:numFmt w:val="decimal"/>
      <w:lvlText w:val="(%1)"/>
      <w:lvlJc w:val="left"/>
      <w:pPr>
        <w:tabs>
          <w:tab w:val="left" w:pos="312"/>
        </w:tabs>
      </w:pPr>
    </w:lvl>
  </w:abstractNum>
  <w:abstractNum w:abstractNumId="2">
    <w:nsid w:val="47AB0F60"/>
    <w:multiLevelType w:val="singleLevel"/>
    <w:tmpl w:val="47AB0F60"/>
    <w:lvl w:ilvl="0">
      <w:start w:val="3"/>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92DF0"/>
    <w:rsid w:val="000D0364"/>
    <w:rsid w:val="000D64CF"/>
    <w:rsid w:val="000E7BFB"/>
    <w:rsid w:val="0010270D"/>
    <w:rsid w:val="00121AE4"/>
    <w:rsid w:val="00146AAD"/>
    <w:rsid w:val="001B3A40"/>
    <w:rsid w:val="001C62C3"/>
    <w:rsid w:val="00230995"/>
    <w:rsid w:val="00247B37"/>
    <w:rsid w:val="002527D1"/>
    <w:rsid w:val="0026055C"/>
    <w:rsid w:val="002E4DDD"/>
    <w:rsid w:val="00324004"/>
    <w:rsid w:val="00362D6C"/>
    <w:rsid w:val="00396C31"/>
    <w:rsid w:val="003E35B8"/>
    <w:rsid w:val="003F5D62"/>
    <w:rsid w:val="00431B09"/>
    <w:rsid w:val="004366A8"/>
    <w:rsid w:val="00483E4A"/>
    <w:rsid w:val="004D5350"/>
    <w:rsid w:val="00502BA7"/>
    <w:rsid w:val="005162F1"/>
    <w:rsid w:val="00535153"/>
    <w:rsid w:val="00554F82"/>
    <w:rsid w:val="0056390D"/>
    <w:rsid w:val="005719B0"/>
    <w:rsid w:val="005D10D6"/>
    <w:rsid w:val="00623A13"/>
    <w:rsid w:val="00690E27"/>
    <w:rsid w:val="006A5435"/>
    <w:rsid w:val="006B1242"/>
    <w:rsid w:val="00700D75"/>
    <w:rsid w:val="007239B5"/>
    <w:rsid w:val="0076285F"/>
    <w:rsid w:val="0076327D"/>
    <w:rsid w:val="00766DC1"/>
    <w:rsid w:val="007814B7"/>
    <w:rsid w:val="00791CB8"/>
    <w:rsid w:val="00792511"/>
    <w:rsid w:val="007B3639"/>
    <w:rsid w:val="00852558"/>
    <w:rsid w:val="00855E3A"/>
    <w:rsid w:val="0088222B"/>
    <w:rsid w:val="00922CB9"/>
    <w:rsid w:val="0095136C"/>
    <w:rsid w:val="00962F6F"/>
    <w:rsid w:val="00974DCC"/>
    <w:rsid w:val="009C0B0C"/>
    <w:rsid w:val="009E5CD9"/>
    <w:rsid w:val="00A13328"/>
    <w:rsid w:val="00A26421"/>
    <w:rsid w:val="00A4293B"/>
    <w:rsid w:val="00A6086A"/>
    <w:rsid w:val="00A67D50"/>
    <w:rsid w:val="00A8691A"/>
    <w:rsid w:val="00AC1946"/>
    <w:rsid w:val="00B067E2"/>
    <w:rsid w:val="00B363D6"/>
    <w:rsid w:val="00B40063"/>
    <w:rsid w:val="00B41F61"/>
    <w:rsid w:val="00BA46E6"/>
    <w:rsid w:val="00BB5293"/>
    <w:rsid w:val="00BB53AC"/>
    <w:rsid w:val="00BC1F41"/>
    <w:rsid w:val="00BD26BF"/>
    <w:rsid w:val="00C56C72"/>
    <w:rsid w:val="00C95ECF"/>
    <w:rsid w:val="00CA6457"/>
    <w:rsid w:val="00CD23D9"/>
    <w:rsid w:val="00CE1BA8"/>
    <w:rsid w:val="00D17F2E"/>
    <w:rsid w:val="00D21EA2"/>
    <w:rsid w:val="00D30354"/>
    <w:rsid w:val="00D52EDA"/>
    <w:rsid w:val="00D566AD"/>
    <w:rsid w:val="00DB7BF2"/>
    <w:rsid w:val="00DE576E"/>
    <w:rsid w:val="00DE70E3"/>
    <w:rsid w:val="00DF42A0"/>
    <w:rsid w:val="00E769FE"/>
    <w:rsid w:val="00EA2CBE"/>
    <w:rsid w:val="00EB6A4C"/>
    <w:rsid w:val="00F21CA8"/>
    <w:rsid w:val="00F32FEE"/>
    <w:rsid w:val="00F74293"/>
    <w:rsid w:val="00F94B04"/>
    <w:rsid w:val="00FB10BB"/>
    <w:rsid w:val="00FD0F0D"/>
    <w:rsid w:val="04685CD0"/>
    <w:rsid w:val="07FF7B7D"/>
    <w:rsid w:val="0A582152"/>
    <w:rsid w:val="153C7605"/>
    <w:rsid w:val="16EC0296"/>
    <w:rsid w:val="1AE61897"/>
    <w:rsid w:val="1DF25988"/>
    <w:rsid w:val="291A7192"/>
    <w:rsid w:val="3A3776C6"/>
    <w:rsid w:val="403728E8"/>
    <w:rsid w:val="4266788B"/>
    <w:rsid w:val="460B0643"/>
    <w:rsid w:val="479530B8"/>
    <w:rsid w:val="4883518A"/>
    <w:rsid w:val="4FC235D4"/>
    <w:rsid w:val="58132278"/>
    <w:rsid w:val="5ECE2F6C"/>
    <w:rsid w:val="5FB73047"/>
    <w:rsid w:val="612536D9"/>
    <w:rsid w:val="639F5DC0"/>
    <w:rsid w:val="6C4A2FC2"/>
    <w:rsid w:val="6F0F64D1"/>
    <w:rsid w:val="7E2D7CE8"/>
    <w:rsid w:val="7EFD04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EA2"/>
    <w:pPr>
      <w:widowControl w:val="0"/>
      <w:jc w:val="both"/>
    </w:pPr>
    <w:rPr>
      <w:kern w:val="2"/>
      <w:sz w:val="21"/>
      <w:szCs w:val="24"/>
    </w:rPr>
  </w:style>
  <w:style w:type="paragraph" w:styleId="1">
    <w:name w:val="heading 1"/>
    <w:basedOn w:val="a"/>
    <w:next w:val="a"/>
    <w:link w:val="1Char"/>
    <w:uiPriority w:val="9"/>
    <w:qFormat/>
    <w:rsid w:val="00D21EA2"/>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21EA2"/>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21EA2"/>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21EA2"/>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21EA2"/>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21EA2"/>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21EA2"/>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21EA2"/>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21EA2"/>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21EA2"/>
    <w:rPr>
      <w:sz w:val="18"/>
      <w:szCs w:val="18"/>
    </w:rPr>
  </w:style>
  <w:style w:type="paragraph" w:styleId="a4">
    <w:name w:val="footer"/>
    <w:basedOn w:val="a"/>
    <w:link w:val="Char0"/>
    <w:uiPriority w:val="99"/>
    <w:unhideWhenUsed/>
    <w:qFormat/>
    <w:rsid w:val="00D21EA2"/>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D21EA2"/>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21EA2"/>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D21EA2"/>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D21EA2"/>
    <w:rPr>
      <w:b/>
      <w:bCs/>
    </w:rPr>
  </w:style>
  <w:style w:type="character" w:styleId="a9">
    <w:name w:val="Emphasis"/>
    <w:basedOn w:val="a0"/>
    <w:uiPriority w:val="20"/>
    <w:qFormat/>
    <w:rsid w:val="00D21EA2"/>
    <w:rPr>
      <w:rFonts w:asciiTheme="minorHAnsi" w:hAnsiTheme="minorHAnsi"/>
      <w:b/>
      <w:i/>
      <w:iCs/>
    </w:rPr>
  </w:style>
  <w:style w:type="character" w:customStyle="1" w:styleId="1Char">
    <w:name w:val="标题 1 Char"/>
    <w:basedOn w:val="a0"/>
    <w:link w:val="1"/>
    <w:uiPriority w:val="9"/>
    <w:qFormat/>
    <w:rsid w:val="00D21EA2"/>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D21EA2"/>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D21EA2"/>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D21EA2"/>
    <w:rPr>
      <w:b/>
      <w:bCs/>
      <w:sz w:val="28"/>
      <w:szCs w:val="28"/>
    </w:rPr>
  </w:style>
  <w:style w:type="character" w:customStyle="1" w:styleId="5Char">
    <w:name w:val="标题 5 Char"/>
    <w:basedOn w:val="a0"/>
    <w:link w:val="5"/>
    <w:uiPriority w:val="9"/>
    <w:semiHidden/>
    <w:qFormat/>
    <w:rsid w:val="00D21EA2"/>
    <w:rPr>
      <w:b/>
      <w:bCs/>
      <w:i/>
      <w:iCs/>
      <w:sz w:val="26"/>
      <w:szCs w:val="26"/>
    </w:rPr>
  </w:style>
  <w:style w:type="character" w:customStyle="1" w:styleId="6Char">
    <w:name w:val="标题 6 Char"/>
    <w:basedOn w:val="a0"/>
    <w:link w:val="6"/>
    <w:uiPriority w:val="9"/>
    <w:semiHidden/>
    <w:qFormat/>
    <w:rsid w:val="00D21EA2"/>
    <w:rPr>
      <w:b/>
      <w:bCs/>
    </w:rPr>
  </w:style>
  <w:style w:type="character" w:customStyle="1" w:styleId="7Char">
    <w:name w:val="标题 7 Char"/>
    <w:basedOn w:val="a0"/>
    <w:link w:val="7"/>
    <w:uiPriority w:val="9"/>
    <w:semiHidden/>
    <w:qFormat/>
    <w:rsid w:val="00D21EA2"/>
    <w:rPr>
      <w:sz w:val="24"/>
      <w:szCs w:val="24"/>
    </w:rPr>
  </w:style>
  <w:style w:type="character" w:customStyle="1" w:styleId="8Char">
    <w:name w:val="标题 8 Char"/>
    <w:basedOn w:val="a0"/>
    <w:link w:val="8"/>
    <w:uiPriority w:val="9"/>
    <w:semiHidden/>
    <w:qFormat/>
    <w:rsid w:val="00D21EA2"/>
    <w:rPr>
      <w:i/>
      <w:iCs/>
      <w:sz w:val="24"/>
      <w:szCs w:val="24"/>
    </w:rPr>
  </w:style>
  <w:style w:type="character" w:customStyle="1" w:styleId="9Char">
    <w:name w:val="标题 9 Char"/>
    <w:basedOn w:val="a0"/>
    <w:link w:val="9"/>
    <w:uiPriority w:val="9"/>
    <w:semiHidden/>
    <w:qFormat/>
    <w:rsid w:val="00D21EA2"/>
    <w:rPr>
      <w:rFonts w:asciiTheme="majorHAnsi" w:eastAsiaTheme="majorEastAsia" w:hAnsiTheme="majorHAnsi"/>
    </w:rPr>
  </w:style>
  <w:style w:type="character" w:customStyle="1" w:styleId="Char3">
    <w:name w:val="标题 Char"/>
    <w:basedOn w:val="a0"/>
    <w:link w:val="a7"/>
    <w:uiPriority w:val="10"/>
    <w:qFormat/>
    <w:rsid w:val="00D21EA2"/>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D21EA2"/>
    <w:rPr>
      <w:rFonts w:asciiTheme="majorHAnsi" w:eastAsiaTheme="majorEastAsia" w:hAnsiTheme="majorHAnsi"/>
      <w:sz w:val="24"/>
      <w:szCs w:val="24"/>
    </w:rPr>
  </w:style>
  <w:style w:type="paragraph" w:styleId="aa">
    <w:name w:val="No Spacing"/>
    <w:basedOn w:val="a"/>
    <w:uiPriority w:val="1"/>
    <w:qFormat/>
    <w:rsid w:val="00D21EA2"/>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D21EA2"/>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D21EA2"/>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D21EA2"/>
    <w:rPr>
      <w:i/>
      <w:sz w:val="24"/>
      <w:szCs w:val="24"/>
    </w:rPr>
  </w:style>
  <w:style w:type="paragraph" w:styleId="ad">
    <w:name w:val="Intense Quote"/>
    <w:basedOn w:val="a"/>
    <w:next w:val="a"/>
    <w:link w:val="Char5"/>
    <w:uiPriority w:val="30"/>
    <w:qFormat/>
    <w:rsid w:val="00D21EA2"/>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D21EA2"/>
    <w:rPr>
      <w:b/>
      <w:i/>
      <w:sz w:val="24"/>
    </w:rPr>
  </w:style>
  <w:style w:type="character" w:customStyle="1" w:styleId="10">
    <w:name w:val="不明显强调1"/>
    <w:uiPriority w:val="19"/>
    <w:qFormat/>
    <w:rsid w:val="00D21EA2"/>
    <w:rPr>
      <w:i/>
      <w:color w:val="595959" w:themeColor="text1" w:themeTint="A6"/>
    </w:rPr>
  </w:style>
  <w:style w:type="character" w:customStyle="1" w:styleId="11">
    <w:name w:val="明显强调1"/>
    <w:basedOn w:val="a0"/>
    <w:uiPriority w:val="21"/>
    <w:qFormat/>
    <w:rsid w:val="00D21EA2"/>
    <w:rPr>
      <w:b/>
      <w:i/>
      <w:sz w:val="24"/>
      <w:szCs w:val="24"/>
      <w:u w:val="single"/>
    </w:rPr>
  </w:style>
  <w:style w:type="character" w:customStyle="1" w:styleId="12">
    <w:name w:val="不明显参考1"/>
    <w:basedOn w:val="a0"/>
    <w:uiPriority w:val="31"/>
    <w:qFormat/>
    <w:rsid w:val="00D21EA2"/>
    <w:rPr>
      <w:sz w:val="24"/>
      <w:szCs w:val="24"/>
      <w:u w:val="single"/>
    </w:rPr>
  </w:style>
  <w:style w:type="character" w:customStyle="1" w:styleId="13">
    <w:name w:val="明显参考1"/>
    <w:basedOn w:val="a0"/>
    <w:uiPriority w:val="32"/>
    <w:qFormat/>
    <w:rsid w:val="00D21EA2"/>
    <w:rPr>
      <w:b/>
      <w:sz w:val="24"/>
      <w:u w:val="single"/>
    </w:rPr>
  </w:style>
  <w:style w:type="character" w:customStyle="1" w:styleId="14">
    <w:name w:val="书籍标题1"/>
    <w:basedOn w:val="a0"/>
    <w:uiPriority w:val="33"/>
    <w:qFormat/>
    <w:rsid w:val="00D21EA2"/>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21EA2"/>
    <w:pPr>
      <w:outlineLvl w:val="9"/>
    </w:pPr>
    <w:rPr>
      <w:lang w:eastAsia="en-US" w:bidi="en-US"/>
    </w:rPr>
  </w:style>
  <w:style w:type="character" w:customStyle="1" w:styleId="Char1">
    <w:name w:val="页眉 Char"/>
    <w:basedOn w:val="a0"/>
    <w:link w:val="a5"/>
    <w:uiPriority w:val="99"/>
    <w:qFormat/>
    <w:rsid w:val="00D21EA2"/>
    <w:rPr>
      <w:rFonts w:ascii="Calibri" w:eastAsia="宋体" w:hAnsi="Calibri"/>
      <w:kern w:val="2"/>
      <w:sz w:val="18"/>
      <w:szCs w:val="18"/>
    </w:rPr>
  </w:style>
  <w:style w:type="character" w:customStyle="1" w:styleId="Char0">
    <w:name w:val="页脚 Char"/>
    <w:basedOn w:val="a0"/>
    <w:link w:val="a4"/>
    <w:uiPriority w:val="99"/>
    <w:qFormat/>
    <w:rsid w:val="00D21EA2"/>
    <w:rPr>
      <w:rFonts w:ascii="Calibri" w:eastAsia="宋体" w:hAnsi="Calibri"/>
      <w:kern w:val="2"/>
      <w:sz w:val="18"/>
      <w:szCs w:val="18"/>
    </w:rPr>
  </w:style>
  <w:style w:type="character" w:customStyle="1" w:styleId="Char">
    <w:name w:val="批注框文本 Char"/>
    <w:basedOn w:val="a0"/>
    <w:link w:val="a3"/>
    <w:uiPriority w:val="99"/>
    <w:semiHidden/>
    <w:qFormat/>
    <w:rsid w:val="00D21EA2"/>
    <w:rPr>
      <w:rFonts w:ascii="Times New Roman" w:eastAsia="宋体" w:hAnsi="Times New Roman"/>
      <w:kern w:val="2"/>
      <w:sz w:val="18"/>
      <w:szCs w:val="18"/>
    </w:rPr>
  </w:style>
  <w:style w:type="paragraph" w:customStyle="1" w:styleId="Char6">
    <w:name w:val="Char"/>
    <w:basedOn w:val="a"/>
    <w:qFormat/>
    <w:rsid w:val="00D21EA2"/>
    <w:rPr>
      <w:rFonts w:ascii="仿宋_GB2312" w:eastAsia="仿宋_GB2312" w:cs="黑体"/>
      <w:b/>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416</Words>
  <Characters>2376</Characters>
  <Application>Microsoft Office Word</Application>
  <DocSecurity>0</DocSecurity>
  <Lines>19</Lines>
  <Paragraphs>5</Paragraphs>
  <ScaleCrop>false</ScaleCrop>
  <Company>微软中国</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57</cp:revision>
  <cp:lastPrinted>2019-01-24T03:02:00Z</cp:lastPrinted>
  <dcterms:created xsi:type="dcterms:W3CDTF">2018-08-15T02:06:00Z</dcterms:created>
  <dcterms:modified xsi:type="dcterms:W3CDTF">2020-03-26T03:43:00Z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