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项目名称：城市道路电费项目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实施单位（公章）：叶城县住房和城乡建设局</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主管部门（公章）：喀什地区住房和城乡建设局</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项目负责人（签章）：邱春鹏</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填报时间：2018年12月31日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pStyle w:val="48"/>
        <w:spacing w:line="560" w:lineRule="exact"/>
        <w:ind w:firstLine="720" w:firstLineChars="200"/>
        <w:rPr>
          <w:rFonts w:hAnsi="仿宋_GB2312" w:cs="仿宋_GB2312"/>
          <w:b w:val="0"/>
          <w:sz w:val="36"/>
        </w:rPr>
      </w:pPr>
      <w:r>
        <w:rPr>
          <w:rFonts w:hint="eastAsia" w:hAnsi="仿宋_GB2312" w:cs="仿宋_GB2312"/>
          <w:b w:val="0"/>
          <w:sz w:val="36"/>
        </w:rPr>
        <w:t>叶城县住房和城乡建设局下属六个单位，其中下属叶城县规划局，叶城县城市管理执法局，叶城县环卫局，叶城县供排水供暖总公司，叶城县天然气开发公司，叶城县市场开发，叶城县人民公园。2018年末共有机构数是1个，其中行政机关1个。编制人数102人其中：其中行政编制13人，其中行政工勤人员编制1人，事业编制91人，其中参照公务员编制41人。在职实有公务员16人，事业人员125人，其中参照公务员36人。</w:t>
      </w:r>
    </w:p>
    <w:p>
      <w:pPr>
        <w:pStyle w:val="48"/>
        <w:spacing w:line="560" w:lineRule="exact"/>
        <w:ind w:firstLine="720" w:firstLineChars="200"/>
        <w:rPr>
          <w:rFonts w:cs="仿宋_GB2312"/>
          <w:b w:val="0"/>
          <w:sz w:val="36"/>
        </w:rPr>
      </w:pPr>
      <w:r>
        <w:rPr>
          <w:rFonts w:hint="eastAsia" w:cs="仿宋_GB2312"/>
          <w:b w:val="0"/>
          <w:sz w:val="36"/>
        </w:rPr>
        <w:t>工作职能：</w:t>
      </w:r>
    </w:p>
    <w:p>
      <w:pPr>
        <w:pStyle w:val="48"/>
        <w:spacing w:line="560" w:lineRule="exact"/>
        <w:ind w:firstLine="720" w:firstLineChars="200"/>
        <w:rPr>
          <w:rFonts w:hAnsi="仿宋_GB2312" w:cs="仿宋_GB2312"/>
          <w:b w:val="0"/>
          <w:sz w:val="36"/>
        </w:rPr>
      </w:pPr>
      <w:r>
        <w:rPr>
          <w:rFonts w:hint="eastAsia" w:hAnsi="仿宋_GB2312" w:cs="仿宋_GB2312"/>
          <w:b w:val="0"/>
          <w:sz w:val="36"/>
        </w:rPr>
        <w:t>（1）贯彻执行国家有关城市建设工作的法律法规、方针和政策；</w:t>
      </w:r>
    </w:p>
    <w:p>
      <w:pPr>
        <w:pStyle w:val="48"/>
        <w:spacing w:line="560" w:lineRule="exact"/>
        <w:ind w:firstLine="720" w:firstLineChars="200"/>
        <w:rPr>
          <w:rFonts w:hAnsi="仿宋_GB2312" w:cs="仿宋_GB2312"/>
          <w:b w:val="0"/>
          <w:sz w:val="36"/>
        </w:rPr>
      </w:pPr>
      <w:r>
        <w:rPr>
          <w:rFonts w:hint="eastAsia" w:hAnsi="仿宋_GB2312" w:cs="仿宋_GB2312"/>
          <w:b w:val="0"/>
          <w:sz w:val="36"/>
        </w:rPr>
        <w:t>（2）制定并组织实施全县城市建设行业发展规划、计划；</w:t>
      </w:r>
    </w:p>
    <w:p>
      <w:pPr>
        <w:pStyle w:val="48"/>
        <w:spacing w:line="560" w:lineRule="exact"/>
        <w:ind w:firstLine="720" w:firstLineChars="200"/>
        <w:rPr>
          <w:rFonts w:hAnsi="仿宋_GB2312" w:cs="仿宋_GB2312"/>
          <w:b w:val="0"/>
          <w:sz w:val="36"/>
        </w:rPr>
      </w:pPr>
      <w:r>
        <w:rPr>
          <w:rFonts w:hint="eastAsia" w:hAnsi="仿宋_GB2312" w:cs="仿宋_GB2312"/>
          <w:b w:val="0"/>
          <w:sz w:val="36"/>
        </w:rPr>
        <w:t>（3）制定全县城市建设发展战略。</w:t>
      </w:r>
    </w:p>
    <w:p>
      <w:pPr>
        <w:pStyle w:val="48"/>
        <w:spacing w:line="560" w:lineRule="exact"/>
        <w:ind w:firstLine="720" w:firstLineChars="200"/>
        <w:rPr>
          <w:rFonts w:hAnsi="仿宋_GB2312" w:cs="仿宋_GB2312"/>
          <w:b w:val="0"/>
          <w:sz w:val="36"/>
        </w:rPr>
      </w:pPr>
      <w:r>
        <w:rPr>
          <w:rFonts w:hint="eastAsia" w:hAnsi="仿宋_GB2312" w:cs="仿宋_GB2312"/>
          <w:b w:val="0"/>
          <w:sz w:val="36"/>
        </w:rPr>
        <w:t>（4）负责全县城市基础设施建设、道路维护、市场管理、行政管理、行政执法和行政复议。</w:t>
      </w:r>
    </w:p>
    <w:p>
      <w:pPr>
        <w:pStyle w:val="48"/>
        <w:spacing w:line="560" w:lineRule="exact"/>
        <w:ind w:firstLine="720" w:firstLineChars="200"/>
        <w:rPr>
          <w:rFonts w:hAnsi="仿宋_GB2312" w:cs="仿宋_GB2312"/>
          <w:b w:val="0"/>
          <w:sz w:val="36"/>
        </w:rPr>
      </w:pPr>
      <w:r>
        <w:rPr>
          <w:rFonts w:hint="eastAsia" w:hAnsi="仿宋_GB2312" w:cs="仿宋_GB2312"/>
          <w:b w:val="0"/>
          <w:sz w:val="36"/>
        </w:rPr>
        <w:t>（5）监督城市基础设施建设资金的管理、使用。</w:t>
      </w:r>
    </w:p>
    <w:p>
      <w:pPr>
        <w:pStyle w:val="48"/>
        <w:spacing w:line="560" w:lineRule="exact"/>
        <w:ind w:firstLine="720" w:firstLineChars="200"/>
        <w:rPr>
          <w:sz w:val="36"/>
        </w:rPr>
      </w:pPr>
      <w:r>
        <w:rPr>
          <w:rFonts w:hint="eastAsia" w:hAnsi="仿宋_GB2312" w:cs="仿宋_GB2312"/>
          <w:b w:val="0"/>
          <w:sz w:val="36"/>
        </w:rPr>
        <w:t>（6）承办县委、县人民政府交办的其他工作。</w:t>
      </w:r>
    </w:p>
    <w:p>
      <w:pPr>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720" w:firstLineChars="200"/>
        <w:rPr>
          <w:rFonts w:ascii="仿宋_GB2312" w:hAnsi="仿宋" w:eastAsia="仿宋_GB2312"/>
          <w:bCs/>
          <w:spacing w:val="-4"/>
          <w:sz w:val="36"/>
          <w:szCs w:val="32"/>
        </w:rPr>
      </w:pPr>
      <w:r>
        <w:rPr>
          <w:rFonts w:hint="eastAsia" w:ascii="仿宋_GB2312" w:hAnsi="仿宋_GB2312" w:eastAsia="仿宋_GB2312" w:cs="仿宋_GB2312"/>
          <w:sz w:val="36"/>
          <w:szCs w:val="32"/>
        </w:rPr>
        <w:t>主要用于市政基础设施133657个路灯亮化用电。保障全县各大街小巷的路灯、各景点亮化工作顺利进行。</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此项目是一项民生工程，对保障了城区照明提供便利。此资金为本级财力安排项目。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该项目用于城区照明及亮化用电，为加强路灯管理工作，提高城市道路亮化率，改善居民和工作和生活</w:t>
      </w:r>
      <w:r>
        <w:rPr>
          <w:rFonts w:hint="eastAsia" w:ascii="仿宋_GB2312" w:hAnsi="仿宋_GB2312" w:eastAsia="仿宋_GB2312" w:cs="仿宋_GB2312"/>
          <w:sz w:val="36"/>
          <w:szCs w:val="32"/>
          <w:lang w:eastAsia="zh-CN"/>
        </w:rPr>
        <w:t>环</w:t>
      </w:r>
      <w:bookmarkStart w:id="0" w:name="_GoBack"/>
      <w:bookmarkEnd w:id="0"/>
      <w:r>
        <w:rPr>
          <w:rFonts w:hint="eastAsia" w:ascii="仿宋_GB2312" w:hAnsi="仿宋_GB2312" w:eastAsia="仿宋_GB2312" w:cs="仿宋_GB2312"/>
          <w:sz w:val="36"/>
          <w:szCs w:val="32"/>
        </w:rPr>
        <w:t>境,提升了老百姓日常生活水平,给叶城县带来旅游、招商引资等干净整洁的环境。</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根据县财经领导小组会议精神，本项目资金98.64万元，其中财政资金98.64万元，其他资金0万元，资金到位98.64万元；资金到位率100%。</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根据县财经领导小组会议精神，到位资金98.64万元，本项目实际支付资金98.64万元，预算执行率100%，项目资金主要用于支付城区照明及亮化等电费98.64万元。</w:t>
      </w:r>
    </w:p>
    <w:p>
      <w:pPr>
        <w:adjustRightInd w:val="0"/>
        <w:snapToGrid w:val="0"/>
        <w:spacing w:line="560" w:lineRule="exact"/>
        <w:ind w:firstLine="640" w:firstLineChars="200"/>
        <w:rPr>
          <w:rStyle w:val="19"/>
          <w:rFonts w:ascii="仿宋" w:hAnsi="仿宋" w:eastAsia="仿宋"/>
          <w:b w:val="0"/>
          <w:bCs w:val="0"/>
          <w:sz w:val="32"/>
          <w:szCs w:val="32"/>
        </w:rPr>
      </w:pPr>
      <w:r>
        <w:rPr>
          <w:rFonts w:hint="eastAsia" w:ascii="仿宋_GB2312" w:hAnsi="仿宋_GB2312" w:eastAsia="仿宋_GB2312" w:cs="仿宋_GB2312"/>
          <w:sz w:val="32"/>
          <w:szCs w:val="32"/>
        </w:rPr>
        <w:t xml:space="preserve">根据中央和自治区项目资金管理办法的要求，叶城县住房和城乡建设局严格按照项目资金规定的专项资金支持的项目条件和范围要求，严格按照有关规定使用管理项目资金。 </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720" w:firstLineChars="200"/>
        <w:rPr>
          <w:rFonts w:ascii="仿宋_GB2312" w:hAnsi="仿宋" w:eastAsia="仿宋_GB2312"/>
          <w:bCs/>
          <w:spacing w:val="-4"/>
          <w:sz w:val="36"/>
          <w:szCs w:val="32"/>
        </w:rPr>
      </w:pPr>
      <w:r>
        <w:rPr>
          <w:rFonts w:hint="eastAsia" w:ascii="仿宋_GB2312" w:hAnsi="仿宋_GB2312" w:eastAsia="仿宋_GB2312" w:cs="仿宋_GB2312"/>
          <w:sz w:val="36"/>
          <w:szCs w:val="32"/>
        </w:rPr>
        <w:t>本项目资金严格按照《叶城县财政专项资金管理暂行办法》和财政资金管理制度支付资金；资金的支付有完整的审批程序和手续符合制度要求；资金的拨付有完整的审批程序和手续；不存在截留、挤占、挪用、虚列支出等情况。</w:t>
      </w:r>
    </w:p>
    <w:p>
      <w:pPr>
        <w:adjustRightInd w:val="0"/>
        <w:snapToGrid w:val="0"/>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城市道路电费，经县财经领导小组会议研究决定，不存在招标投标情况，此项目按月进行实施，全县各大街小巷的路灯、各景点亮化工作顺利进行。按规定支付款项。</w:t>
      </w:r>
    </w:p>
    <w:p>
      <w:pPr>
        <w:adjustRightInd w:val="0"/>
        <w:snapToGrid w:val="0"/>
        <w:spacing w:line="560" w:lineRule="exact"/>
        <w:ind w:firstLine="720" w:firstLineChars="200"/>
        <w:rPr>
          <w:rFonts w:ascii="仿宋_GB2312" w:hAnsi="Calibri" w:eastAsia="仿宋_GB2312" w:cs="仿宋_GB2312"/>
          <w:sz w:val="36"/>
          <w:szCs w:val="32"/>
          <w:shd w:val="clear" w:color="auto" w:fill="FFFFFF"/>
        </w:rPr>
      </w:pPr>
      <w:r>
        <w:rPr>
          <w:rFonts w:hint="eastAsia" w:ascii="仿宋_GB2312" w:hAnsi="Calibri" w:eastAsia="仿宋_GB2312" w:cs="仿宋_GB2312"/>
          <w:sz w:val="36"/>
          <w:szCs w:val="32"/>
          <w:shd w:val="clear" w:color="auto" w:fill="FFFFFF"/>
        </w:rPr>
        <w:t>本项目不存在调整情况。</w:t>
      </w:r>
    </w:p>
    <w:p>
      <w:pPr>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建设单位严格执行项目管理制度，与质监站、监理，加强对项目的日常施工管理，严格执行监理日报、月报制度，确保项目质量和项目进度。</w:t>
      </w:r>
    </w:p>
    <w:p>
      <w:pPr>
        <w:adjustRightInd w:val="0"/>
        <w:snapToGrid w:val="0"/>
        <w:spacing w:line="560" w:lineRule="exact"/>
        <w:ind w:firstLine="624" w:firstLineChars="200"/>
        <w:rPr>
          <w:rStyle w:val="19"/>
          <w:rFonts w:ascii="黑体" w:hAnsi="黑体" w:eastAsia="黑体"/>
          <w:b w:val="0"/>
          <w:sz w:val="32"/>
          <w:szCs w:val="32"/>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widowControl/>
        <w:spacing w:line="560" w:lineRule="exact"/>
        <w:ind w:firstLine="704" w:firstLineChars="200"/>
        <w:rPr>
          <w:rFonts w:ascii="仿宋_GB2312" w:hAnsi="仿宋_GB2312" w:eastAsia="仿宋_GB2312" w:cs="仿宋_GB2312"/>
          <w:kern w:val="0"/>
          <w:sz w:val="36"/>
          <w:szCs w:val="32"/>
        </w:rPr>
      </w:pPr>
      <w:r>
        <w:rPr>
          <w:rFonts w:hint="eastAsia" w:ascii="仿宋_GB2312" w:hAnsi="仿宋_GB2312" w:eastAsia="仿宋_GB2312" w:cs="仿宋_GB2312"/>
          <w:bCs/>
          <w:spacing w:val="-4"/>
          <w:sz w:val="36"/>
          <w:szCs w:val="32"/>
        </w:rPr>
        <w:t>本项目共设置一级指标3个，二级指标7个，三级指标10个，其中已完成三级指标10个，指标完成率为100%。</w:t>
      </w:r>
      <w:r>
        <w:rPr>
          <w:rFonts w:hint="eastAsia" w:ascii="仿宋_GB2312" w:hAnsi="仿宋_GB2312" w:eastAsia="仿宋_GB2312" w:cs="仿宋_GB2312"/>
          <w:kern w:val="0"/>
          <w:sz w:val="36"/>
          <w:szCs w:val="32"/>
        </w:rPr>
        <w:t>根据年初设定的绩效目标，此项目自评得分为96分。</w:t>
      </w:r>
    </w:p>
    <w:p>
      <w:p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1.产出指标完成情况分析</w:t>
      </w:r>
    </w:p>
    <w:p>
      <w:pPr>
        <w:pStyle w:val="33"/>
        <w:numPr>
          <w:ilvl w:val="0"/>
          <w:numId w:val="1"/>
        </w:numPr>
        <w:spacing w:line="560" w:lineRule="exact"/>
        <w:ind w:left="0" w:firstLine="720" w:firstLineChars="200"/>
        <w:jc w:val="both"/>
        <w:rPr>
          <w:rFonts w:ascii="仿宋_GB2312" w:hAnsi="仿宋_GB2312" w:eastAsia="仿宋_GB2312" w:cs="仿宋_GB2312"/>
          <w:sz w:val="36"/>
          <w:szCs w:val="32"/>
        </w:rPr>
      </w:pPr>
      <w:r>
        <w:rPr>
          <w:rFonts w:hint="eastAsia" w:ascii="仿宋_GB2312" w:hAnsi="仿宋_GB2312" w:eastAsia="仿宋_GB2312" w:cs="仿宋_GB2312"/>
          <w:sz w:val="36"/>
          <w:szCs w:val="32"/>
        </w:rPr>
        <w:t>项目完成数量</w:t>
      </w:r>
    </w:p>
    <w:p>
      <w:pPr>
        <w:snapToGrid w:val="0"/>
        <w:spacing w:line="560" w:lineRule="exact"/>
        <w:ind w:firstLine="704" w:firstLineChars="200"/>
        <w:rPr>
          <w:rStyle w:val="19"/>
          <w:rFonts w:ascii="仿宋_GB2312" w:hAnsi="仿宋_GB2312" w:eastAsia="仿宋_GB2312" w:cs="仿宋_GB2312"/>
          <w:b w:val="0"/>
          <w:bCs w:val="0"/>
          <w:sz w:val="36"/>
          <w:szCs w:val="32"/>
        </w:rPr>
      </w:pPr>
      <w:r>
        <w:rPr>
          <w:rStyle w:val="19"/>
          <w:rFonts w:hint="eastAsia" w:ascii="仿宋_GB2312" w:hAnsi="仿宋_GB2312" w:eastAsia="仿宋_GB2312" w:cs="仿宋_GB2312"/>
          <w:b w:val="0"/>
          <w:bCs w:val="0"/>
          <w:spacing w:val="-4"/>
          <w:sz w:val="36"/>
          <w:szCs w:val="32"/>
        </w:rPr>
        <w:t>城市道路照明灯具数量133657个，城市道路照明用电量252.95万度。为保障全县各大街小巷的路灯、各景点亮化工作顺利进行，该目标已完成100%。</w:t>
      </w:r>
    </w:p>
    <w:p>
      <w:pPr>
        <w:numPr>
          <w:ilvl w:val="0"/>
          <w:numId w:val="1"/>
        </w:num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项目完成质量</w:t>
      </w:r>
    </w:p>
    <w:p>
      <w:pPr>
        <w:spacing w:line="560" w:lineRule="exact"/>
        <w:ind w:firstLine="704" w:firstLineChars="200"/>
        <w:rPr>
          <w:rFonts w:ascii="仿宋_GB2312" w:hAnsi="仿宋_GB2312" w:eastAsia="仿宋_GB2312" w:cs="仿宋_GB2312"/>
          <w:sz w:val="36"/>
          <w:szCs w:val="32"/>
        </w:rPr>
      </w:pPr>
      <w:r>
        <w:rPr>
          <w:rStyle w:val="19"/>
          <w:rFonts w:hint="eastAsia" w:ascii="仿宋_GB2312" w:hAnsi="仿宋_GB2312" w:eastAsia="仿宋_GB2312" w:cs="仿宋_GB2312"/>
          <w:b w:val="0"/>
          <w:bCs w:val="0"/>
          <w:spacing w:val="-4"/>
          <w:sz w:val="36"/>
          <w:szCs w:val="32"/>
        </w:rPr>
        <w:t>城市道路电费保障亮灯率≥95%，城市道路电费用电量核定准确率100%。本单位严格按照实施计划，高质量完成项目建设。该目标已完成</w:t>
      </w:r>
      <w:r>
        <w:rPr>
          <w:rFonts w:hint="eastAsia" w:ascii="仿宋_GB2312" w:hAnsi="仿宋_GB2312" w:eastAsia="仿宋_GB2312" w:cs="仿宋_GB2312"/>
          <w:sz w:val="36"/>
          <w:szCs w:val="32"/>
        </w:rPr>
        <w:t>。</w:t>
      </w:r>
    </w:p>
    <w:p>
      <w:pPr>
        <w:numPr>
          <w:ilvl w:val="0"/>
          <w:numId w:val="1"/>
        </w:num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项目实施进度</w:t>
      </w:r>
    </w:p>
    <w:p>
      <w:p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城市道路电费支付及时率100%，为保障本年城市道路时刻照明，美化城市，能够做到及时支付道路电费。</w:t>
      </w:r>
    </w:p>
    <w:p>
      <w:pPr>
        <w:pStyle w:val="33"/>
        <w:numPr>
          <w:ilvl w:val="0"/>
          <w:numId w:val="1"/>
        </w:numPr>
        <w:spacing w:line="560" w:lineRule="exact"/>
        <w:ind w:left="0" w:firstLine="720" w:firstLineChars="200"/>
        <w:jc w:val="both"/>
        <w:rPr>
          <w:rFonts w:ascii="仿宋_GB2312" w:hAnsi="仿宋_GB2312" w:eastAsia="仿宋_GB2312" w:cs="仿宋_GB2312"/>
          <w:sz w:val="36"/>
          <w:szCs w:val="32"/>
        </w:rPr>
      </w:pPr>
      <w:r>
        <w:rPr>
          <w:rFonts w:hint="eastAsia" w:ascii="仿宋_GB2312" w:hAnsi="仿宋_GB2312" w:eastAsia="仿宋_GB2312" w:cs="仿宋_GB2312"/>
          <w:sz w:val="36"/>
          <w:szCs w:val="32"/>
        </w:rPr>
        <w:t>项目成本节约情况</w:t>
      </w:r>
    </w:p>
    <w:p>
      <w:pPr>
        <w:pStyle w:val="33"/>
        <w:spacing w:line="560" w:lineRule="exact"/>
        <w:ind w:left="0" w:firstLine="720" w:firstLineChars="200"/>
        <w:jc w:val="both"/>
        <w:rPr>
          <w:rFonts w:ascii="仿宋_GB2312" w:hAnsi="仿宋_GB2312" w:eastAsia="仿宋_GB2312" w:cs="仿宋_GB2312"/>
          <w:sz w:val="36"/>
          <w:szCs w:val="32"/>
          <w:lang w:eastAsia="zh-CN"/>
        </w:rPr>
      </w:pPr>
      <w:r>
        <w:rPr>
          <w:rFonts w:hint="eastAsia" w:ascii="仿宋_GB2312" w:hAnsi="仿宋_GB2312" w:eastAsia="仿宋_GB2312" w:cs="仿宋_GB2312"/>
          <w:sz w:val="36"/>
          <w:szCs w:val="32"/>
          <w:lang w:eastAsia="zh-CN"/>
        </w:rPr>
        <w:t>按照全国统一价格0.39元/度，成本控制在预算范围内。</w:t>
      </w:r>
    </w:p>
    <w:p>
      <w:p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2.效益指标完成情况分析。</w:t>
      </w:r>
    </w:p>
    <w:p>
      <w:p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（1）项目实施的经济效益分析。</w:t>
      </w:r>
    </w:p>
    <w:p>
      <w:p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无。</w:t>
      </w:r>
    </w:p>
    <w:p>
      <w:pPr>
        <w:numPr>
          <w:ilvl w:val="0"/>
          <w:numId w:val="2"/>
        </w:num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项目实施的社会效益分析。</w:t>
      </w:r>
    </w:p>
    <w:p>
      <w:pPr>
        <w:spacing w:line="560" w:lineRule="exact"/>
        <w:ind w:firstLine="704" w:firstLineChars="200"/>
        <w:rPr>
          <w:rFonts w:ascii="仿宋_GB2312" w:hAnsi="仿宋_GB2312" w:eastAsia="仿宋_GB2312" w:cs="仿宋_GB2312"/>
          <w:sz w:val="36"/>
          <w:szCs w:val="32"/>
        </w:rPr>
      </w:pPr>
      <w:r>
        <w:rPr>
          <w:rStyle w:val="19"/>
          <w:rFonts w:hint="eastAsia" w:ascii="仿宋_GB2312" w:hAnsi="仿宋_GB2312" w:eastAsia="仿宋_GB2312" w:cs="仿宋_GB2312"/>
          <w:b w:val="0"/>
          <w:bCs w:val="0"/>
          <w:spacing w:val="-4"/>
          <w:sz w:val="36"/>
          <w:szCs w:val="32"/>
        </w:rPr>
        <w:t>不断</w:t>
      </w:r>
      <w:r>
        <w:rPr>
          <w:rFonts w:hint="eastAsia" w:ascii="仿宋_GB2312" w:hAnsi="仿宋_GB2312" w:eastAsia="仿宋_GB2312" w:cs="仿宋_GB2312"/>
          <w:sz w:val="36"/>
          <w:szCs w:val="32"/>
        </w:rPr>
        <w:t>提升道路和公共区域照明管理和服务水平，本单位加强资金管理，发挥资金使用效益。</w:t>
      </w:r>
    </w:p>
    <w:p>
      <w:pPr>
        <w:numPr>
          <w:ilvl w:val="0"/>
          <w:numId w:val="2"/>
        </w:num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项目实施的生态效益分析。</w:t>
      </w:r>
    </w:p>
    <w:p>
      <w:p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城市道路照明电费美化城市提升形象。</w:t>
      </w:r>
    </w:p>
    <w:p>
      <w:pPr>
        <w:pStyle w:val="33"/>
        <w:numPr>
          <w:ilvl w:val="0"/>
          <w:numId w:val="2"/>
        </w:numPr>
        <w:spacing w:line="560" w:lineRule="exact"/>
        <w:rPr>
          <w:rFonts w:ascii="仿宋_GB2312" w:hAnsi="仿宋_GB2312" w:eastAsia="仿宋_GB2312" w:cs="仿宋_GB2312"/>
          <w:sz w:val="36"/>
          <w:szCs w:val="32"/>
          <w:lang w:eastAsia="zh-CN"/>
        </w:rPr>
      </w:pPr>
      <w:r>
        <w:rPr>
          <w:rFonts w:hint="eastAsia" w:ascii="仿宋_GB2312" w:hAnsi="仿宋_GB2312" w:eastAsia="仿宋_GB2312" w:cs="仿宋_GB2312"/>
          <w:sz w:val="36"/>
          <w:szCs w:val="32"/>
          <w:lang w:eastAsia="zh-CN"/>
        </w:rPr>
        <w:t>项目实施的可持续影响分析。</w:t>
      </w:r>
    </w:p>
    <w:p>
      <w:pPr>
        <w:pStyle w:val="33"/>
        <w:spacing w:line="560" w:lineRule="exact"/>
        <w:rPr>
          <w:rFonts w:ascii="仿宋_GB2312" w:hAnsi="仿宋_GB2312" w:eastAsia="仿宋_GB2312" w:cs="仿宋_GB2312"/>
          <w:sz w:val="36"/>
          <w:szCs w:val="32"/>
          <w:lang w:eastAsia="zh-CN"/>
        </w:rPr>
      </w:pPr>
      <w:r>
        <w:rPr>
          <w:rFonts w:hint="eastAsia" w:ascii="仿宋_GB2312" w:hAnsi="仿宋_GB2312" w:eastAsia="仿宋_GB2312" w:cs="仿宋_GB2312"/>
          <w:sz w:val="36"/>
          <w:szCs w:val="32"/>
          <w:lang w:eastAsia="zh-CN"/>
        </w:rPr>
        <w:t>城市道路电费持续时限1年。</w:t>
      </w:r>
    </w:p>
    <w:p>
      <w:pPr>
        <w:numPr>
          <w:ilvl w:val="0"/>
          <w:numId w:val="3"/>
        </w:numPr>
        <w:spacing w:line="560" w:lineRule="exact"/>
        <w:ind w:firstLine="720" w:firstLineChars="200"/>
        <w:rPr>
          <w:rFonts w:ascii="仿宋_GB2312" w:hAnsi="仿宋_GB2312" w:eastAsia="仿宋_GB2312" w:cs="仿宋_GB2312"/>
          <w:sz w:val="36"/>
          <w:szCs w:val="32"/>
        </w:rPr>
      </w:pPr>
      <w:r>
        <w:rPr>
          <w:rFonts w:hint="eastAsia" w:ascii="仿宋_GB2312" w:hAnsi="仿宋_GB2312" w:eastAsia="仿宋_GB2312" w:cs="仿宋_GB2312"/>
          <w:sz w:val="36"/>
          <w:szCs w:val="32"/>
        </w:rPr>
        <w:t>满意度指标完成情况分析。</w:t>
      </w:r>
    </w:p>
    <w:p>
      <w:pPr>
        <w:spacing w:line="560" w:lineRule="exact"/>
        <w:ind w:firstLine="704" w:firstLineChars="200"/>
        <w:rPr>
          <w:rFonts w:ascii="仿宋_GB2312" w:hAnsi="仿宋" w:eastAsia="仿宋_GB2312"/>
          <w:sz w:val="36"/>
          <w:szCs w:val="32"/>
        </w:rPr>
      </w:pPr>
      <w:r>
        <w:rPr>
          <w:rStyle w:val="19"/>
          <w:rFonts w:hint="eastAsia" w:ascii="仿宋_GB2312" w:hAnsi="仿宋_GB2312" w:eastAsia="仿宋_GB2312" w:cs="仿宋_GB2312"/>
          <w:b w:val="0"/>
          <w:spacing w:val="-4"/>
          <w:sz w:val="36"/>
          <w:szCs w:val="32"/>
        </w:rPr>
        <w:t>按计划</w:t>
      </w:r>
      <w:r>
        <w:rPr>
          <w:rFonts w:hint="eastAsia" w:ascii="仿宋_GB2312" w:hAnsi="仿宋_GB2312" w:eastAsia="仿宋_GB2312" w:cs="仿宋_GB2312"/>
          <w:kern w:val="0"/>
          <w:sz w:val="36"/>
          <w:szCs w:val="32"/>
        </w:rPr>
        <w:t>完成项目实施，服务对象满意度指标完成。</w:t>
      </w:r>
    </w:p>
    <w:p>
      <w:pPr>
        <w:adjustRightInd w:val="0"/>
        <w:snapToGrid w:val="0"/>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704" w:firstLineChars="200"/>
        <w:rPr>
          <w:rFonts w:ascii="仿宋_GB2312" w:hAnsi="仿宋_GB2312" w:eastAsia="仿宋_GB2312" w:cs="仿宋_GB2312"/>
          <w:spacing w:val="-4"/>
          <w:sz w:val="36"/>
          <w:szCs w:val="32"/>
        </w:rPr>
      </w:pPr>
      <w:r>
        <w:rPr>
          <w:rFonts w:hint="eastAsia" w:ascii="仿宋_GB2312" w:hAnsi="仿宋_GB2312" w:eastAsia="仿宋_GB2312" w:cs="仿宋_GB2312"/>
          <w:spacing w:val="-4"/>
          <w:sz w:val="36"/>
          <w:szCs w:val="32"/>
        </w:rPr>
        <w:t>2018年本项目绩效目标全部达成，不存在未完成原因分析。</w:t>
      </w:r>
    </w:p>
    <w:p>
      <w:pPr>
        <w:adjustRightInd w:val="0"/>
        <w:snapToGrid w:val="0"/>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720" w:firstLineChars="200"/>
        <w:rPr>
          <w:rFonts w:ascii="仿宋_GB2312" w:hAnsi="仿宋" w:eastAsia="仿宋_GB2312" w:cs="宋体"/>
          <w:kern w:val="0"/>
          <w:sz w:val="36"/>
          <w:szCs w:val="32"/>
        </w:rPr>
      </w:pPr>
      <w:r>
        <w:rPr>
          <w:rFonts w:hint="eastAsia" w:ascii="仿宋_GB2312" w:hAnsi="仿宋" w:eastAsia="仿宋_GB2312" w:cs="宋体"/>
          <w:kern w:val="0"/>
          <w:sz w:val="36"/>
          <w:szCs w:val="32"/>
        </w:rPr>
        <w:t>在工作细节上加大协调力度，加强项目管理，落实各项责任，建立长效机制的审核，形成有效机制，确保各项工作落实到位。</w:t>
      </w:r>
    </w:p>
    <w:p>
      <w:pPr>
        <w:adjustRightInd w:val="0"/>
        <w:snapToGrid w:val="0"/>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704" w:firstLineChars="200"/>
        <w:rPr>
          <w:rFonts w:ascii="仿宋_GB2312" w:hAnsi="仿宋" w:eastAsia="仿宋_GB2312"/>
          <w:bCs/>
          <w:spacing w:val="-4"/>
          <w:sz w:val="36"/>
          <w:szCs w:val="32"/>
        </w:rPr>
      </w:pPr>
      <w:r>
        <w:rPr>
          <w:rFonts w:hint="eastAsia" w:ascii="仿宋_GB2312" w:hAnsi="仿宋" w:eastAsia="仿宋_GB2312"/>
          <w:bCs/>
          <w:spacing w:val="-4"/>
          <w:sz w:val="36"/>
          <w:szCs w:val="32"/>
        </w:rPr>
        <w:t>1、主要经验及做法</w:t>
      </w:r>
    </w:p>
    <w:p>
      <w:pPr>
        <w:adjustRightInd w:val="0"/>
        <w:snapToGrid w:val="0"/>
        <w:spacing w:line="560" w:lineRule="exact"/>
        <w:ind w:firstLine="720" w:firstLineChars="200"/>
        <w:rPr>
          <w:rFonts w:ascii="仿宋_GB2312" w:hAnsi="仿宋" w:eastAsia="仿宋_GB2312" w:cs="仿宋_GB2312"/>
          <w:sz w:val="36"/>
          <w:szCs w:val="32"/>
          <w:shd w:val="clear" w:color="auto" w:fill="FFFFFF"/>
        </w:rPr>
      </w:pPr>
      <w:r>
        <w:rPr>
          <w:rFonts w:hint="eastAsia" w:ascii="仿宋_GB2312" w:hAnsi="仿宋" w:eastAsia="仿宋_GB2312" w:cs="仿宋_GB2312"/>
          <w:sz w:val="36"/>
          <w:szCs w:val="32"/>
          <w:shd w:val="clear" w:color="auto" w:fill="FFFFFF"/>
        </w:rPr>
        <w:t>城市道路电费，每次拨付资金时都对专项资金的使用情况进行对照核查，金额与票据符合。对发现的问题，采取有效措施，及时纠正，有效防止专项资金使用过程中违纪违规现象发生，严格按照各项财政资金管理办法和规定使用财政资金，遵守专款专用原则，坚持按项目、按规定程序、按进度拨款使用。不违反规定扩大开支范围，不提高开支标准，不弄虚作假，虚列支出，确保资金安全。。</w:t>
      </w:r>
    </w:p>
    <w:p>
      <w:pPr>
        <w:numPr>
          <w:ilvl w:val="0"/>
          <w:numId w:val="4"/>
        </w:numPr>
        <w:adjustRightInd w:val="0"/>
        <w:snapToGrid w:val="0"/>
        <w:spacing w:line="560" w:lineRule="exact"/>
        <w:ind w:firstLine="704" w:firstLineChars="200"/>
        <w:rPr>
          <w:rFonts w:ascii="仿宋_GB2312" w:hAnsi="仿宋" w:eastAsia="仿宋_GB2312"/>
          <w:bCs/>
          <w:spacing w:val="-4"/>
          <w:sz w:val="36"/>
          <w:szCs w:val="32"/>
        </w:rPr>
      </w:pPr>
      <w:r>
        <w:rPr>
          <w:rFonts w:hint="eastAsia" w:ascii="仿宋_GB2312" w:hAnsi="仿宋" w:eastAsia="仿宋_GB2312"/>
          <w:bCs/>
          <w:spacing w:val="-4"/>
          <w:sz w:val="36"/>
          <w:szCs w:val="32"/>
        </w:rPr>
        <w:t>存在的问题</w:t>
      </w:r>
    </w:p>
    <w:p>
      <w:pPr>
        <w:adjustRightInd w:val="0"/>
        <w:snapToGrid w:val="0"/>
        <w:spacing w:line="560" w:lineRule="exact"/>
        <w:ind w:left="420" w:leftChars="200"/>
        <w:rPr>
          <w:rFonts w:ascii="仿宋_GB2312" w:hAnsi="仿宋" w:eastAsia="仿宋_GB2312"/>
          <w:bCs/>
          <w:spacing w:val="-4"/>
          <w:sz w:val="36"/>
          <w:szCs w:val="32"/>
        </w:rPr>
      </w:pPr>
      <w:r>
        <w:rPr>
          <w:rFonts w:hint="eastAsia" w:ascii="仿宋_GB2312" w:hAnsi="仿宋" w:eastAsia="仿宋_GB2312"/>
          <w:bCs/>
          <w:spacing w:val="-4"/>
          <w:sz w:val="36"/>
          <w:szCs w:val="32"/>
        </w:rPr>
        <w:t>预算绩效管理意识还需进一步加强，将绩效结果应用到整个项目管理中。</w:t>
      </w:r>
    </w:p>
    <w:p>
      <w:pPr>
        <w:numPr>
          <w:ilvl w:val="0"/>
          <w:numId w:val="4"/>
        </w:numPr>
        <w:adjustRightInd w:val="0"/>
        <w:snapToGrid w:val="0"/>
        <w:spacing w:line="560" w:lineRule="exact"/>
        <w:ind w:firstLine="704" w:firstLineChars="200"/>
        <w:rPr>
          <w:rFonts w:ascii="仿宋_GB2312" w:hAnsi="仿宋" w:eastAsia="仿宋_GB2312"/>
          <w:bCs/>
          <w:spacing w:val="-4"/>
          <w:sz w:val="36"/>
          <w:szCs w:val="32"/>
        </w:rPr>
      </w:pPr>
      <w:r>
        <w:rPr>
          <w:rFonts w:hint="eastAsia" w:ascii="仿宋_GB2312" w:hAnsi="仿宋" w:eastAsia="仿宋_GB2312"/>
          <w:bCs/>
          <w:spacing w:val="-4"/>
          <w:sz w:val="36"/>
          <w:szCs w:val="32"/>
        </w:rPr>
        <w:t>建议</w:t>
      </w:r>
    </w:p>
    <w:p>
      <w:pPr>
        <w:adjustRightInd w:val="0"/>
        <w:snapToGrid w:val="0"/>
        <w:spacing w:line="560" w:lineRule="exact"/>
        <w:ind w:left="420" w:leftChars="200"/>
        <w:rPr>
          <w:rFonts w:ascii="仿宋_GB2312" w:hAnsi="仿宋" w:eastAsia="仿宋_GB2312"/>
          <w:bCs/>
          <w:spacing w:val="-4"/>
          <w:sz w:val="36"/>
          <w:szCs w:val="32"/>
        </w:rPr>
      </w:pPr>
      <w:r>
        <w:rPr>
          <w:rFonts w:hint="eastAsia" w:ascii="仿宋_GB2312" w:hAnsi="仿宋" w:eastAsia="仿宋_GB2312"/>
          <w:bCs/>
          <w:spacing w:val="-4"/>
          <w:sz w:val="36"/>
          <w:szCs w:val="32"/>
        </w:rPr>
        <w:t>加强绩效管理知识学习，进一步加强项目档案管理。</w:t>
      </w:r>
    </w:p>
    <w:p>
      <w:pPr>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704" w:firstLineChars="200"/>
        <w:rPr>
          <w:rFonts w:ascii="仿宋_GB2312" w:hAnsi="仿宋" w:eastAsia="仿宋_GB2312"/>
          <w:spacing w:val="-4"/>
          <w:sz w:val="36"/>
          <w:szCs w:val="32"/>
        </w:rPr>
      </w:pPr>
      <w:r>
        <w:rPr>
          <w:rFonts w:hint="eastAsia" w:ascii="仿宋_GB2312" w:hAnsi="仿宋" w:eastAsia="仿宋_GB2312"/>
          <w:spacing w:val="-4"/>
          <w:sz w:val="36"/>
          <w:szCs w:val="32"/>
        </w:rPr>
        <w:t>无其他说明内容</w:t>
      </w:r>
    </w:p>
    <w:p>
      <w:pPr>
        <w:adjustRightInd w:val="0"/>
        <w:snapToGrid w:val="0"/>
        <w:spacing w:line="560" w:lineRule="exact"/>
        <w:ind w:firstLine="624" w:firstLineChars="200"/>
        <w:rPr>
          <w:rFonts w:ascii="黑体" w:hAnsi="黑体" w:eastAsia="黑体"/>
          <w:b/>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704" w:firstLineChars="200"/>
        <w:rPr>
          <w:rFonts w:ascii="仿宋_GB2312" w:hAnsi="仿宋" w:eastAsia="仿宋_GB2312"/>
          <w:spacing w:val="-4"/>
          <w:sz w:val="36"/>
          <w:szCs w:val="32"/>
        </w:rPr>
      </w:pPr>
      <w:r>
        <w:rPr>
          <w:rFonts w:hint="eastAsia" w:ascii="仿宋_GB2312" w:hAnsi="仿宋" w:eastAsia="仿宋_GB2312"/>
          <w:spacing w:val="-4"/>
          <w:sz w:val="36"/>
          <w:szCs w:val="32"/>
        </w:rPr>
        <w:t>本次评价通过实地调研、数据分析等方式，全面了解项目资金的使用效率和效果，项目管理过程是否规范，是否完成了预期绩效目标等。同时，通过开展自我评价吸取经验和教训，更好的开展2019年项目实施。</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704" w:firstLineChars="200"/>
        <w:rPr>
          <w:rStyle w:val="19"/>
          <w:rFonts w:ascii="仿宋_GB2312" w:hAnsi="仿宋" w:eastAsia="仿宋_GB2312"/>
          <w:b w:val="0"/>
          <w:spacing w:val="-4"/>
          <w:sz w:val="36"/>
          <w:szCs w:val="32"/>
        </w:rPr>
      </w:pPr>
      <w:r>
        <w:rPr>
          <w:rStyle w:val="19"/>
          <w:rFonts w:hint="eastAsia" w:ascii="仿宋_GB2312" w:hAnsi="仿宋" w:eastAsia="仿宋_GB2312"/>
          <w:b w:val="0"/>
          <w:spacing w:val="-4"/>
          <w:sz w:val="36"/>
          <w:szCs w:val="32"/>
        </w:rPr>
        <w:t>《项目支出绩效自评表》</w:t>
      </w:r>
    </w:p>
    <w:p>
      <w:pPr>
        <w:spacing w:line="540" w:lineRule="exact"/>
        <w:ind w:firstLine="567"/>
        <w:rPr>
          <w:rStyle w:val="19"/>
          <w:rFonts w:ascii="仿宋_GB2312" w:hAnsi="仿宋" w:eastAsia="仿宋_GB2312"/>
          <w:b w:val="0"/>
          <w:spacing w:val="-4"/>
          <w:sz w:val="36"/>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017515"/>
    <w:multiLevelType w:val="singleLevel"/>
    <w:tmpl w:val="E2017515"/>
    <w:lvl w:ilvl="0" w:tentative="0">
      <w:start w:val="2"/>
      <w:numFmt w:val="decimal"/>
      <w:suff w:val="nothing"/>
      <w:lvlText w:val="（%1）"/>
      <w:lvlJc w:val="left"/>
    </w:lvl>
  </w:abstractNum>
  <w:abstractNum w:abstractNumId="1">
    <w:nsid w:val="F59D81FB"/>
    <w:multiLevelType w:val="singleLevel"/>
    <w:tmpl w:val="F59D81FB"/>
    <w:lvl w:ilvl="0" w:tentative="0">
      <w:start w:val="2"/>
      <w:numFmt w:val="decimal"/>
      <w:lvlText w:val="%1."/>
      <w:lvlJc w:val="left"/>
      <w:pPr>
        <w:tabs>
          <w:tab w:val="left" w:pos="312"/>
        </w:tabs>
      </w:pPr>
    </w:lvl>
  </w:abstractNum>
  <w:abstractNum w:abstractNumId="2">
    <w:nsid w:val="4A0044F7"/>
    <w:multiLevelType w:val="singleLevel"/>
    <w:tmpl w:val="4A0044F7"/>
    <w:lvl w:ilvl="0" w:tentative="0">
      <w:start w:val="1"/>
      <w:numFmt w:val="decimal"/>
      <w:suff w:val="nothing"/>
      <w:lvlText w:val="（%1）"/>
      <w:lvlJc w:val="left"/>
      <w:rPr>
        <w:rFonts w:ascii="仿宋" w:hAnsi="仿宋" w:eastAsia="仿宋" w:cs="Times New Roman"/>
      </w:rPr>
    </w:lvl>
  </w:abstractNum>
  <w:abstractNum w:abstractNumId="3">
    <w:nsid w:val="5943A0D2"/>
    <w:multiLevelType w:val="singleLevel"/>
    <w:tmpl w:val="5943A0D2"/>
    <w:lvl w:ilvl="0" w:tentative="0">
      <w:start w:val="2"/>
      <w:numFmt w:val="decimal"/>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071527"/>
    <w:rsid w:val="000A7922"/>
    <w:rsid w:val="000A7E83"/>
    <w:rsid w:val="000B07B8"/>
    <w:rsid w:val="000F6B2C"/>
    <w:rsid w:val="00121AE4"/>
    <w:rsid w:val="00146AAD"/>
    <w:rsid w:val="00190B0D"/>
    <w:rsid w:val="001B3A40"/>
    <w:rsid w:val="001B7651"/>
    <w:rsid w:val="001C4BBB"/>
    <w:rsid w:val="001D14F1"/>
    <w:rsid w:val="001D27B6"/>
    <w:rsid w:val="002151EC"/>
    <w:rsid w:val="00250134"/>
    <w:rsid w:val="0027480F"/>
    <w:rsid w:val="002C39B0"/>
    <w:rsid w:val="00300CAD"/>
    <w:rsid w:val="00301465"/>
    <w:rsid w:val="00305C2E"/>
    <w:rsid w:val="00305CA9"/>
    <w:rsid w:val="003732C2"/>
    <w:rsid w:val="00402219"/>
    <w:rsid w:val="00416899"/>
    <w:rsid w:val="004366A8"/>
    <w:rsid w:val="00437C6B"/>
    <w:rsid w:val="00461C20"/>
    <w:rsid w:val="00470814"/>
    <w:rsid w:val="004735E5"/>
    <w:rsid w:val="004A08D3"/>
    <w:rsid w:val="004E38FD"/>
    <w:rsid w:val="004F06F7"/>
    <w:rsid w:val="00502BA7"/>
    <w:rsid w:val="005162F1"/>
    <w:rsid w:val="00535153"/>
    <w:rsid w:val="00541B51"/>
    <w:rsid w:val="00554F82"/>
    <w:rsid w:val="0056390D"/>
    <w:rsid w:val="005719B0"/>
    <w:rsid w:val="005C787B"/>
    <w:rsid w:val="005D10D6"/>
    <w:rsid w:val="006004D1"/>
    <w:rsid w:val="00610287"/>
    <w:rsid w:val="006645C2"/>
    <w:rsid w:val="00733D48"/>
    <w:rsid w:val="00761FBC"/>
    <w:rsid w:val="007916EE"/>
    <w:rsid w:val="007E2D5A"/>
    <w:rsid w:val="007F25A9"/>
    <w:rsid w:val="008322BB"/>
    <w:rsid w:val="0083530A"/>
    <w:rsid w:val="00841A2A"/>
    <w:rsid w:val="00855E3A"/>
    <w:rsid w:val="008B2097"/>
    <w:rsid w:val="008B6E04"/>
    <w:rsid w:val="008C7053"/>
    <w:rsid w:val="00904954"/>
    <w:rsid w:val="00917493"/>
    <w:rsid w:val="00922CB9"/>
    <w:rsid w:val="00926B59"/>
    <w:rsid w:val="009E5CD9"/>
    <w:rsid w:val="009F14C9"/>
    <w:rsid w:val="00A26421"/>
    <w:rsid w:val="00A26883"/>
    <w:rsid w:val="00A3733C"/>
    <w:rsid w:val="00A4293B"/>
    <w:rsid w:val="00A67D50"/>
    <w:rsid w:val="00A8691A"/>
    <w:rsid w:val="00A91A48"/>
    <w:rsid w:val="00AC1946"/>
    <w:rsid w:val="00B32D5F"/>
    <w:rsid w:val="00B40063"/>
    <w:rsid w:val="00B41F61"/>
    <w:rsid w:val="00BA46E6"/>
    <w:rsid w:val="00BA6024"/>
    <w:rsid w:val="00BA6785"/>
    <w:rsid w:val="00C040C0"/>
    <w:rsid w:val="00C26DFA"/>
    <w:rsid w:val="00C41500"/>
    <w:rsid w:val="00C41743"/>
    <w:rsid w:val="00C56C72"/>
    <w:rsid w:val="00CA6457"/>
    <w:rsid w:val="00CF026E"/>
    <w:rsid w:val="00D17F2E"/>
    <w:rsid w:val="00D30354"/>
    <w:rsid w:val="00D40829"/>
    <w:rsid w:val="00D54F61"/>
    <w:rsid w:val="00D617A2"/>
    <w:rsid w:val="00D96561"/>
    <w:rsid w:val="00DB36B3"/>
    <w:rsid w:val="00DF42A0"/>
    <w:rsid w:val="00E07700"/>
    <w:rsid w:val="00E12ED7"/>
    <w:rsid w:val="00E544E5"/>
    <w:rsid w:val="00E569D0"/>
    <w:rsid w:val="00E769FE"/>
    <w:rsid w:val="00EA2CBE"/>
    <w:rsid w:val="00EB25C8"/>
    <w:rsid w:val="00EB264D"/>
    <w:rsid w:val="00EB3CA0"/>
    <w:rsid w:val="00EC08A2"/>
    <w:rsid w:val="00EE1E68"/>
    <w:rsid w:val="00F0151C"/>
    <w:rsid w:val="00F13CAA"/>
    <w:rsid w:val="00F27EFD"/>
    <w:rsid w:val="00F32FEE"/>
    <w:rsid w:val="00F34007"/>
    <w:rsid w:val="00F81584"/>
    <w:rsid w:val="00F94113"/>
    <w:rsid w:val="00FB10BB"/>
    <w:rsid w:val="00FB1B0B"/>
    <w:rsid w:val="00FC2350"/>
    <w:rsid w:val="00FE0745"/>
    <w:rsid w:val="09EC7D10"/>
    <w:rsid w:val="1D9D3511"/>
    <w:rsid w:val="26DB401E"/>
    <w:rsid w:val="2B620D3A"/>
    <w:rsid w:val="2DC932FB"/>
    <w:rsid w:val="33C53449"/>
    <w:rsid w:val="42C40201"/>
    <w:rsid w:val="46574C53"/>
    <w:rsid w:val="4670298F"/>
    <w:rsid w:val="49584C0A"/>
    <w:rsid w:val="5B20311B"/>
    <w:rsid w:val="7A1134CA"/>
    <w:rsid w:val="7B2C33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spacing w:beforeAutospacing="1" w:afterAutospacing="1"/>
      <w:jc w:val="left"/>
    </w:pPr>
    <w:rPr>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01"/>
    <w:basedOn w:val="18"/>
    <w:qFormat/>
    <w:uiPriority w:val="0"/>
    <w:rPr>
      <w:rFonts w:hint="eastAsia" w:ascii="宋体" w:hAnsi="宋体" w:eastAsia="宋体" w:cs="宋体"/>
      <w:color w:val="000000"/>
      <w:sz w:val="22"/>
      <w:szCs w:val="22"/>
      <w:u w:val="none"/>
    </w:rPr>
  </w:style>
  <w:style w:type="paragraph" w:customStyle="1" w:styleId="48">
    <w:name w:val="Char"/>
    <w:basedOn w:val="1"/>
    <w:qFormat/>
    <w:uiPriority w:val="0"/>
    <w:rPr>
      <w:rFonts w:ascii="仿宋_GB2312" w:eastAsia="仿宋_GB2312" w:cs="黑体"/>
      <w:b/>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356</Words>
  <Characters>2035</Characters>
  <Lines>16</Lines>
  <Paragraphs>4</Paragraphs>
  <TotalTime>95</TotalTime>
  <ScaleCrop>false</ScaleCrop>
  <LinksUpToDate>false</LinksUpToDate>
  <CharactersWithSpaces>2387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2023-10-18T08:16:37Z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