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项目名称：叶城县环境空气自动站运维管理项目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实施单位（公章）：叶城县环境局</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主管部门（公章）：叶城县人民政府</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项目负责人（签章）：王志刚</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填报时间：2018年12月31日</w:t>
      </w:r>
    </w:p>
    <w:p>
      <w:pPr>
        <w:spacing w:line="540" w:lineRule="exact"/>
        <w:jc w:val="center"/>
        <w:rPr>
          <w:rFonts w:ascii="仿宋" w:hAnsi="仿宋" w:eastAsia="仿宋" w:cs="宋体"/>
          <w:kern w:val="0"/>
          <w:sz w:val="30"/>
          <w:szCs w:val="30"/>
        </w:rPr>
      </w:pPr>
    </w:p>
    <w:p>
      <w:pPr>
        <w:spacing w:line="540" w:lineRule="exact"/>
        <w:rPr>
          <w:rStyle w:val="19"/>
          <w:rFonts w:ascii="仿宋" w:hAnsi="仿宋" w:eastAsia="仿宋"/>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_GB2312" w:hAnsi="仿宋" w:eastAsia="仿宋_GB2312"/>
          <w:bCs/>
          <w:spacing w:val="-4"/>
          <w:sz w:val="32"/>
          <w:szCs w:val="32"/>
        </w:rPr>
      </w:pPr>
      <w:r>
        <w:rPr>
          <w:rStyle w:val="19"/>
          <w:rFonts w:hint="eastAsia" w:ascii="仿宋_GB2312" w:hAnsi="仿宋" w:eastAsia="仿宋_GB2312"/>
          <w:b w:val="0"/>
          <w:spacing w:val="-4"/>
          <w:sz w:val="32"/>
          <w:szCs w:val="32"/>
        </w:rPr>
        <w:t>叶城县环境局单位无下属预算单位，下设2个处室，分别是：行政办公室、环境监察大队,编制人数17人，实有人数12人。</w:t>
      </w:r>
    </w:p>
    <w:p>
      <w:pPr>
        <w:pStyle w:val="11"/>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主要职能:1、贯彻执行国家及自治区环境的方针政策和法律、法规，依法对本辖区的环境工作实施统一监督管理，制定并组织实施全县环境规划和计划。</w:t>
      </w:r>
    </w:p>
    <w:p>
      <w:pPr>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2、统一监督管理固定废物、废水、废气、粉尘、恶臭其他、噪声、振动、放射性物质、电磁波辐射等污染与防治，做好全县环境综合整治定量考核的组织、协调与防治。</w:t>
      </w:r>
    </w:p>
    <w:p>
      <w:pPr>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3、负责权限内规划和建设项目的环评审批，“三同时”监督管理和环境设施的验收工作。</w:t>
      </w:r>
    </w:p>
    <w:p>
      <w:pPr>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4、负责环境监察、统计、环境信息工作；负责查处上报环境重特大污染事故，生态破坏事件，调解污染纠纷，处理环境信访，征收排污费。</w:t>
      </w:r>
    </w:p>
    <w:p>
      <w:pPr>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5、负责权限内大气、水污染物排污许可证、危险废物经营许可证等的办理。</w:t>
      </w:r>
    </w:p>
    <w:p>
      <w:pPr>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6、组织对本县环境质量监测和污染源的监督与监测。</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7、组织、指导和协调环境宣传教育工作。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8、排污费的征收。</w:t>
      </w:r>
    </w:p>
    <w:p>
      <w:pPr>
        <w:pStyle w:val="48"/>
        <w:spacing w:line="560" w:lineRule="exact"/>
        <w:ind w:firstLine="640" w:firstLineChars="200"/>
        <w:rPr>
          <w:rFonts w:hAnsi="仿宋" w:cs="宋体"/>
          <w:b w:val="0"/>
        </w:rPr>
      </w:pPr>
      <w:r>
        <w:rPr>
          <w:rFonts w:hint="eastAsia" w:hAnsi="仿宋" w:cs="宋体"/>
          <w:b w:val="0"/>
        </w:rPr>
        <w:t>9、承办县委、县人民政府交办的其他工作。</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完成叶城县环境空气质量自动监测站2018年运行维护服务，保证仪器质量完好运行，并负责完成数据采集与传输、数据审核及考核任务。滤膜数量2盒，滤纸数量4盒，变色硅胶数量4盒，</w:t>
      </w:r>
      <w:r>
        <w:rPr>
          <w:rFonts w:hint="eastAsia" w:ascii="仿宋_GB2312" w:hAnsi="仿宋" w:eastAsia="仿宋_GB2312" w:cs="宋体"/>
          <w:bCs/>
          <w:sz w:val="32"/>
          <w:szCs w:val="32"/>
          <w:lang w:eastAsia="zh-CN"/>
        </w:rPr>
        <w:t>活性炭</w:t>
      </w:r>
      <w:r>
        <w:rPr>
          <w:rFonts w:hint="eastAsia" w:ascii="仿宋_GB2312" w:hAnsi="仿宋" w:eastAsia="仿宋_GB2312" w:cs="宋体"/>
          <w:bCs/>
          <w:sz w:val="32"/>
          <w:szCs w:val="32"/>
        </w:rPr>
        <w:t>数量4盒，颗粒物压头数量1盒，调制调解板数量1盒，电量26041度。</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叶城县空气自动监测站为自治区级空气监测站，本项目性质为新增项目，每天24小时不间断监测叶城县空气质量，空气自动站较为精密，按照国家生态环境部、自治区生态环境厅及地区环境局的要求，空气自动监测站由第三方运维公司进行专业运行维护。项目资金为本级财力安排项目资金。</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保证仪器质量完好运行、完成数据审核及考核任务，完成自治区要求的每天的数据审核工作，对设备巡检，更换仪器耗材，对仪器进行校零、校标。</w:t>
      </w:r>
      <w:bookmarkStart w:id="1" w:name="_GoBack"/>
      <w:bookmarkEnd w:id="1"/>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_GB2312" w:hAnsi="仿宋" w:eastAsia="仿宋_GB2312"/>
          <w:bCs/>
          <w:spacing w:val="-4"/>
          <w:sz w:val="32"/>
          <w:szCs w:val="32"/>
        </w:rPr>
      </w:pPr>
      <w:r>
        <w:rPr>
          <w:rFonts w:hint="eastAsia" w:ascii="仿宋_GB2312" w:hAnsi="仿宋" w:eastAsia="仿宋_GB2312" w:cs="仿宋"/>
          <w:sz w:val="32"/>
          <w:szCs w:val="32"/>
        </w:rPr>
        <w:t>根据喀地财建【2018】60号文件要求，本项目资金4万元，其中：财政资金4万元，其他资金0万元，</w:t>
      </w:r>
      <w:r>
        <w:rPr>
          <w:rFonts w:hint="eastAsia" w:ascii="仿宋_GB2312" w:hAnsi="仿宋" w:eastAsia="仿宋_GB2312"/>
          <w:bCs/>
          <w:spacing w:val="-4"/>
          <w:sz w:val="32"/>
          <w:szCs w:val="32"/>
        </w:rPr>
        <w:t>资金到位</w:t>
      </w:r>
      <w:r>
        <w:rPr>
          <w:rFonts w:hint="eastAsia" w:ascii="仿宋_GB2312" w:hAnsi="仿宋" w:eastAsia="仿宋_GB2312" w:cs="仿宋"/>
          <w:sz w:val="32"/>
          <w:szCs w:val="32"/>
        </w:rPr>
        <w:t>4</w:t>
      </w:r>
      <w:r>
        <w:rPr>
          <w:rFonts w:hint="eastAsia" w:ascii="仿宋_GB2312" w:hAnsi="仿宋" w:eastAsia="仿宋_GB2312"/>
          <w:bCs/>
          <w:spacing w:val="-4"/>
          <w:sz w:val="32"/>
          <w:szCs w:val="32"/>
        </w:rPr>
        <w:t>万元；资金到位率100%。</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40" w:firstLineChars="200"/>
        <w:rPr>
          <w:rFonts w:ascii="仿宋_GB2312" w:hAnsi="仿宋" w:eastAsia="仿宋_GB2312" w:cs="宋体"/>
          <w:b/>
          <w:sz w:val="32"/>
          <w:szCs w:val="32"/>
        </w:rPr>
      </w:pPr>
      <w:r>
        <w:rPr>
          <w:rFonts w:hint="eastAsia" w:ascii="仿宋_GB2312" w:hAnsi="仿宋" w:eastAsia="仿宋_GB2312" w:cs="仿宋"/>
          <w:sz w:val="32"/>
          <w:szCs w:val="32"/>
        </w:rPr>
        <w:t>根据新财建【2018】114号、喀地财建【2018】60号资金文件要求，</w:t>
      </w:r>
      <w:r>
        <w:rPr>
          <w:rFonts w:hint="eastAsia" w:ascii="仿宋_GB2312" w:hAnsi="仿宋" w:eastAsia="仿宋_GB2312"/>
          <w:bCs/>
          <w:spacing w:val="-4"/>
          <w:sz w:val="32"/>
          <w:szCs w:val="32"/>
        </w:rPr>
        <w:t>资金到位</w:t>
      </w:r>
      <w:r>
        <w:rPr>
          <w:rFonts w:hint="eastAsia" w:ascii="仿宋_GB2312" w:hAnsi="仿宋" w:eastAsia="仿宋_GB2312" w:cs="仿宋"/>
          <w:sz w:val="32"/>
          <w:szCs w:val="32"/>
        </w:rPr>
        <w:t>4</w:t>
      </w:r>
      <w:r>
        <w:rPr>
          <w:rFonts w:hint="eastAsia" w:ascii="仿宋_GB2312" w:hAnsi="仿宋" w:eastAsia="仿宋_GB2312"/>
          <w:bCs/>
          <w:spacing w:val="-4"/>
          <w:sz w:val="32"/>
          <w:szCs w:val="32"/>
        </w:rPr>
        <w:t>万元，实际支付4万元，预算执行率100%</w:t>
      </w:r>
      <w:r>
        <w:rPr>
          <w:rFonts w:hint="eastAsia" w:ascii="仿宋_GB2312" w:hAnsi="仿宋" w:eastAsia="仿宋_GB2312"/>
          <w:sz w:val="32"/>
          <w:szCs w:val="32"/>
        </w:rPr>
        <w:t>，主要用于</w:t>
      </w:r>
      <w:r>
        <w:rPr>
          <w:rFonts w:hint="eastAsia" w:ascii="仿宋_GB2312" w:hAnsi="仿宋" w:eastAsia="仿宋_GB2312" w:cs="宋体"/>
          <w:bCs/>
          <w:sz w:val="32"/>
          <w:szCs w:val="32"/>
        </w:rPr>
        <w:t>购买滤膜2盒8910；滤纸4盒6964元；变色硅胶4盒180元；</w:t>
      </w:r>
      <w:r>
        <w:rPr>
          <w:rFonts w:hint="eastAsia" w:ascii="仿宋_GB2312" w:hAnsi="仿宋" w:eastAsia="仿宋_GB2312" w:cs="宋体"/>
          <w:bCs/>
          <w:sz w:val="32"/>
          <w:szCs w:val="32"/>
          <w:lang w:eastAsia="zh-CN"/>
        </w:rPr>
        <w:t>活性炭</w:t>
      </w:r>
      <w:r>
        <w:rPr>
          <w:rFonts w:hint="eastAsia" w:ascii="仿宋_GB2312" w:hAnsi="仿宋" w:eastAsia="仿宋_GB2312" w:cs="宋体"/>
          <w:bCs/>
          <w:sz w:val="32"/>
          <w:szCs w:val="32"/>
        </w:rPr>
        <w:t>4盒990元；颗粒物压头1套7600元；调制调解板1套5200元；电费10156元等。共计40000元。</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根据资金使用方案和</w:t>
      </w:r>
      <w:r>
        <w:rPr>
          <w:rFonts w:hint="eastAsia" w:ascii="仿宋_GB2312" w:hAnsi="仿宋" w:eastAsia="仿宋_GB2312"/>
          <w:bCs/>
          <w:spacing w:val="-4"/>
          <w:sz w:val="32"/>
          <w:szCs w:val="32"/>
        </w:rPr>
        <w:t>《叶城县财政专项资金管理暂行办法》</w:t>
      </w:r>
      <w:r>
        <w:rPr>
          <w:rFonts w:hint="eastAsia" w:ascii="仿宋_GB2312" w:hAnsi="仿宋" w:eastAsia="仿宋_GB2312" w:cs="宋体"/>
          <w:bCs/>
          <w:sz w:val="32"/>
          <w:szCs w:val="32"/>
        </w:rPr>
        <w:t>，严格按照审批程序，经县财政统一监管资金使用规范,不存在截流、挤占、挪用项目资金情况; 资金管理、费用支出制度健全，财务执行情况好，项目专项资金管理好。该项目专项经费在使用过程中，严格按照自治区及地区、县级财务管理制度，资金走国库集中支付报账制。项目由县环境局管理建设，监督项目进度及资金支出进度。项目已实施完毕，手续齐全。</w:t>
      </w:r>
    </w:p>
    <w:p>
      <w:pPr>
        <w:widowControl/>
        <w:spacing w:line="560" w:lineRule="exact"/>
        <w:ind w:firstLine="624" w:firstLineChars="200"/>
        <w:rPr>
          <w:rFonts w:ascii="仿宋_GB2312" w:hAnsi="仿宋" w:eastAsia="仿宋_GB2312" w:cs="宋体"/>
          <w:kern w:val="0"/>
          <w:sz w:val="32"/>
          <w:szCs w:val="32"/>
        </w:rPr>
      </w:pPr>
      <w:r>
        <w:rPr>
          <w:rFonts w:hint="eastAsia" w:ascii="仿宋_GB2312" w:hAnsi="仿宋" w:eastAsia="仿宋_GB2312"/>
          <w:bCs/>
          <w:spacing w:val="-4"/>
          <w:sz w:val="32"/>
          <w:szCs w:val="32"/>
        </w:rPr>
        <w:t>根据中央和自治区项目资金管理办法的要求，单位严格按照项目资金规定的专项资金支持的项目条件和范围要求，严格按照有关规定使用管理项目资金。</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本项目属于分期分批购买，经常性零星项目，未达到采购项目的要求，由本单位自行组织实施。实施过程均按照本单位制定的管理制度执行，不存在检查验收。</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项目实施过程中，县环境局建立了《</w:t>
      </w:r>
      <w:r>
        <w:fldChar w:fldCharType="begin"/>
      </w:r>
      <w:r>
        <w:instrText xml:space="preserve"> HYPERLINK \l "_Toc9778_WPSOffice_Level2" </w:instrText>
      </w:r>
      <w:r>
        <w:fldChar w:fldCharType="separate"/>
      </w:r>
      <w:r>
        <w:rPr>
          <w:rFonts w:hint="eastAsia" w:ascii="仿宋_GB2312" w:hAnsi="仿宋" w:eastAsia="仿宋_GB2312" w:cs="宋体"/>
          <w:bCs/>
          <w:sz w:val="32"/>
          <w:szCs w:val="32"/>
        </w:rPr>
        <w:t>站房安全管理制度》</w:t>
      </w:r>
      <w:bookmarkStart w:id="0" w:name="_Toc9778_WPSOffice_Level2Page"/>
      <w:r>
        <w:rPr>
          <w:rFonts w:hint="eastAsia" w:ascii="仿宋_GB2312" w:hAnsi="仿宋" w:eastAsia="仿宋_GB2312" w:cs="宋体"/>
          <w:bCs/>
          <w:sz w:val="32"/>
          <w:szCs w:val="32"/>
        </w:rPr>
        <w:t>、《</w:t>
      </w:r>
      <w:bookmarkEnd w:id="0"/>
      <w:r>
        <w:rPr>
          <w:rFonts w:hint="eastAsia" w:ascii="仿宋_GB2312" w:hAnsi="仿宋" w:eastAsia="仿宋_GB2312" w:cs="宋体"/>
          <w:bCs/>
          <w:sz w:val="32"/>
          <w:szCs w:val="32"/>
        </w:rPr>
        <w:fldChar w:fldCharType="end"/>
      </w:r>
      <w:r>
        <w:fldChar w:fldCharType="begin"/>
      </w:r>
      <w:r>
        <w:instrText xml:space="preserve"> HYPERLINK \l "_Toc11070_WPSOffice_Level2" </w:instrText>
      </w:r>
      <w:r>
        <w:fldChar w:fldCharType="separate"/>
      </w:r>
      <w:r>
        <w:rPr>
          <w:rFonts w:hint="eastAsia" w:ascii="仿宋_GB2312" w:hAnsi="仿宋" w:eastAsia="仿宋_GB2312" w:cs="宋体"/>
          <w:bCs/>
          <w:sz w:val="32"/>
          <w:szCs w:val="32"/>
        </w:rPr>
        <w:t>空气自动监测站房安全制度》《</w:t>
      </w:r>
      <w:r>
        <w:rPr>
          <w:rFonts w:hint="eastAsia" w:ascii="仿宋_GB2312" w:hAnsi="仿宋" w:eastAsia="仿宋_GB2312" w:cs="宋体"/>
          <w:bCs/>
          <w:sz w:val="32"/>
          <w:szCs w:val="32"/>
        </w:rPr>
        <w:fldChar w:fldCharType="end"/>
      </w:r>
      <w:r>
        <w:fldChar w:fldCharType="begin"/>
      </w:r>
      <w:r>
        <w:instrText xml:space="preserve"> HYPERLINK \l "_Toc30952_WPSOffice_Level2" </w:instrText>
      </w:r>
      <w:r>
        <w:fldChar w:fldCharType="separate"/>
      </w:r>
      <w:r>
        <w:rPr>
          <w:rFonts w:hint="eastAsia" w:ascii="仿宋_GB2312" w:hAnsi="仿宋" w:eastAsia="仿宋_GB2312" w:cs="宋体"/>
          <w:bCs/>
          <w:sz w:val="32"/>
          <w:szCs w:val="32"/>
        </w:rPr>
        <w:t>自动监测站管理制度》</w:t>
      </w:r>
      <w:r>
        <w:rPr>
          <w:rFonts w:hint="eastAsia" w:ascii="仿宋_GB2312" w:hAnsi="仿宋" w:eastAsia="仿宋_GB2312" w:cs="宋体"/>
          <w:bCs/>
          <w:sz w:val="32"/>
          <w:szCs w:val="32"/>
        </w:rPr>
        <w:fldChar w:fldCharType="end"/>
      </w:r>
      <w:r>
        <w:rPr>
          <w:rFonts w:hint="eastAsia" w:ascii="仿宋_GB2312" w:hAnsi="仿宋" w:eastAsia="仿宋_GB2312" w:cs="宋体"/>
          <w:bCs/>
          <w:sz w:val="32"/>
          <w:szCs w:val="32"/>
        </w:rPr>
        <w:t>《</w:t>
      </w:r>
      <w:r>
        <w:fldChar w:fldCharType="begin"/>
      </w:r>
      <w:r>
        <w:instrText xml:space="preserve"> HYPERLINK \l "_Toc30142_WPSOffice_Level2" </w:instrText>
      </w:r>
      <w:r>
        <w:fldChar w:fldCharType="separate"/>
      </w:r>
      <w:r>
        <w:rPr>
          <w:rFonts w:hint="eastAsia" w:ascii="仿宋_GB2312" w:hAnsi="仿宋" w:eastAsia="仿宋_GB2312" w:cs="宋体"/>
          <w:bCs/>
          <w:sz w:val="32"/>
          <w:szCs w:val="32"/>
        </w:rPr>
        <w:t>环境空气质量自动监测站维护和质控制度》</w:t>
      </w:r>
      <w:r>
        <w:rPr>
          <w:rFonts w:hint="eastAsia" w:ascii="仿宋_GB2312" w:hAnsi="仿宋" w:eastAsia="仿宋_GB2312" w:cs="宋体"/>
          <w:bCs/>
          <w:sz w:val="32"/>
          <w:szCs w:val="32"/>
        </w:rPr>
        <w:fldChar w:fldCharType="end"/>
      </w:r>
      <w:r>
        <w:rPr>
          <w:rFonts w:hint="eastAsia" w:ascii="仿宋_GB2312" w:hAnsi="仿宋" w:eastAsia="仿宋_GB2312" w:cs="宋体"/>
          <w:bCs/>
          <w:sz w:val="32"/>
          <w:szCs w:val="32"/>
        </w:rPr>
        <w:t>，保障项目的顺利实施。不定期对项目进度情况进行督导检查，对检查过程中发现的问题及时督促整改，确保了项目按时保质完成。项目的实施遵守相关法律法规和业务管理规定，项目资料齐全并及时归档。</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本项目共设置一级指标3个，二级指标8个，三级指标20个，其中已完成三级指标20个，指标完成率为100%。</w:t>
      </w:r>
    </w:p>
    <w:p>
      <w:pPr>
        <w:widowControl/>
        <w:spacing w:line="560" w:lineRule="exact"/>
        <w:ind w:firstLine="640" w:firstLineChars="200"/>
        <w:rPr>
          <w:rFonts w:ascii="仿宋_GB2312" w:hAnsi="仿宋" w:eastAsia="仿宋_GB2312" w:cs="仿宋"/>
          <w:kern w:val="0"/>
          <w:sz w:val="32"/>
          <w:szCs w:val="32"/>
        </w:rPr>
      </w:pPr>
      <w:r>
        <w:rPr>
          <w:rFonts w:hint="eastAsia" w:ascii="仿宋_GB2312" w:hAnsi="仿宋" w:eastAsia="仿宋_GB2312" w:cs="仿宋"/>
          <w:kern w:val="0"/>
          <w:sz w:val="32"/>
          <w:szCs w:val="32"/>
        </w:rPr>
        <w:t>根据年初设定的绩效目标，此项目自评得分为94分。</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滤膜数量2盒，滤纸数量4盒，变色硅胶数量4盒，</w:t>
      </w:r>
      <w:r>
        <w:rPr>
          <w:rFonts w:hint="eastAsia" w:ascii="仿宋_GB2312" w:hAnsi="仿宋" w:eastAsia="仿宋_GB2312" w:cs="仿宋"/>
          <w:spacing w:val="-4"/>
          <w:sz w:val="32"/>
          <w:szCs w:val="32"/>
          <w:lang w:eastAsia="zh-CN"/>
        </w:rPr>
        <w:t>活性炭</w:t>
      </w:r>
      <w:r>
        <w:rPr>
          <w:rFonts w:hint="eastAsia" w:ascii="仿宋_GB2312" w:hAnsi="仿宋" w:eastAsia="仿宋_GB2312" w:cs="仿宋"/>
          <w:spacing w:val="-4"/>
          <w:sz w:val="32"/>
          <w:szCs w:val="32"/>
        </w:rPr>
        <w:t>数量4盒，颗粒物压头数量1套，调制调解板数量1套，26041度电，截至2018年绩效自评时,该项目年度设定的预期目标全部完成,完成率为100%。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耗材质量验收合格率100%，根据项目实施完成后的结果来看,我单位严格规范项目资执行情况，高质量完成项目建设完成率为100%。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项目完工及时率100%，根据年初单位制定的实施方案,严格把控资金与项目实施进度相统一的原则,项目完成进度良好,当年完成率为100%。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仿宋_GB2312"/>
          <w:sz w:val="32"/>
          <w:szCs w:val="32"/>
        </w:rPr>
        <w:t>滤膜单价每盒4455元，滤纸每盒1741元，变色硅胶每盒45元，活性炭每盒247.5元，颗粒物压头每套7600元，调制调解板每套5200元，电费每度10156元，</w:t>
      </w:r>
      <w:r>
        <w:rPr>
          <w:rFonts w:hint="eastAsia" w:ascii="仿宋_GB2312" w:hAnsi="仿宋" w:eastAsia="仿宋_GB2312" w:cs="仿宋"/>
          <w:spacing w:val="-4"/>
          <w:sz w:val="32"/>
          <w:szCs w:val="32"/>
        </w:rPr>
        <w:t>完成率为100%，</w:t>
      </w:r>
      <w:r>
        <w:rPr>
          <w:rFonts w:hint="eastAsia" w:ascii="仿宋_GB2312" w:hAnsi="仿宋" w:eastAsia="仿宋_GB2312" w:cs="宋体"/>
          <w:bCs/>
          <w:sz w:val="32"/>
          <w:szCs w:val="32"/>
        </w:rPr>
        <w:t>该项目的实施，对大气环境中主要污染物进行连续的监测，做到空气质量的全程监测</w:t>
      </w:r>
      <w:r>
        <w:rPr>
          <w:rFonts w:hint="eastAsia" w:ascii="仿宋_GB2312" w:hAnsi="仿宋" w:eastAsia="仿宋_GB2312" w:cs="仿宋_GB2312"/>
          <w:sz w:val="32"/>
          <w:szCs w:val="32"/>
        </w:rPr>
        <w:t>项目成本控制在预算范围内，严格控制成本在预算之内,坚决杜绝资金浪费现象的产生。</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节约人工费用每年每人2000元。</w:t>
      </w:r>
    </w:p>
    <w:p>
      <w:pPr>
        <w:spacing w:line="560" w:lineRule="exact"/>
        <w:ind w:firstLine="627" w:firstLineChars="200"/>
        <w:rPr>
          <w:rFonts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无。</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提高判断大气质量是否符合国家制定的大气质量标准100%，完成率为100%，对大气环境中主要污染物进行连续的监测，判断大气质量是否符合国家制定的大气质量标准，做到了空气质量的全程监测，。</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设备使用年限1年。</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spacing w:line="560" w:lineRule="exact"/>
        <w:ind w:firstLine="624" w:firstLineChars="200"/>
        <w:rPr>
          <w:rFonts w:ascii="仿宋_GB2312" w:hAnsi="仿宋" w:eastAsia="仿宋_GB2312"/>
          <w:sz w:val="32"/>
          <w:szCs w:val="32"/>
        </w:rPr>
      </w:pPr>
      <w:r>
        <w:rPr>
          <w:rFonts w:hint="eastAsia" w:ascii="仿宋_GB2312" w:hAnsi="仿宋" w:eastAsia="仿宋_GB2312" w:cs="仿宋"/>
          <w:spacing w:val="-4"/>
          <w:sz w:val="32"/>
          <w:szCs w:val="32"/>
        </w:rPr>
        <w:t>按计划完成项目实施，使用人员满意度达95%，服务对象满意度指标完成。</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spacing w:val="-4"/>
          <w:sz w:val="32"/>
          <w:szCs w:val="32"/>
        </w:rPr>
      </w:pPr>
      <w:r>
        <w:rPr>
          <w:rFonts w:hint="eastAsia" w:ascii="仿宋_GB2312" w:hAnsi="仿宋" w:eastAsia="仿宋_GB2312"/>
          <w:spacing w:val="-4"/>
          <w:sz w:val="32"/>
          <w:szCs w:val="32"/>
        </w:rPr>
        <w:t>2018年项目支出绩效目标全部达成，不存在未完成原因分析。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后续管理中发现潜在的问题，避免系统故障的产生。根据仪器的特点、结构、对运行环境的要求以及操作人员的工作经验来确定预防性维护的内容。合理有效的预防性维护可以减少系统总的维护工作量，提高监测数据的可靠性。预防性维护贯穿空气自动监测系统整个运行期间。</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在工作细节上加大协调力度，加强专项资金管理，落实各项责任，建立长效机制的审核，形成有效机制，确保各项工作落实到位。认真落实资金核算报账制，完善资金管理体系，理顺管理程序。严格按照各项财政资金管理办法和规定使用财政资金，遵守专款专用原则，坚持按项目、按规定程序、按进度拨款使用。不违反规定扩大开支范围，不提高开支标准，不弄虚作假，虚列支出，确保资金安全。年初做好资金计划，按照项目进度及时拨付资金，使资金使用效益最大化，希加大技术指导和扶持力度，加强财务人员培训。</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该项目的实施，全面了解《叶城县环境空气自动站运维管理项目》资金的使用效率和效果，规范项目管理过程，完成了预期绩效目标，并为下一年该项目实施打下基础。</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《项目支出绩效自评表》</w:t>
      </w: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7</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2DE1"/>
    <w:rsid w:val="00006C02"/>
    <w:rsid w:val="00056465"/>
    <w:rsid w:val="000B1765"/>
    <w:rsid w:val="0010254D"/>
    <w:rsid w:val="00121AE4"/>
    <w:rsid w:val="00146AAD"/>
    <w:rsid w:val="00162739"/>
    <w:rsid w:val="001951A1"/>
    <w:rsid w:val="001B3A40"/>
    <w:rsid w:val="001C6F7C"/>
    <w:rsid w:val="001C7F40"/>
    <w:rsid w:val="00211EA3"/>
    <w:rsid w:val="00232EE2"/>
    <w:rsid w:val="00252EA9"/>
    <w:rsid w:val="002B37C5"/>
    <w:rsid w:val="002C39BB"/>
    <w:rsid w:val="002E5C53"/>
    <w:rsid w:val="00360615"/>
    <w:rsid w:val="003632C8"/>
    <w:rsid w:val="0037163F"/>
    <w:rsid w:val="003A0127"/>
    <w:rsid w:val="003C3E49"/>
    <w:rsid w:val="004366A8"/>
    <w:rsid w:val="00436D85"/>
    <w:rsid w:val="004B2E7B"/>
    <w:rsid w:val="004D4F33"/>
    <w:rsid w:val="00502651"/>
    <w:rsid w:val="00502BA7"/>
    <w:rsid w:val="0051302B"/>
    <w:rsid w:val="005162F1"/>
    <w:rsid w:val="00535153"/>
    <w:rsid w:val="00554F82"/>
    <w:rsid w:val="0056390D"/>
    <w:rsid w:val="00565DB3"/>
    <w:rsid w:val="005719B0"/>
    <w:rsid w:val="005A3555"/>
    <w:rsid w:val="005A77E7"/>
    <w:rsid w:val="005C3E47"/>
    <w:rsid w:val="005C5AD9"/>
    <w:rsid w:val="005D10D6"/>
    <w:rsid w:val="005D7ABE"/>
    <w:rsid w:val="005F2090"/>
    <w:rsid w:val="006035EA"/>
    <w:rsid w:val="006A0C8E"/>
    <w:rsid w:val="006B36AA"/>
    <w:rsid w:val="00732708"/>
    <w:rsid w:val="00740587"/>
    <w:rsid w:val="0078291A"/>
    <w:rsid w:val="00790658"/>
    <w:rsid w:val="007A633B"/>
    <w:rsid w:val="007B4910"/>
    <w:rsid w:val="007C1A76"/>
    <w:rsid w:val="0083050F"/>
    <w:rsid w:val="00855E3A"/>
    <w:rsid w:val="00872530"/>
    <w:rsid w:val="00922CB9"/>
    <w:rsid w:val="009657F5"/>
    <w:rsid w:val="00985D5A"/>
    <w:rsid w:val="009C2EF8"/>
    <w:rsid w:val="009D1BFF"/>
    <w:rsid w:val="009D536D"/>
    <w:rsid w:val="009E5CD9"/>
    <w:rsid w:val="00A10D52"/>
    <w:rsid w:val="00A26421"/>
    <w:rsid w:val="00A4293B"/>
    <w:rsid w:val="00A43974"/>
    <w:rsid w:val="00A466EB"/>
    <w:rsid w:val="00A63F70"/>
    <w:rsid w:val="00A67D50"/>
    <w:rsid w:val="00A8691A"/>
    <w:rsid w:val="00AA51B4"/>
    <w:rsid w:val="00AC1946"/>
    <w:rsid w:val="00B058DB"/>
    <w:rsid w:val="00B13953"/>
    <w:rsid w:val="00B22AEA"/>
    <w:rsid w:val="00B40063"/>
    <w:rsid w:val="00B41F61"/>
    <w:rsid w:val="00B558BA"/>
    <w:rsid w:val="00B6752B"/>
    <w:rsid w:val="00B704CF"/>
    <w:rsid w:val="00B74801"/>
    <w:rsid w:val="00BA46E6"/>
    <w:rsid w:val="00BB4AE4"/>
    <w:rsid w:val="00BC13E5"/>
    <w:rsid w:val="00C46031"/>
    <w:rsid w:val="00C53A27"/>
    <w:rsid w:val="00C56C72"/>
    <w:rsid w:val="00C824D2"/>
    <w:rsid w:val="00C93049"/>
    <w:rsid w:val="00CA6457"/>
    <w:rsid w:val="00CA7601"/>
    <w:rsid w:val="00CD3C59"/>
    <w:rsid w:val="00CD5C83"/>
    <w:rsid w:val="00CF373E"/>
    <w:rsid w:val="00D17F2E"/>
    <w:rsid w:val="00D25CD3"/>
    <w:rsid w:val="00D30354"/>
    <w:rsid w:val="00D43AB0"/>
    <w:rsid w:val="00DF42A0"/>
    <w:rsid w:val="00E14847"/>
    <w:rsid w:val="00E41B88"/>
    <w:rsid w:val="00E445E8"/>
    <w:rsid w:val="00E624B7"/>
    <w:rsid w:val="00E72BA9"/>
    <w:rsid w:val="00E769FE"/>
    <w:rsid w:val="00EA2CBE"/>
    <w:rsid w:val="00EB1E44"/>
    <w:rsid w:val="00EC3FF5"/>
    <w:rsid w:val="00EC79EC"/>
    <w:rsid w:val="00ED18A7"/>
    <w:rsid w:val="00ED75F3"/>
    <w:rsid w:val="00EE0257"/>
    <w:rsid w:val="00F32FEE"/>
    <w:rsid w:val="00F65962"/>
    <w:rsid w:val="00FB10BB"/>
    <w:rsid w:val="08AD04F3"/>
    <w:rsid w:val="1DD43DAA"/>
    <w:rsid w:val="271C3311"/>
    <w:rsid w:val="536849BB"/>
    <w:rsid w:val="5FCA199B"/>
    <w:rsid w:val="5FE80B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Plain Text"/>
    <w:basedOn w:val="1"/>
    <w:link w:val="47"/>
    <w:qFormat/>
    <w:uiPriority w:val="0"/>
    <w:rPr>
      <w:rFonts w:ascii="宋体" w:hAnsi="Courier New" w:cs="Courier New"/>
      <w:szCs w:val="21"/>
    </w:rPr>
  </w:style>
  <w:style w:type="paragraph" w:styleId="12">
    <w:name w:val="Balloon Text"/>
    <w:basedOn w:val="1"/>
    <w:link w:val="46"/>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批注框文本 Char"/>
    <w:basedOn w:val="18"/>
    <w:link w:val="12"/>
    <w:semiHidden/>
    <w:qFormat/>
    <w:uiPriority w:val="99"/>
    <w:rPr>
      <w:rFonts w:ascii="Times New Roman" w:hAnsi="Times New Roman" w:eastAsia="宋体"/>
      <w:kern w:val="2"/>
      <w:sz w:val="18"/>
      <w:szCs w:val="18"/>
    </w:rPr>
  </w:style>
  <w:style w:type="character" w:customStyle="1" w:styleId="47">
    <w:name w:val="纯文本 Char"/>
    <w:basedOn w:val="18"/>
    <w:link w:val="11"/>
    <w:qFormat/>
    <w:uiPriority w:val="0"/>
    <w:rPr>
      <w:rFonts w:ascii="宋体" w:hAnsi="Courier New" w:eastAsia="宋体" w:cs="Courier New"/>
      <w:kern w:val="2"/>
      <w:sz w:val="21"/>
      <w:szCs w:val="21"/>
    </w:rPr>
  </w:style>
  <w:style w:type="paragraph" w:customStyle="1" w:styleId="48">
    <w:name w:val="Char"/>
    <w:basedOn w:val="1"/>
    <w:qFormat/>
    <w:uiPriority w:val="99"/>
    <w:rPr>
      <w:rFonts w:ascii="仿宋_GB2312" w:eastAsia="仿宋_GB2312" w:cs="黑体"/>
      <w:b/>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489</Words>
  <Characters>2792</Characters>
  <Lines>23</Lines>
  <Paragraphs>6</Paragraphs>
  <TotalTime>5</TotalTime>
  <ScaleCrop>false</ScaleCrop>
  <LinksUpToDate>false</LinksUpToDate>
  <CharactersWithSpaces>3275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2019-01-21T17:19:00Z</dcterms:created>
  <dc:creator>赵 恺（预算处）</dc:creator>
  <cp:lastModifiedBy>Administrator</cp:lastModifiedBy>
  <cp:lastPrinted>2018-12-31T10:56:00Z</cp:lastPrinted>
  <dcterms:modified xsi:type="dcterms:W3CDTF">2025-02-12T05:19:07Z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