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bookmarkStart w:id="8" w:name="_GoBack"/>
      <w:bookmarkEnd w:id="8"/>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喀什地区交通运输局村组或巷道建设项目支出绩效评价报告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hAnsi="宋体" w:eastAsia="仿宋_GB2312" w:cs="宋体"/>
          <w:kern w:val="0"/>
          <w:sz w:val="36"/>
          <w:szCs w:val="36"/>
        </w:rPr>
      </w:pPr>
      <w:r>
        <w:rPr>
          <w:rFonts w:hint="eastAsia" w:ascii="仿宋_GB2312" w:hAnsi="仿宋" w:eastAsia="仿宋_GB2312" w:cs="Times New Roman"/>
          <w:spacing w:val="-2"/>
          <w:sz w:val="36"/>
          <w:szCs w:val="36"/>
        </w:rPr>
        <w:t>项目名称：</w:t>
      </w:r>
      <w:r>
        <w:rPr>
          <w:rFonts w:hint="eastAsia" w:hAnsi="宋体" w:eastAsia="仿宋_GB2312" w:cs="宋体"/>
          <w:kern w:val="0"/>
          <w:sz w:val="36"/>
          <w:szCs w:val="36"/>
        </w:rPr>
        <w:t>村组或巷道道路建设项目</w:t>
      </w:r>
    </w:p>
    <w:p>
      <w:pPr>
        <w:spacing w:line="700" w:lineRule="exact"/>
        <w:ind w:firstLine="712" w:firstLineChars="200"/>
        <w:jc w:val="left"/>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w:t>
      </w:r>
      <w:r>
        <w:rPr>
          <w:rFonts w:hint="eastAsia" w:hAnsi="宋体" w:eastAsia="仿宋_GB2312" w:cs="宋体"/>
          <w:kern w:val="0"/>
          <w:sz w:val="36"/>
          <w:szCs w:val="36"/>
        </w:rPr>
        <w:t>叶城县交通运输局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w:t>
      </w:r>
      <w:r>
        <w:rPr>
          <w:rFonts w:hint="eastAsia" w:hAnsi="宋体" w:eastAsia="仿宋_GB2312" w:cs="宋体"/>
          <w:kern w:val="0"/>
          <w:sz w:val="36"/>
          <w:szCs w:val="36"/>
        </w:rPr>
        <w:t>叶城县交通运输局</w:t>
      </w:r>
    </w:p>
    <w:p>
      <w:pPr>
        <w:autoSpaceDE w:val="0"/>
        <w:autoSpaceDN w:val="0"/>
        <w:spacing w:line="540" w:lineRule="exact"/>
        <w:ind w:firstLine="712" w:firstLineChars="200"/>
        <w:rPr>
          <w:rFonts w:ascii="仿宋_GB2312" w:hAnsi="仿宋" w:eastAsia="仿宋_GB2312" w:cs="Times New Roman"/>
          <w:spacing w:val="-2"/>
          <w:sz w:val="36"/>
          <w:szCs w:val="36"/>
        </w:rPr>
      </w:pPr>
    </w:p>
    <w:p>
      <w:pPr>
        <w:pStyle w:val="2"/>
      </w:pPr>
    </w:p>
    <w:p>
      <w:pPr>
        <w:pStyle w:val="2"/>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pStyle w:val="23"/>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bidi="ar"/>
        </w:rPr>
        <w:t>基本情况</w:t>
      </w:r>
    </w:p>
    <w:p>
      <w:pPr>
        <w:pStyle w:val="25"/>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bookmarkStart w:id="0" w:name="_Toc26401549"/>
      <w:r>
        <w:rPr>
          <w:rFonts w:hint="eastAsia"/>
          <w:lang w:bidi="ar"/>
        </w:rPr>
        <w:t>项目概况</w:t>
      </w:r>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color w:val="FF0000"/>
          <w:sz w:val="32"/>
          <w:szCs w:val="32"/>
          <w:lang w:bidi="ar"/>
        </w:rPr>
      </w:pPr>
      <w:r>
        <w:rPr>
          <w:rFonts w:hint="eastAsia" w:ascii="仿宋_GB2312" w:hAnsi="仿宋" w:eastAsia="仿宋_GB2312" w:cs="Times New Roman"/>
          <w:sz w:val="32"/>
          <w:szCs w:val="32"/>
        </w:rPr>
        <w:t>叶城县交通运输局主要负责拟定全县公路交通运输建设发展规划；会同有关部门组织编制县综合交通运输体系规划；参与拟定县物流业发展战略与规划；制定公路交通运输战略规划以及科技、战备中长期规划和年度计划并组织实施。负责县、乡公路（农村公路）以及专用公路的建设、管理和养护；负责农村公路路政综合管理，依法保护公路路产、路权；负责农村公路安保工作和车辆超限超载治理工作；指导、检查、考核管辖范围内县道、乡道的建设、管理和养护工作。</w:t>
      </w:r>
    </w:p>
    <w:p>
      <w:pPr>
        <w:pStyle w:val="19"/>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val="en-US" w:eastAsia="zh-CN" w:bidi="ar"/>
        </w:rPr>
        <w:t>1.</w:t>
      </w:r>
      <w:r>
        <w:rPr>
          <w:rFonts w:hint="eastAsia" w:ascii="仿宋_GB2312" w:hAnsi="仿宋" w:eastAsia="仿宋_GB2312" w:cs="宋体"/>
          <w:sz w:val="32"/>
          <w:szCs w:val="32"/>
          <w:lang w:bidi="ar"/>
        </w:rPr>
        <w:t>项目背景及立项依据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根据喀地财扶【2018】58号、喀地财农【2018】84号、喀地财建【2019】100号文件，下达2019年专项扶贫资金预算金额为</w:t>
      </w:r>
      <w:r>
        <w:rPr>
          <w:rFonts w:hint="eastAsia" w:ascii="仿宋_GB2312" w:hAnsi="仿宋" w:eastAsia="仿宋_GB2312" w:cs="Times New Roman"/>
          <w:sz w:val="32"/>
          <w:szCs w:val="32"/>
          <w:lang w:eastAsia="zh-CN"/>
        </w:rPr>
        <w:t>8348.95</w:t>
      </w:r>
      <w:r>
        <w:rPr>
          <w:rFonts w:hint="eastAsia" w:ascii="仿宋_GB2312" w:hAnsi="仿宋" w:eastAsia="仿宋_GB2312" w:cs="Times New Roman"/>
          <w:sz w:val="32"/>
          <w:szCs w:val="32"/>
        </w:rPr>
        <w:t>万元，用于农村公路项目建设，涉及16个乡（镇），建档立卡贫困户20735户，增加贫困户收入，激发贫困户增收的信心对区域社会经济的发展，路网结构的完善，加强城区与人文、风景区和沿线乡镇之间的联系，改善区域出行条件维护地方社会长治久安等具有十分重要的意义。</w:t>
      </w:r>
    </w:p>
    <w:p>
      <w:pPr>
        <w:pStyle w:val="19"/>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项目主要内容及实施情况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根据喀地财扶【2018】58号、喀地财农【2018】84号、喀地财建【2019】100号下达</w:t>
      </w:r>
      <w:r>
        <w:rPr>
          <w:rFonts w:hint="eastAsia" w:ascii="仿宋_GB2312" w:hAnsi="仿宋" w:eastAsia="仿宋_GB2312" w:cs="Times New Roman"/>
          <w:sz w:val="32"/>
          <w:szCs w:val="32"/>
          <w:lang w:eastAsia="zh-CN"/>
        </w:rPr>
        <w:t>8348.95</w:t>
      </w:r>
      <w:r>
        <w:rPr>
          <w:rFonts w:hint="eastAsia" w:ascii="仿宋_GB2312" w:hAnsi="仿宋" w:eastAsia="仿宋_GB2312" w:cs="Times New Roman"/>
          <w:sz w:val="32"/>
          <w:szCs w:val="32"/>
        </w:rPr>
        <w:t>资金的文件，到位资金</w:t>
      </w:r>
      <w:r>
        <w:rPr>
          <w:rFonts w:hint="eastAsia" w:ascii="仿宋_GB2312" w:hAnsi="仿宋" w:eastAsia="仿宋_GB2312" w:cs="Times New Roman"/>
          <w:sz w:val="32"/>
          <w:szCs w:val="32"/>
          <w:lang w:eastAsia="zh-CN"/>
        </w:rPr>
        <w:t>8348.95</w:t>
      </w:r>
      <w:r>
        <w:rPr>
          <w:rFonts w:hint="eastAsia" w:ascii="仿宋_GB2312" w:hAnsi="仿宋" w:eastAsia="仿宋_GB2312" w:cs="Times New Roman"/>
          <w:sz w:val="32"/>
          <w:szCs w:val="32"/>
        </w:rPr>
        <w:t>万元，本项目实际支付资金</w:t>
      </w:r>
      <w:r>
        <w:rPr>
          <w:rFonts w:hint="eastAsia" w:ascii="仿宋_GB2312" w:hAnsi="仿宋" w:eastAsia="仿宋_GB2312" w:cs="Times New Roman"/>
          <w:sz w:val="32"/>
          <w:szCs w:val="32"/>
          <w:lang w:eastAsia="zh-CN"/>
        </w:rPr>
        <w:t>8348.95</w:t>
      </w:r>
      <w:r>
        <w:rPr>
          <w:rFonts w:hint="eastAsia" w:ascii="仿宋_GB2312" w:hAnsi="仿宋" w:eastAsia="仿宋_GB2312" w:cs="Times New Roman"/>
          <w:sz w:val="32"/>
          <w:szCs w:val="32"/>
        </w:rPr>
        <w:t>万元，预算执行率100%。根据中央和自治区项目资金管理办法的要求，叶城县交通运输局严格按照项目资金规定的专项资金支持的项目条件和范围要求，严格按照有关规定使用管理项目资金。</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项目的主要内容为：本项目的主管部门为叶城县扶贫办,实施单位为叶城县交通运输局，主要职责制定公路交通运输战略规划以及科技、战备中长期规划和年度计划并组织实施。负责县、乡公路（农村公路）以及专用公路的建设、管理和养护；负责农村公路路政综合管理，依法保护公路路产、路权；负责农村公路安保工作和车辆超限超载治理工作；指导、检查、考核管辖范围内县道、乡道的建设、管理和养护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项目的实施情况：本项目自2019年3月1日根据喀地财扶【2018】58号、喀地财农【2018】84号、喀地财建【2019】100号，确定了项目领导小组，明确了责任分工：由叶城县交通运输局完成项目初步设计，编制了实施方案，项目采用公开招标的方式确定施工单位，并签订了项目合同、签订了监理合同。项目已进行了验收并合格，项目已竣工决算并移交使用。项目实施过程中制定了项目管理制度。</w:t>
      </w:r>
    </w:p>
    <w:p>
      <w:pPr>
        <w:pStyle w:val="25"/>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bookmarkStart w:id="1" w:name="_Toc26401550"/>
      <w:r>
        <w:rPr>
          <w:rFonts w:hint="eastAsia"/>
          <w:lang w:bidi="ar"/>
        </w:rPr>
        <w:t>资金</w:t>
      </w:r>
      <w:bookmarkEnd w:id="1"/>
      <w:r>
        <w:rPr>
          <w:rFonts w:hint="eastAsia"/>
          <w:lang w:bidi="ar"/>
        </w:rPr>
        <w:t>投入和使用情况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根据喀地财扶【2018】58号、喀地财农【2018】84号、喀地财建【2019】100号下达</w:t>
      </w:r>
      <w:r>
        <w:rPr>
          <w:rFonts w:hint="eastAsia" w:ascii="仿宋_GB2312" w:hAnsi="仿宋" w:eastAsia="仿宋_GB2312" w:cs="Times New Roman"/>
          <w:sz w:val="32"/>
          <w:szCs w:val="32"/>
          <w:lang w:eastAsia="zh-CN"/>
        </w:rPr>
        <w:t>8348.95</w:t>
      </w:r>
      <w:r>
        <w:rPr>
          <w:rFonts w:hint="eastAsia" w:ascii="仿宋_GB2312" w:hAnsi="仿宋" w:eastAsia="仿宋_GB2312" w:cs="Times New Roman"/>
          <w:sz w:val="32"/>
          <w:szCs w:val="32"/>
        </w:rPr>
        <w:t>资金的文件，到位资金</w:t>
      </w:r>
      <w:r>
        <w:rPr>
          <w:rFonts w:hint="eastAsia" w:ascii="仿宋_GB2312" w:hAnsi="仿宋" w:eastAsia="仿宋_GB2312" w:cs="Times New Roman"/>
          <w:sz w:val="32"/>
          <w:szCs w:val="32"/>
          <w:lang w:eastAsia="zh-CN"/>
        </w:rPr>
        <w:t>8348.95</w:t>
      </w:r>
      <w:r>
        <w:rPr>
          <w:rFonts w:hint="eastAsia" w:ascii="仿宋_GB2312" w:hAnsi="仿宋" w:eastAsia="仿宋_GB2312" w:cs="Times New Roman"/>
          <w:sz w:val="32"/>
          <w:szCs w:val="32"/>
        </w:rPr>
        <w:t>万元，本项目实际支付资金</w:t>
      </w:r>
      <w:r>
        <w:rPr>
          <w:rFonts w:hint="eastAsia" w:ascii="仿宋_GB2312" w:hAnsi="仿宋" w:eastAsia="仿宋_GB2312" w:cs="Times New Roman"/>
          <w:sz w:val="32"/>
          <w:szCs w:val="32"/>
          <w:lang w:eastAsia="zh-CN"/>
        </w:rPr>
        <w:t>8348.95</w:t>
      </w:r>
      <w:r>
        <w:rPr>
          <w:rFonts w:hint="eastAsia" w:ascii="仿宋_GB2312" w:hAnsi="仿宋" w:eastAsia="仿宋_GB2312" w:cs="Times New Roman"/>
          <w:sz w:val="32"/>
          <w:szCs w:val="32"/>
        </w:rPr>
        <w:t>万元，预算执行率100%。</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村组或巷道建设项目资金的使用范围：根据中央和自治区项目资金管理办法的要求，叶城县交通运输局严格按照项目资金规定的专项资金支持的项目条件和范围要求，严格按照有关规定使用管理项目资金。</w:t>
      </w:r>
    </w:p>
    <w:p>
      <w:pPr>
        <w:pStyle w:val="25"/>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bookmarkStart w:id="2" w:name="_Toc26401551"/>
      <w:r>
        <w:rPr>
          <w:rFonts w:hint="eastAsia"/>
          <w:lang w:bidi="ar"/>
        </w:rPr>
        <w:t>绩效目标</w:t>
      </w:r>
      <w:bookmarkEnd w:id="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ascii="仿宋_GB2312" w:hAnsi="仿宋" w:eastAsia="仿宋_GB2312" w:cs="宋体"/>
          <w:b/>
          <w:bCs/>
          <w:color w:val="FF0000"/>
          <w:sz w:val="32"/>
          <w:szCs w:val="32"/>
          <w:highlight w:val="yellow"/>
          <w:lang w:bidi="ar"/>
        </w:rPr>
      </w:pPr>
      <w:r>
        <w:rPr>
          <w:rFonts w:hint="eastAsia" w:ascii="仿宋_GB2312" w:hAnsi="仿宋" w:eastAsia="仿宋_GB2312" w:cs="Times New Roman"/>
          <w:sz w:val="32"/>
          <w:szCs w:val="32"/>
        </w:rPr>
        <w:t xml:space="preserve">总体目标为：乡镇美丽乡村村组道路提升改造146.67公里，公路等级为四级，建档立卡贫困户20735户，建档立卡贫困人口91342人，农村公路小修养护，45.2公里，村组或巷道道路建设45公里，道路建设102公里，村组或巷道道路建设9.9公里，进一步逐步缩小城乡差距，减少出行费用，促进社会经济和谐，2020年叶城县脱贫攻坚打下了良好的基础。     </w:t>
      </w:r>
      <w:r>
        <w:rPr>
          <w:rFonts w:hint="eastAsia" w:ascii="仿宋_GB2312" w:hAnsi="仿宋" w:eastAsia="仿宋_GB2312" w:cs="宋体"/>
          <w:sz w:val="32"/>
          <w:szCs w:val="32"/>
          <w:lang w:bidi="ar"/>
        </w:rPr>
        <w:t xml:space="preserve">                                              </w:t>
      </w:r>
    </w:p>
    <w:p>
      <w:pPr>
        <w:pStyle w:val="23"/>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bookmarkStart w:id="3" w:name="_Toc26401552"/>
      <w:r>
        <w:rPr>
          <w:rFonts w:hint="eastAsia"/>
          <w:lang w:bidi="ar"/>
        </w:rPr>
        <w:t>评价工作简述</w:t>
      </w:r>
      <w:bookmarkEnd w:id="3"/>
    </w:p>
    <w:p>
      <w:pPr>
        <w:pStyle w:val="25"/>
        <w:keepNext w:val="0"/>
        <w:keepLines w:val="0"/>
        <w:pageBreakBefore w:val="0"/>
        <w:widowControl w:val="0"/>
        <w:numPr>
          <w:ilvl w:val="0"/>
          <w:numId w:val="3"/>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bookmarkStart w:id="4" w:name="_Toc26401553"/>
      <w:r>
        <w:rPr>
          <w:rFonts w:hint="eastAsia"/>
          <w:lang w:bidi="ar"/>
        </w:rPr>
        <w:t>评价目的</w:t>
      </w:r>
      <w:bookmarkEnd w:id="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本次绩效评价遵循财政部《项目支出绩效评价管理办法》（财预〔2020〕10号）和自治区财政厅《自治区财政支出绩效评价管理暂行办法》（新财预〔2018〕189号）等相关政策文件与规定，旨在评价村组或巷道建设项目实施前期、过程及效果，评价财政预算资金使用的效率及效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通过部门项目支出绩效自评,进一步严格落实《预算法》以及党中央、国务院关于加强预算绩效管理的指示精神,建立健全“花钱问效”的绩效预算管理机制、提升政府效能。通过部门项目支出绩效评价,进一步做实绩效目标,根据项目绩效目标,细化形成多维度绩效指标,将绩效指标细化为数量、质量、时效、成本、经济效益、社会效益、可持续影响、服务对象满意度等内容,保证项目绩效指标设置规范、合理、可衡量。通过项目绩效自评,进一步纠正对绩效管理理解上的偏差,建立更加全面科学的绩效指标体系。督促在预算编制中,将资金申请、绩效目标和具体指标统筹考虑,形成“花钱必问效、无效必问责”的责任契约机制,进一步强化预算绩效管理的严肃性和约束力,推动绩效管理向全方位的绩效预算转变,逐步建立“以绩效目标为导向,以绩效评价为手段,以评价结果应用为保障,全覆盖、全过程”的绩效预算管理新体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本项目为财政支出绩效评价,是通过对该项目决策、项目管理和项目绩效作出评定,全面了解财政预算资金支出安排情况、资金实际使用状况和项目的绩效,帮助健全和完善科学的、符合实际情况的项目绩效目标,肯定取得的成绩,提出存在的问题,给出相应的建议,以而保证项目的持续开展,推进财政绩效预算工作的顺利实施。</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本次评价从村组或巷道建设项目产生的效果角度出发,力求从绩效的角度发现2019年度村组或巷道建设项目中取得的成绩和产生的问题,优化财政支出管理改革,为下一步实施绩效预算奠定基础。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宋体"/>
          <w:sz w:val="32"/>
          <w:szCs w:val="32"/>
          <w:lang w:bidi="ar"/>
        </w:rPr>
        <w:t>1.通过评价</w:t>
      </w:r>
      <w:r>
        <w:rPr>
          <w:rFonts w:hint="eastAsia" w:ascii="仿宋_GB2312" w:hAnsi="仿宋" w:eastAsia="仿宋_GB2312" w:cs="Times New Roman"/>
          <w:sz w:val="32"/>
          <w:szCs w:val="32"/>
        </w:rPr>
        <w:t>,了解2019年度村组或巷道建设项目的基本情况对项目背景和目的、项目内容和现状、项目预算做深入调研和分析;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宋体"/>
          <w:sz w:val="32"/>
          <w:szCs w:val="32"/>
          <w:lang w:bidi="ar"/>
        </w:rPr>
        <w:t>2.通过评价</w:t>
      </w:r>
      <w:r>
        <w:rPr>
          <w:rFonts w:hint="eastAsia" w:ascii="仿宋_GB2312" w:hAnsi="仿宋" w:eastAsia="仿宋_GB2312" w:cs="Times New Roman"/>
          <w:sz w:val="32"/>
          <w:szCs w:val="32"/>
        </w:rPr>
        <w:t>,了解2019年度村组或巷道建设项目的产出和效果情况,及整体绩效状况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宋体"/>
          <w:sz w:val="32"/>
          <w:szCs w:val="32"/>
          <w:lang w:bidi="ar"/>
        </w:rPr>
        <w:t>3.通过评价,发</w:t>
      </w:r>
      <w:r>
        <w:rPr>
          <w:rFonts w:hint="eastAsia" w:ascii="仿宋_GB2312" w:hAnsi="仿宋" w:eastAsia="仿宋_GB2312" w:cs="Times New Roman"/>
          <w:sz w:val="32"/>
          <w:szCs w:val="32"/>
        </w:rPr>
        <w:t>掘2019年度村组或巷道建设项目所产生的现实意义和实际价值:</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宋体"/>
          <w:sz w:val="32"/>
          <w:szCs w:val="32"/>
          <w:lang w:bidi="ar"/>
        </w:rPr>
        <w:t>4.通过评价,</w:t>
      </w:r>
      <w:r>
        <w:rPr>
          <w:rFonts w:hint="eastAsia" w:ascii="仿宋_GB2312" w:hAnsi="仿宋" w:eastAsia="仿宋_GB2312" w:cs="Times New Roman"/>
          <w:sz w:val="32"/>
          <w:szCs w:val="32"/>
        </w:rPr>
        <w:t>从绩效的角度发现该项目在决策、实施和管理过程中存在的问题,寻求解决方案,为进一步深化项目管理工作提供依据,以促进和缩小城乡差距，减少出行费用，促进社会经济和谐，</w:t>
      </w:r>
    </w:p>
    <w:p>
      <w:pPr>
        <w:pStyle w:val="25"/>
        <w:keepNext w:val="0"/>
        <w:keepLines w:val="0"/>
        <w:pageBreakBefore w:val="0"/>
        <w:widowControl w:val="0"/>
        <w:numPr>
          <w:ilvl w:val="0"/>
          <w:numId w:val="3"/>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bidi="ar"/>
        </w:rPr>
        <w:t>本次绩效评价的对象及范围</w:t>
      </w:r>
      <w:bookmarkStart w:id="5" w:name="_Toc2640155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本次评价对象为村组或巷道建设项目资金，评价范围包括专项资金的安排、组织及使用效益。</w:t>
      </w:r>
    </w:p>
    <w:p>
      <w:pPr>
        <w:pStyle w:val="25"/>
        <w:keepNext w:val="0"/>
        <w:keepLines w:val="0"/>
        <w:pageBreakBefore w:val="0"/>
        <w:widowControl w:val="0"/>
        <w:numPr>
          <w:ilvl w:val="0"/>
          <w:numId w:val="3"/>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bidi="ar"/>
        </w:rPr>
        <w:t>绩效评价原则</w:t>
      </w:r>
      <w:bookmarkEnd w:id="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本次绩效评价遵循的原则包括：</w:t>
      </w:r>
    </w:p>
    <w:p>
      <w:pPr>
        <w:pStyle w:val="25"/>
        <w:keepNext w:val="0"/>
        <w:keepLines w:val="0"/>
        <w:pageBreakBefore w:val="0"/>
        <w:widowControl w:val="0"/>
        <w:numPr>
          <w:ilvl w:val="1"/>
          <w:numId w:val="4"/>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hAnsi="仿宋" w:cs="宋体"/>
          <w:b w:val="0"/>
          <w:lang w:bidi="ar"/>
        </w:rPr>
        <w:t>科学公正。</w:t>
      </w:r>
      <w:r>
        <w:rPr>
          <w:rFonts w:hint="eastAsia" w:ascii="仿宋_GB2312" w:hAnsi="仿宋" w:eastAsia="仿宋_GB2312" w:cs="Times New Roman"/>
          <w:b w:val="0"/>
          <w:bCs w:val="0"/>
          <w:kern w:val="2"/>
          <w:sz w:val="32"/>
          <w:szCs w:val="32"/>
          <w:lang w:val="en-US" w:eastAsia="zh-CN" w:bidi="ar-SA"/>
        </w:rPr>
        <w:t>绩效评价应当运用科学合理的方法，按照规范的程序，对项目绩效进行客观、公正的反映。</w:t>
      </w:r>
    </w:p>
    <w:p>
      <w:pPr>
        <w:pStyle w:val="25"/>
        <w:keepNext w:val="0"/>
        <w:keepLines w:val="0"/>
        <w:pageBreakBefore w:val="0"/>
        <w:widowControl w:val="0"/>
        <w:numPr>
          <w:ilvl w:val="1"/>
          <w:numId w:val="4"/>
        </w:numPr>
        <w:kinsoku/>
        <w:wordWrap/>
        <w:overflowPunct/>
        <w:topLinePunct w:val="0"/>
        <w:autoSpaceDE/>
        <w:autoSpaceDN/>
        <w:bidi w:val="0"/>
        <w:adjustRightInd/>
        <w:snapToGrid/>
        <w:spacing w:before="0" w:after="0" w:line="560" w:lineRule="exact"/>
        <w:ind w:left="0" w:leftChars="0" w:firstLine="640" w:firstLineChars="200"/>
        <w:textAlignment w:val="auto"/>
        <w:rPr>
          <w:rFonts w:hAnsi="仿宋" w:cs="宋体"/>
          <w:b w:val="0"/>
          <w:lang w:bidi="ar"/>
        </w:rPr>
      </w:pPr>
      <w:r>
        <w:rPr>
          <w:rFonts w:hint="eastAsia" w:hAnsi="仿宋" w:cs="宋体"/>
          <w:b w:val="0"/>
          <w:lang w:bidi="ar"/>
        </w:rPr>
        <w:t>统筹兼顾。</w:t>
      </w:r>
      <w:r>
        <w:rPr>
          <w:rFonts w:hint="eastAsia" w:ascii="仿宋_GB2312" w:hAnsi="仿宋" w:eastAsia="仿宋_GB2312" w:cs="Times New Roman"/>
          <w:b w:val="0"/>
          <w:bCs w:val="0"/>
          <w:kern w:val="2"/>
          <w:sz w:val="32"/>
          <w:szCs w:val="32"/>
          <w:lang w:val="en-US" w:eastAsia="zh-CN" w:bidi="ar-SA"/>
        </w:rPr>
        <w:t>单位自评、部门评价和财政评价应职责明确，各有侧重，相互衔接。单位自评应由项目单位自主实施，即“谁支出、谁自评”。</w:t>
      </w:r>
    </w:p>
    <w:p>
      <w:pPr>
        <w:pStyle w:val="25"/>
        <w:keepNext w:val="0"/>
        <w:keepLines w:val="0"/>
        <w:pageBreakBefore w:val="0"/>
        <w:widowControl w:val="0"/>
        <w:numPr>
          <w:ilvl w:val="1"/>
          <w:numId w:val="4"/>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hAnsi="仿宋" w:cs="宋体"/>
          <w:b w:val="0"/>
          <w:lang w:bidi="ar"/>
        </w:rPr>
        <w:t>激励约束。</w:t>
      </w:r>
      <w:r>
        <w:rPr>
          <w:rFonts w:hint="eastAsia" w:ascii="仿宋_GB2312" w:hAnsi="仿宋" w:eastAsia="仿宋_GB2312" w:cs="Times New Roman"/>
          <w:b w:val="0"/>
          <w:bCs w:val="0"/>
          <w:kern w:val="2"/>
          <w:sz w:val="32"/>
          <w:szCs w:val="32"/>
          <w:lang w:val="en-US" w:eastAsia="zh-CN" w:bidi="ar-SA"/>
        </w:rPr>
        <w:t>绩效评价结果应与预算安排、政策调整、改进管理实质性挂钩，体现奖优罚劣和激励相容导向，有效要安排、低效要压减、无效要问责。</w:t>
      </w:r>
    </w:p>
    <w:p>
      <w:pPr>
        <w:pStyle w:val="25"/>
        <w:keepNext w:val="0"/>
        <w:keepLines w:val="0"/>
        <w:pageBreakBefore w:val="0"/>
        <w:widowControl w:val="0"/>
        <w:numPr>
          <w:ilvl w:val="1"/>
          <w:numId w:val="4"/>
        </w:numPr>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hAnsi="仿宋" w:cs="宋体"/>
          <w:b w:val="0"/>
          <w:lang w:bidi="ar"/>
        </w:rPr>
        <w:t>公开透明。</w:t>
      </w:r>
      <w:r>
        <w:rPr>
          <w:rFonts w:hint="eastAsia" w:ascii="仿宋_GB2312" w:hAnsi="仿宋" w:eastAsia="仿宋_GB2312" w:cs="Times New Roman"/>
          <w:b w:val="0"/>
          <w:bCs w:val="0"/>
          <w:kern w:val="2"/>
          <w:sz w:val="32"/>
          <w:szCs w:val="32"/>
          <w:lang w:val="en-US" w:eastAsia="zh-CN" w:bidi="ar-SA"/>
        </w:rPr>
        <w:t>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宋体"/>
          <w:sz w:val="32"/>
          <w:szCs w:val="32"/>
          <w:lang w:bidi="ar"/>
        </w:rPr>
        <w:t>（1）</w:t>
      </w:r>
      <w:r>
        <w:rPr>
          <w:rFonts w:hint="eastAsia" w:ascii="仿宋_GB2312" w:hAnsi="仿宋" w:eastAsia="仿宋_GB2312" w:cs="Times New Roman"/>
          <w:b w:val="0"/>
          <w:bCs w:val="0"/>
          <w:kern w:val="2"/>
          <w:sz w:val="32"/>
          <w:szCs w:val="32"/>
          <w:lang w:val="en-US" w:eastAsia="zh-CN" w:bidi="ar-SA"/>
        </w:rPr>
        <w:t>在数据采集时,采取客观数据,主管部门审查、社会中介组织复查,与问卷调查相结合的形式,以保证各项指标的真实性。</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宋体"/>
          <w:sz w:val="32"/>
          <w:szCs w:val="32"/>
          <w:lang w:bidi="ar"/>
        </w:rPr>
        <w:t>(2)</w:t>
      </w:r>
      <w:r>
        <w:rPr>
          <w:rFonts w:hint="eastAsia" w:ascii="仿宋_GB2312" w:hAnsi="仿宋" w:eastAsia="仿宋_GB2312" w:cs="Times New Roman"/>
          <w:b w:val="0"/>
          <w:bCs w:val="0"/>
          <w:kern w:val="2"/>
          <w:sz w:val="32"/>
          <w:szCs w:val="32"/>
          <w:lang w:val="en-US" w:eastAsia="zh-CN" w:bidi="ar-SA"/>
        </w:rPr>
        <w:t>保证评价结果的真实性、公正性,提高评价报告的公信力。</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宋体"/>
          <w:sz w:val="32"/>
          <w:szCs w:val="32"/>
          <w:lang w:bidi="ar"/>
        </w:rPr>
        <w:t>(3)</w:t>
      </w:r>
      <w:r>
        <w:rPr>
          <w:rFonts w:hint="eastAsia" w:ascii="仿宋_GB2312" w:hAnsi="仿宋" w:eastAsia="仿宋_GB2312" w:cs="Times New Roman"/>
          <w:b w:val="0"/>
          <w:bCs w:val="0"/>
          <w:kern w:val="2"/>
          <w:sz w:val="32"/>
          <w:szCs w:val="32"/>
          <w:lang w:val="en-US" w:eastAsia="zh-CN" w:bidi="ar-SA"/>
        </w:rPr>
        <w:t>绩教评价报告应当简明扼要,除了对绩效评价的过程、结果描述外,还应总结经验,指出问题,并就共性问题提出可操作性改进建议。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（四）本项目绩效评价体系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遵循“科学性、规范性、客观性和公正性”的绩效评价原则,根据财政部制定的《项目支出绩效评价共性指标体系框架》,结合村组或巷道建设项目特性、叶城县交通运输局实际情况,本项目按照财预﹝2020﹞10号文件制定评价指标体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我单位选取共性指标：决策中一级指标1个，二级指标3个，（项目立项、绩效目标、资金投入），三级指标4个（立项依据充分性、绩效目标合理性、绩效指标明确性、预算编制科学性），分别是立项依据充分性（本项目依据叶发改投资【2019】97号叶城县2019年美丽乡村村组道路提升改造计划立项）、绩效目标合理性(绩效目标依据县扶贫办贫困村脱贫计划数据设立)、绩效指标明确性（本项目设立旨在改变贫困村村容村貌，改变群众出入难问题）、预算编制科学性（预算资金依据市场调查和相关行业部门研究得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过程中一级指标3个，二级指标2个（资金管理、组织实施、），三级指标5个（制度执行有效性  、管理制度健全性、资金使用合规性、资金到位率、预算执行率），项目(工程)完成及时率（本项目在规定时间内完工，并完成验收，项目的完成有效改善了群众出行环境）、资金到位率（项目预算资金8348.95万元，实际到位8348.95万元，资金的及时到位为项目的及时完成奠定了坚实基础。）</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bookmarkStart w:id="6" w:name="_Toc26401555"/>
      <w:r>
        <w:rPr>
          <w:rFonts w:hint="eastAsia"/>
          <w:lang w:eastAsia="zh-CN" w:bidi="ar"/>
        </w:rPr>
        <w:t>（</w:t>
      </w:r>
      <w:r>
        <w:rPr>
          <w:rFonts w:hint="eastAsia"/>
          <w:lang w:val="en-US" w:eastAsia="zh-CN" w:bidi="ar"/>
        </w:rPr>
        <w:t>五</w:t>
      </w:r>
      <w:r>
        <w:rPr>
          <w:rFonts w:hint="eastAsia"/>
          <w:lang w:eastAsia="zh-CN" w:bidi="ar"/>
        </w:rPr>
        <w:t>）</w:t>
      </w:r>
      <w:r>
        <w:rPr>
          <w:rFonts w:hint="eastAsia"/>
          <w:lang w:bidi="ar"/>
        </w:rPr>
        <w:t>绩效评价方法</w:t>
      </w:r>
      <w:bookmarkEnd w:id="6"/>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本次绩效评价方法的选用坚持简便有效的原则采用问卷调查法和综合分析法。通过不同形式的调查问卷,在一定范围内发放,收集、分析调查问卷,进行评价和判断的方法</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eastAsia="zh-CN" w:bidi="ar"/>
        </w:rPr>
        <w:t>（</w:t>
      </w:r>
      <w:r>
        <w:rPr>
          <w:rFonts w:hint="eastAsia"/>
          <w:lang w:val="en-US" w:eastAsia="zh-CN" w:bidi="ar"/>
        </w:rPr>
        <w:t>六</w:t>
      </w:r>
      <w:r>
        <w:rPr>
          <w:rFonts w:hint="eastAsia"/>
          <w:lang w:eastAsia="zh-CN" w:bidi="ar"/>
        </w:rPr>
        <w:t>）</w:t>
      </w:r>
      <w:r>
        <w:rPr>
          <w:rFonts w:hint="eastAsia"/>
          <w:lang w:bidi="ar"/>
        </w:rPr>
        <w:t>评价标准</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项目评价标准采用行业标准、历史标准</w:t>
      </w:r>
      <w:r>
        <w:rPr>
          <w:rFonts w:hint="eastAsia" w:hAnsi="仿宋" w:cs="Times New Roman"/>
          <w:b w:val="0"/>
          <w:bCs w:val="0"/>
          <w:kern w:val="2"/>
          <w:sz w:val="32"/>
          <w:szCs w:val="32"/>
          <w:lang w:val="en-US" w:eastAsia="zh-CN" w:bidi="ar-SA"/>
        </w:rPr>
        <w:t>.</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eastAsia="zh-CN" w:bidi="ar"/>
        </w:rPr>
        <w:t>（</w:t>
      </w:r>
      <w:r>
        <w:rPr>
          <w:rFonts w:hint="eastAsia"/>
          <w:lang w:val="en-US" w:eastAsia="zh-CN" w:bidi="ar"/>
        </w:rPr>
        <w:t>七</w:t>
      </w:r>
      <w:r>
        <w:rPr>
          <w:rFonts w:hint="eastAsia"/>
          <w:lang w:eastAsia="zh-CN" w:bidi="ar"/>
        </w:rPr>
        <w:t>）</w:t>
      </w:r>
      <w:r>
        <w:rPr>
          <w:rFonts w:hint="eastAsia"/>
          <w:lang w:bidi="ar"/>
        </w:rPr>
        <w:t>绩效评价工作过程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b w:val="0"/>
          <w:bCs w:val="0"/>
          <w:lang w:bidi="ar"/>
        </w:rPr>
      </w:pPr>
      <w:r>
        <w:rPr>
          <w:rFonts w:hint="eastAsia"/>
          <w:b w:val="0"/>
          <w:bCs w:val="0"/>
          <w:lang w:val="en-US" w:eastAsia="zh-CN" w:bidi="ar"/>
        </w:rPr>
        <w:t>1.</w:t>
      </w:r>
      <w:r>
        <w:rPr>
          <w:rFonts w:hint="eastAsia"/>
          <w:b w:val="0"/>
          <w:bCs w:val="0"/>
          <w:lang w:bidi="ar"/>
        </w:rPr>
        <w:t>本次评价成立了评价工作组，成员如下：</w:t>
      </w:r>
    </w:p>
    <w:tbl>
      <w:tblPr>
        <w:tblStyle w:val="14"/>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before="0" w:after="0" w:line="560" w:lineRule="exact"/>
              <w:ind w:firstLine="640" w:firstLineChars="200"/>
              <w:jc w:val="both"/>
              <w:rPr>
                <w:b w:val="0"/>
                <w:bCs w:val="0"/>
                <w:lang w:bidi="ar"/>
              </w:rPr>
            </w:pPr>
            <w:r>
              <w:rPr>
                <w:rFonts w:hint="eastAsia"/>
                <w:b w:val="0"/>
                <w:bCs w:val="0"/>
                <w:lang w:bidi="ar"/>
              </w:rPr>
              <w:t>评价人</w:t>
            </w:r>
          </w:p>
        </w:tc>
        <w:tc>
          <w:tcPr>
            <w:tcW w:w="2765" w:type="dxa"/>
            <w:vAlign w:val="center"/>
          </w:tcPr>
          <w:p>
            <w:pPr>
              <w:pStyle w:val="25"/>
              <w:keepNext w:val="0"/>
              <w:keepLines w:val="0"/>
              <w:numPr>
                <w:ilvl w:val="0"/>
                <w:numId w:val="0"/>
              </w:numPr>
              <w:spacing w:before="0" w:after="0" w:line="560" w:lineRule="exact"/>
              <w:ind w:firstLine="960" w:firstLineChars="300"/>
              <w:jc w:val="both"/>
              <w:rPr>
                <w:b w:val="0"/>
                <w:bCs w:val="0"/>
                <w:lang w:bidi="ar"/>
              </w:rPr>
            </w:pPr>
            <w:r>
              <w:rPr>
                <w:rFonts w:hint="eastAsia"/>
                <w:b w:val="0"/>
                <w:bCs w:val="0"/>
                <w:lang w:bidi="ar"/>
              </w:rPr>
              <w:t>职责</w:t>
            </w:r>
          </w:p>
        </w:tc>
        <w:tc>
          <w:tcPr>
            <w:tcW w:w="2766" w:type="dxa"/>
            <w:vAlign w:val="center"/>
          </w:tcPr>
          <w:p>
            <w:pPr>
              <w:pStyle w:val="25"/>
              <w:keepNext w:val="0"/>
              <w:keepLines w:val="0"/>
              <w:numPr>
                <w:ilvl w:val="0"/>
                <w:numId w:val="0"/>
              </w:numPr>
              <w:spacing w:before="0" w:after="0" w:line="560" w:lineRule="exact"/>
              <w:ind w:firstLine="640" w:firstLineChars="200"/>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before="0" w:after="0" w:line="560" w:lineRule="exact"/>
              <w:ind w:firstLine="640" w:firstLineChars="200"/>
              <w:jc w:val="both"/>
              <w:rPr>
                <w:b w:val="0"/>
                <w:bCs w:val="0"/>
                <w:lang w:bidi="ar"/>
              </w:rPr>
            </w:pPr>
            <w:r>
              <w:rPr>
                <w:rFonts w:hint="eastAsia"/>
                <w:b w:val="0"/>
                <w:bCs w:val="0"/>
                <w:lang w:bidi="ar"/>
              </w:rPr>
              <w:t>郎丰军</w:t>
            </w:r>
          </w:p>
        </w:tc>
        <w:tc>
          <w:tcPr>
            <w:tcW w:w="2765" w:type="dxa"/>
            <w:vAlign w:val="center"/>
          </w:tcPr>
          <w:p>
            <w:pPr>
              <w:pStyle w:val="25"/>
              <w:keepNext w:val="0"/>
              <w:keepLines w:val="0"/>
              <w:numPr>
                <w:ilvl w:val="0"/>
                <w:numId w:val="0"/>
              </w:numPr>
              <w:spacing w:before="0" w:after="0" w:line="560" w:lineRule="exact"/>
              <w:ind w:firstLine="320" w:firstLineChars="100"/>
              <w:jc w:val="both"/>
              <w:rPr>
                <w:b w:val="0"/>
                <w:bCs w:val="0"/>
                <w:lang w:bidi="ar"/>
              </w:rPr>
            </w:pPr>
            <w:r>
              <w:rPr>
                <w:rFonts w:hint="eastAsia"/>
                <w:b w:val="0"/>
                <w:bCs w:val="0"/>
                <w:lang w:bidi="ar"/>
              </w:rPr>
              <w:t>评价组组长</w:t>
            </w:r>
          </w:p>
        </w:tc>
        <w:tc>
          <w:tcPr>
            <w:tcW w:w="2766" w:type="dxa"/>
            <w:vAlign w:val="center"/>
          </w:tcPr>
          <w:p>
            <w:pPr>
              <w:pStyle w:val="25"/>
              <w:keepNext w:val="0"/>
              <w:keepLines w:val="0"/>
              <w:numPr>
                <w:ilvl w:val="0"/>
                <w:numId w:val="0"/>
              </w:numPr>
              <w:spacing w:before="0" w:after="0" w:line="560" w:lineRule="exact"/>
              <w:jc w:val="both"/>
              <w:rPr>
                <w:b w:val="0"/>
                <w:bCs w:val="0"/>
                <w:lang w:bidi="ar"/>
              </w:rPr>
            </w:pPr>
            <w:r>
              <w:rPr>
                <w:rFonts w:hint="eastAsia"/>
                <w:b w:val="0"/>
                <w:bCs w:val="0"/>
                <w:lang w:bidi="ar"/>
              </w:rPr>
              <w:t>交通运输局局长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before="0" w:after="0" w:line="560" w:lineRule="exact"/>
              <w:ind w:firstLine="640" w:firstLineChars="200"/>
              <w:jc w:val="both"/>
              <w:rPr>
                <w:b w:val="0"/>
                <w:bCs w:val="0"/>
                <w:lang w:bidi="ar"/>
              </w:rPr>
            </w:pPr>
            <w:r>
              <w:rPr>
                <w:rFonts w:hint="eastAsia"/>
                <w:b w:val="0"/>
                <w:bCs w:val="0"/>
                <w:lang w:bidi="ar"/>
              </w:rPr>
              <w:t>王平</w:t>
            </w:r>
          </w:p>
        </w:tc>
        <w:tc>
          <w:tcPr>
            <w:tcW w:w="2765" w:type="dxa"/>
            <w:vAlign w:val="center"/>
          </w:tcPr>
          <w:p>
            <w:pPr>
              <w:pStyle w:val="25"/>
              <w:keepNext w:val="0"/>
              <w:keepLines w:val="0"/>
              <w:numPr>
                <w:ilvl w:val="0"/>
                <w:numId w:val="0"/>
              </w:numPr>
              <w:spacing w:before="0" w:after="0" w:line="560" w:lineRule="exact"/>
              <w:ind w:firstLine="320" w:firstLineChars="100"/>
              <w:jc w:val="both"/>
              <w:rPr>
                <w:b w:val="0"/>
                <w:bCs w:val="0"/>
                <w:lang w:bidi="ar"/>
              </w:rPr>
            </w:pPr>
            <w:r>
              <w:rPr>
                <w:rFonts w:hint="eastAsia"/>
                <w:b w:val="0"/>
                <w:bCs w:val="0"/>
                <w:lang w:bidi="ar"/>
              </w:rPr>
              <w:t>评价组成员</w:t>
            </w:r>
          </w:p>
        </w:tc>
        <w:tc>
          <w:tcPr>
            <w:tcW w:w="2766" w:type="dxa"/>
            <w:vAlign w:val="center"/>
          </w:tcPr>
          <w:p>
            <w:pPr>
              <w:pStyle w:val="25"/>
              <w:keepNext w:val="0"/>
              <w:keepLines w:val="0"/>
              <w:numPr>
                <w:ilvl w:val="0"/>
                <w:numId w:val="0"/>
              </w:numPr>
              <w:spacing w:before="0" w:after="0" w:line="560" w:lineRule="exact"/>
              <w:jc w:val="both"/>
              <w:rPr>
                <w:b w:val="0"/>
                <w:bCs w:val="0"/>
                <w:lang w:bidi="ar"/>
              </w:rPr>
            </w:pPr>
            <w:r>
              <w:rPr>
                <w:rFonts w:hint="eastAsia"/>
                <w:b w:val="0"/>
                <w:bCs w:val="0"/>
                <w:lang w:bidi="ar"/>
              </w:rPr>
              <w:t>交通运输局副局长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before="0" w:after="0" w:line="560" w:lineRule="exact"/>
              <w:ind w:firstLine="640" w:firstLineChars="200"/>
              <w:jc w:val="both"/>
              <w:rPr>
                <w:b w:val="0"/>
                <w:bCs w:val="0"/>
                <w:lang w:bidi="ar"/>
              </w:rPr>
            </w:pPr>
            <w:r>
              <w:rPr>
                <w:rFonts w:hint="eastAsia"/>
                <w:b w:val="0"/>
                <w:bCs w:val="0"/>
                <w:lang w:bidi="ar"/>
              </w:rPr>
              <w:t>张前红</w:t>
            </w:r>
          </w:p>
        </w:tc>
        <w:tc>
          <w:tcPr>
            <w:tcW w:w="2765" w:type="dxa"/>
            <w:vAlign w:val="center"/>
          </w:tcPr>
          <w:p>
            <w:pPr>
              <w:pStyle w:val="25"/>
              <w:keepNext w:val="0"/>
              <w:keepLines w:val="0"/>
              <w:numPr>
                <w:ilvl w:val="0"/>
                <w:numId w:val="0"/>
              </w:numPr>
              <w:spacing w:before="0" w:after="0" w:line="560" w:lineRule="exact"/>
              <w:ind w:firstLine="320" w:firstLineChars="100"/>
              <w:jc w:val="both"/>
              <w:rPr>
                <w:b w:val="0"/>
                <w:bCs w:val="0"/>
                <w:lang w:bidi="ar"/>
              </w:rPr>
            </w:pPr>
            <w:r>
              <w:rPr>
                <w:rFonts w:hint="eastAsia"/>
                <w:b w:val="0"/>
                <w:bCs w:val="0"/>
                <w:lang w:bidi="ar"/>
              </w:rPr>
              <w:t>评价组成员</w:t>
            </w:r>
          </w:p>
        </w:tc>
        <w:tc>
          <w:tcPr>
            <w:tcW w:w="2766" w:type="dxa"/>
            <w:vAlign w:val="center"/>
          </w:tcPr>
          <w:p>
            <w:pPr>
              <w:pStyle w:val="25"/>
              <w:keepNext w:val="0"/>
              <w:keepLines w:val="0"/>
              <w:numPr>
                <w:ilvl w:val="0"/>
                <w:numId w:val="0"/>
              </w:numPr>
              <w:spacing w:before="0" w:after="0" w:line="560" w:lineRule="exact"/>
              <w:jc w:val="both"/>
              <w:rPr>
                <w:b w:val="0"/>
                <w:bCs w:val="0"/>
                <w:lang w:bidi="ar"/>
              </w:rPr>
            </w:pPr>
            <w:r>
              <w:rPr>
                <w:rFonts w:hint="eastAsia"/>
                <w:b w:val="0"/>
                <w:bCs w:val="0"/>
                <w:lang w:bidi="ar"/>
              </w:rPr>
              <w:t>交通运输局干部</w:t>
            </w:r>
          </w:p>
        </w:tc>
      </w:tr>
    </w:tbl>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outlineLvl w:val="9"/>
        <w:rPr>
          <w:b/>
          <w:bCs/>
        </w:rPr>
      </w:pPr>
      <w:r>
        <w:rPr>
          <w:rFonts w:hint="eastAsia"/>
          <w:b/>
          <w:bCs/>
          <w:lang w:val="en-US" w:eastAsia="zh-CN"/>
        </w:rPr>
        <w:t>2.</w:t>
      </w:r>
      <w:r>
        <w:rPr>
          <w:rFonts w:hint="eastAsia"/>
          <w:b/>
          <w:bCs/>
        </w:rPr>
        <w:t>数据采集方法及过程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lang w:bidi="ar"/>
        </w:rPr>
      </w:pPr>
      <w:r>
        <w:rPr>
          <w:rFonts w:hint="eastAsia"/>
          <w:b w:val="0"/>
          <w:bCs w:val="0"/>
          <w:lang w:bidi="ar"/>
        </w:rPr>
        <w:t>本次绩效评价数据以定性和定量两种数据为主,通过实地考察、面对面访谈,问卷调查、填报数据和实地采集数据相结合的方式,形成有效数据。</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outlineLvl w:val="9"/>
        <w:rPr>
          <w:b/>
          <w:bCs/>
        </w:rPr>
      </w:pPr>
      <w:r>
        <w:rPr>
          <w:rFonts w:hint="eastAsia"/>
          <w:b/>
          <w:bCs/>
          <w:lang w:val="en-US" w:eastAsia="zh-CN"/>
        </w:rPr>
        <w:t>3.</w:t>
      </w:r>
      <w:r>
        <w:rPr>
          <w:rFonts w:hint="eastAsia"/>
          <w:b/>
          <w:bCs/>
        </w:rPr>
        <w:t>绩效评价实施过程</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lang w:bidi="ar"/>
        </w:rPr>
      </w:pPr>
      <w:r>
        <w:rPr>
          <w:rFonts w:hint="eastAsia"/>
          <w:b w:val="0"/>
          <w:bCs w:val="0"/>
          <w:lang w:bidi="ar"/>
        </w:rPr>
        <w:t>项目组在前期调研的基础上,完成了项目绩效评价工作方案,明确了评价的目的、方法、指标体系、评价标准、合规性检查方案、访谈方案等。在此之后,项目组严格按照工作方案,经过了数据采集、问卷调查、数据分析和报告撰写等环节,顺利完成了绩效评价工作。　</w:t>
      </w:r>
    </w:p>
    <w:p>
      <w:pPr>
        <w:pStyle w:val="23"/>
        <w:keepNext w:val="0"/>
        <w:keepLines w:val="0"/>
        <w:pageBreakBefore w:val="0"/>
        <w:widowControl w:val="0"/>
        <w:numPr>
          <w:ilvl w:val="0"/>
          <w:numId w:val="2"/>
        </w:numPr>
        <w:kinsoku/>
        <w:wordWrap/>
        <w:overflowPunct/>
        <w:topLinePunct w:val="0"/>
        <w:autoSpaceDE/>
        <w:autoSpaceDN/>
        <w:bidi w:val="0"/>
        <w:adjustRightInd/>
        <w:snapToGrid/>
        <w:spacing w:before="0" w:after="0" w:line="560" w:lineRule="exact"/>
        <w:ind w:left="0" w:leftChars="0" w:firstLine="643" w:firstLineChars="200"/>
        <w:textAlignment w:val="auto"/>
      </w:pPr>
      <w:bookmarkStart w:id="7" w:name="_Toc26401558"/>
      <w:r>
        <w:rPr>
          <w:rFonts w:hint="eastAsia"/>
        </w:rPr>
        <w:t>综合评价情况及评价结论</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lang w:bidi="ar"/>
        </w:rPr>
      </w:pPr>
      <w:r>
        <w:rPr>
          <w:rFonts w:hint="eastAsia"/>
          <w:b w:val="0"/>
          <w:bCs w:val="0"/>
          <w:lang w:bidi="ar"/>
        </w:rPr>
        <w:t>经评价组通过实地调研、资料分析等方式，采用综合分析法、成本效益分析法等对项目的决策、管理、绩效进行的综合评价分析，项目得分为</w:t>
      </w:r>
      <w:r>
        <w:rPr>
          <w:rFonts w:hint="eastAsia"/>
          <w:b w:val="0"/>
          <w:bCs w:val="0"/>
          <w:lang w:val="en-US" w:eastAsia="zh-CN" w:bidi="ar"/>
        </w:rPr>
        <w:t>99</w:t>
      </w:r>
      <w:r>
        <w:rPr>
          <w:rFonts w:hint="eastAsia"/>
          <w:b w:val="0"/>
          <w:bCs w:val="0"/>
          <w:lang w:bidi="ar"/>
        </w:rPr>
        <w:t>分，评价结果为优。</w:t>
      </w:r>
      <w:bookmarkEnd w:id="7"/>
    </w:p>
    <w:p>
      <w:pPr>
        <w:pStyle w:val="23"/>
        <w:keepNext w:val="0"/>
        <w:keepLines w:val="0"/>
        <w:pageBreakBefore w:val="0"/>
        <w:widowControl w:val="0"/>
        <w:numPr>
          <w:ilvl w:val="0"/>
          <w:numId w:val="2"/>
        </w:numPr>
        <w:kinsoku/>
        <w:wordWrap/>
        <w:overflowPunct/>
        <w:topLinePunct w:val="0"/>
        <w:autoSpaceDE/>
        <w:autoSpaceDN/>
        <w:bidi w:val="0"/>
        <w:adjustRightInd/>
        <w:snapToGrid/>
        <w:spacing w:before="0" w:line="560" w:lineRule="exact"/>
        <w:ind w:left="0" w:leftChars="0" w:firstLine="643" w:firstLineChars="200"/>
        <w:textAlignment w:val="auto"/>
        <w:rPr>
          <w:rFonts w:hint="eastAsia"/>
          <w:b w:val="0"/>
          <w:bCs w:val="0"/>
          <w:lang w:bidi="ar"/>
        </w:rPr>
      </w:pPr>
      <w:r>
        <w:rPr>
          <w:rFonts w:hint="eastAsia"/>
          <w:lang w:bidi="ar"/>
        </w:rPr>
        <w:t>绩效评价指标分析</w:t>
      </w:r>
    </w:p>
    <w:p>
      <w:pPr>
        <w:pStyle w:val="19"/>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lang w:bidi="ar"/>
        </w:rPr>
      </w:pPr>
      <w:r>
        <w:rPr>
          <w:rFonts w:hint="eastAsia"/>
          <w:b w:val="0"/>
          <w:bCs w:val="0"/>
          <w:lang w:bidi="ar"/>
        </w:rPr>
        <w:t>本项目的符合相关法规政策及单位职责，依据充分；项目按照规定的程序申请设立；审批文件、材料符合相关要求。项目根据相关文件要求设置了绩效目标，项目绩效目标基本合理，预算确定的项目投资额或资金量相匹配，项目目标任务数与计划数相对应。</w:t>
      </w:r>
    </w:p>
    <w:p>
      <w:pPr>
        <w:pStyle w:val="19"/>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lang w:bidi="ar"/>
        </w:rPr>
      </w:pPr>
      <w:r>
        <w:rPr>
          <w:rFonts w:hint="eastAsia"/>
          <w:b w:val="0"/>
          <w:bCs w:val="0"/>
          <w:lang w:bidi="ar"/>
        </w:rPr>
        <w:t>在资金管理方面，项目资金到位足额及时，及时支付，资金使用符合国家法规和财务管理制度；资金拨付按照完整的审批程序和手续，符合项目预算批复或合同规定的用途；无截留、挤占、挪用、虚列支出等情况。</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lang w:bidi="ar"/>
        </w:rPr>
      </w:pPr>
      <w:r>
        <w:rPr>
          <w:rFonts w:hint="eastAsia"/>
          <w:b w:val="0"/>
          <w:bCs w:val="0"/>
          <w:lang w:bidi="ar"/>
        </w:rPr>
        <w:t>在项目组织实施方面，叶城县生态环境局制定了财务和业务管理制度，项目实施遵守相关法律法规和相关管理规定。</w:t>
      </w:r>
    </w:p>
    <w:p>
      <w:pPr>
        <w:pStyle w:val="19"/>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项目产出情况</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lang w:bidi="ar"/>
        </w:rPr>
      </w:pPr>
      <w:r>
        <w:rPr>
          <w:rFonts w:hint="eastAsia"/>
          <w:b w:val="0"/>
          <w:bCs w:val="0"/>
          <w:lang w:bidi="ar"/>
        </w:rPr>
        <w:t>贫困村新建改建公路里程指标实际完成303.57公里，建档立卡贫困户数20735户；建档立卡贫困人口数完成91342人；农村公路小修养护公路里程实际45.2公里，4个指标完成状况均为100%，使乡镇交通进行了改善，道路通达率100%，助力地方经济，造福区域百姓，此项目是一项民生工程，项目（工程）验收合格率100%，保证了群众的出行率，提高了服务质量，同时改善了群众的基本生活、生存条件，项目（工程）当年开工实施率100%，沥青混凝土路面建设成本指标28.61万元/公里，农村公路小修养护建设成本4.2万元/公里，指标完成情况100%。</w:t>
      </w:r>
    </w:p>
    <w:tbl>
      <w:tblPr>
        <w:tblStyle w:val="13"/>
        <w:tblW w:w="8339" w:type="dxa"/>
        <w:tblInd w:w="0" w:type="dxa"/>
        <w:shd w:val="clear" w:color="auto" w:fill="auto"/>
        <w:tblLayout w:type="fixed"/>
        <w:tblCellMar>
          <w:top w:w="0" w:type="dxa"/>
          <w:left w:w="0" w:type="dxa"/>
          <w:bottom w:w="0" w:type="dxa"/>
          <w:right w:w="0" w:type="dxa"/>
        </w:tblCellMar>
      </w:tblPr>
      <w:tblGrid>
        <w:gridCol w:w="1192"/>
        <w:gridCol w:w="1016"/>
        <w:gridCol w:w="3381"/>
        <w:gridCol w:w="1375"/>
        <w:gridCol w:w="1375"/>
      </w:tblGrid>
      <w:tr>
        <w:tblPrEx>
          <w:shd w:val="clear" w:color="auto" w:fill="auto"/>
          <w:tblLayout w:type="fixed"/>
          <w:tblCellMar>
            <w:top w:w="0" w:type="dxa"/>
            <w:left w:w="0" w:type="dxa"/>
            <w:bottom w:w="0" w:type="dxa"/>
            <w:right w:w="0" w:type="dxa"/>
          </w:tblCellMar>
        </w:tblPrEx>
        <w:trPr>
          <w:trHeight w:val="500" w:hRule="atLeast"/>
        </w:trPr>
        <w:tc>
          <w:tcPr>
            <w:tcW w:w="11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7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Layout w:type="fixed"/>
          <w:tblCellMar>
            <w:top w:w="0" w:type="dxa"/>
            <w:left w:w="0" w:type="dxa"/>
            <w:bottom w:w="0" w:type="dxa"/>
            <w:right w:w="0" w:type="dxa"/>
          </w:tblCellMar>
        </w:tblPrEx>
        <w:trPr>
          <w:trHeight w:val="500" w:hRule="atLeast"/>
        </w:trPr>
        <w:tc>
          <w:tcPr>
            <w:tcW w:w="11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贫困村新建改建公路里程（ ≥**公里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≥303.57</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303.57</w:t>
            </w:r>
          </w:p>
        </w:tc>
      </w:tr>
      <w:tr>
        <w:tblPrEx>
          <w:tblLayout w:type="fixed"/>
          <w:tblCellMar>
            <w:top w:w="0" w:type="dxa"/>
            <w:left w:w="0" w:type="dxa"/>
            <w:bottom w:w="0" w:type="dxa"/>
            <w:right w:w="0" w:type="dxa"/>
          </w:tblCellMar>
        </w:tblPrEx>
        <w:trPr>
          <w:trHeight w:val="500"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建档立卡贫困户数（户）</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20735</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20735</w:t>
            </w:r>
          </w:p>
        </w:tc>
      </w:tr>
      <w:tr>
        <w:tblPrEx>
          <w:tblLayout w:type="fixed"/>
          <w:tblCellMar>
            <w:top w:w="0" w:type="dxa"/>
            <w:left w:w="0" w:type="dxa"/>
            <w:bottom w:w="0" w:type="dxa"/>
            <w:right w:w="0" w:type="dxa"/>
          </w:tblCellMar>
        </w:tblPrEx>
        <w:trPr>
          <w:trHeight w:val="500"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建档立卡贫困人口数（人）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91342</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91342</w:t>
            </w:r>
          </w:p>
        </w:tc>
      </w:tr>
      <w:tr>
        <w:tblPrEx>
          <w:tblLayout w:type="fixed"/>
          <w:tblCellMar>
            <w:top w:w="0" w:type="dxa"/>
            <w:left w:w="0" w:type="dxa"/>
            <w:bottom w:w="0" w:type="dxa"/>
            <w:right w:w="0" w:type="dxa"/>
          </w:tblCellMar>
        </w:tblPrEx>
        <w:trPr>
          <w:trHeight w:val="500"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农村公路小修养护公路里程（公里）</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45.2</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45.2</w:t>
            </w:r>
          </w:p>
        </w:tc>
      </w:tr>
      <w:tr>
        <w:tblPrEx>
          <w:tblLayout w:type="fixed"/>
          <w:tblCellMar>
            <w:top w:w="0" w:type="dxa"/>
            <w:left w:w="0" w:type="dxa"/>
            <w:bottom w:w="0" w:type="dxa"/>
            <w:right w:w="0" w:type="dxa"/>
          </w:tblCellMar>
        </w:tblPrEx>
        <w:trPr>
          <w:trHeight w:val="500"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项目（工程）验收合格率 （100%）</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500"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项目(工程)完成及时率（%）</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Layout w:type="fixed"/>
          <w:tblCellMar>
            <w:top w:w="0" w:type="dxa"/>
            <w:left w:w="0" w:type="dxa"/>
            <w:bottom w:w="0" w:type="dxa"/>
            <w:right w:w="0" w:type="dxa"/>
          </w:tblCellMar>
        </w:tblPrEx>
        <w:trPr>
          <w:trHeight w:val="500"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沥青混凝土路面建设成本（万元/公里）</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≥28.61</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28.61</w:t>
            </w:r>
          </w:p>
        </w:tc>
      </w:tr>
      <w:tr>
        <w:tblPrEx>
          <w:tblLayout w:type="fixed"/>
          <w:tblCellMar>
            <w:top w:w="0" w:type="dxa"/>
            <w:left w:w="0" w:type="dxa"/>
            <w:bottom w:w="0" w:type="dxa"/>
            <w:right w:w="0" w:type="dxa"/>
          </w:tblCellMar>
        </w:tblPrEx>
        <w:trPr>
          <w:trHeight w:val="500" w:hRule="atLeast"/>
        </w:trPr>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农村公路小修养护建设成本(万元/公里)</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r>
    </w:tbl>
    <w:p>
      <w:pPr>
        <w:pStyle w:val="19"/>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val="en-US" w:eastAsia="zh-CN" w:bidi="ar"/>
        </w:rPr>
        <w:t>四</w:t>
      </w: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bidi="ar"/>
        </w:rPr>
        <w:t>项目效益情况</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lang w:bidi="ar"/>
        </w:rPr>
      </w:pPr>
      <w:r>
        <w:rPr>
          <w:rFonts w:hint="eastAsia"/>
          <w:b w:val="0"/>
          <w:bCs w:val="0"/>
          <w:lang w:bidi="ar"/>
        </w:rPr>
        <w:t>为减少出行费用150元/人年，为贫困地区建制村通客车率95%，受益建档立卡贫困户20735户，受益建档立卡贫困人口数91342人，居民出行平均缩短时间2小时，乡村通硬化路率达到95%，贫困地区建制村通客车率100%。具备条件的建档立卡贫困村通硬化路率100%，贫困地区居民出行平均缩短时间2小时，生态效益指标预期指标值为交通建设符合环评审批要求达到98%， 为乡村道路使用年限8年，。</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lang w:bidi="ar"/>
        </w:rPr>
      </w:pPr>
      <w:r>
        <w:rPr>
          <w:rFonts w:hint="eastAsia"/>
          <w:b w:val="0"/>
          <w:bCs w:val="0"/>
          <w:lang w:bidi="ar"/>
        </w:rPr>
        <w:t>按计划完成项目实施，已做满意度调查问卷，建档立卡贫困户满意度达</w:t>
      </w:r>
      <w:r>
        <w:rPr>
          <w:rFonts w:hint="eastAsia"/>
          <w:b w:val="0"/>
          <w:bCs w:val="0"/>
          <w:lang w:val="en-US" w:eastAsia="zh-CN" w:bidi="ar"/>
        </w:rPr>
        <w:t>90</w:t>
      </w:r>
      <w:r>
        <w:rPr>
          <w:rFonts w:hint="eastAsia"/>
          <w:b w:val="0"/>
          <w:bCs w:val="0"/>
          <w:lang w:bidi="ar"/>
        </w:rPr>
        <w:t>%，受益居民满意度89%，建档立卡贫困人口满意度90%，服务对象满意度指标完成。</w:t>
      </w:r>
    </w:p>
    <w:tbl>
      <w:tblPr>
        <w:tblStyle w:val="13"/>
        <w:tblW w:w="8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192"/>
        <w:gridCol w:w="1016"/>
        <w:gridCol w:w="3381"/>
        <w:gridCol w:w="1375"/>
        <w:gridCol w:w="1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500" w:hRule="atLeast"/>
        </w:trPr>
        <w:tc>
          <w:tcPr>
            <w:tcW w:w="119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1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38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92"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1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381"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减少出行费用（元/人/年）</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92"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381"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农村通客车率（%）</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92"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81"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山区贫困居民出行平均缩短时间（小时）</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≥91342</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92"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81"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受益建档立卡贫困户数（户）</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92"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81"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乡村通硬化路率（%）</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92"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81"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受益建档立卡贫困户数（户）</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20735</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92"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381"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交通建设符合环评审批要求（%）</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92"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381"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户间道路使用年限（年）</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92"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16" w:type="dxa"/>
            <w:vMerge w:val="restart"/>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381"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建档立卡贫困户满意度（%）</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92"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81"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受益居民满意度（%）</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0" w:hRule="atLeast"/>
        </w:trPr>
        <w:tc>
          <w:tcPr>
            <w:tcW w:w="1192"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16" w:type="dxa"/>
            <w:vMerge w:val="continue"/>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81"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建档立卡贫困人口满意度（%）</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37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w:t>
            </w:r>
          </w:p>
        </w:tc>
      </w:tr>
    </w:tbl>
    <w:p>
      <w:pPr>
        <w:pStyle w:val="23"/>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3" w:firstLineChars="200"/>
        <w:textAlignment w:val="auto"/>
        <w:rPr>
          <w:lang w:bidi="ar"/>
        </w:rPr>
      </w:pPr>
      <w:r>
        <w:rPr>
          <w:rFonts w:hint="eastAsia" w:ascii="黑体" w:hAnsi="黑体"/>
          <w:lang w:val="en-US" w:eastAsia="zh-CN"/>
        </w:rPr>
        <w:t>五、</w:t>
      </w:r>
      <w:r>
        <w:rPr>
          <w:rFonts w:hint="eastAsia" w:ascii="黑体" w:hAnsi="黑体"/>
        </w:rPr>
        <w:t>主要经验及做法、存在的问题及原因分析</w:t>
      </w:r>
    </w:p>
    <w:p>
      <w:pPr>
        <w:pStyle w:val="25"/>
        <w:keepNext w:val="0"/>
        <w:keepLines w:val="0"/>
        <w:pageBreakBefore w:val="0"/>
        <w:widowControl w:val="0"/>
        <w:numPr>
          <w:ilvl w:val="0"/>
          <w:numId w:val="6"/>
        </w:numPr>
        <w:kinsoku/>
        <w:wordWrap/>
        <w:overflowPunct/>
        <w:topLinePunct w:val="0"/>
        <w:autoSpaceDE/>
        <w:autoSpaceDN/>
        <w:bidi w:val="0"/>
        <w:adjustRightInd/>
        <w:snapToGrid/>
        <w:spacing w:before="0" w:after="0" w:line="560" w:lineRule="exact"/>
        <w:ind w:left="0" w:leftChars="0" w:firstLine="643" w:firstLineChars="200"/>
        <w:textAlignment w:val="auto"/>
        <w:rPr>
          <w:lang w:bidi="ar"/>
        </w:rPr>
      </w:pPr>
      <w:r>
        <w:rPr>
          <w:rFonts w:hint="eastAsia"/>
          <w:lang w:bidi="ar"/>
        </w:rPr>
        <w:t>主要经验及做法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1、主要经验及做法</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lang w:bidi="ar"/>
        </w:rPr>
      </w:pPr>
      <w:r>
        <w:rPr>
          <w:rFonts w:hint="eastAsia"/>
          <w:b w:val="0"/>
          <w:bCs w:val="0"/>
          <w:lang w:bidi="ar"/>
        </w:rPr>
        <w:t>通过预算绩效管理，总结了工作中的较好的经验，2019年3月资金到位后，我局立即对该项目进行了招标，选取了技术上过关、质量上可靠、服务上周到的施工单位来承建，并签订合同，施工单位按照要求进场施工后，执行办立即对进场人员机械设备进行检查，通过确认后立即通知财务室支付30％的工程预付款，后续项目建设资金按照项目建设进度计量支付方式，及时足额拨付施工单位</w:t>
      </w:r>
      <w:r>
        <w:rPr>
          <w:rFonts w:hint="eastAsia"/>
          <w:b w:val="0"/>
          <w:bCs w:val="0"/>
          <w:lang w:eastAsia="zh-CN" w:bidi="ar"/>
        </w:rPr>
        <w:t>，</w:t>
      </w:r>
      <w:r>
        <w:rPr>
          <w:rFonts w:hint="eastAsia"/>
          <w:b w:val="0"/>
          <w:bCs w:val="0"/>
          <w:lang w:bidi="ar"/>
        </w:rPr>
        <w:t>每周五下午召开项目推进会，了解项目推进中存在的问题并及时予以协调解决，确保施工方能在保证质量的前提下按时完成项目建设。</w:t>
      </w:r>
    </w:p>
    <w:p>
      <w:pPr>
        <w:pStyle w:val="25"/>
        <w:keepNext w:val="0"/>
        <w:keepLines w:val="0"/>
        <w:pageBreakBefore w:val="0"/>
        <w:widowControl w:val="0"/>
        <w:numPr>
          <w:ilvl w:val="0"/>
          <w:numId w:val="6"/>
        </w:numPr>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b w:val="0"/>
          <w:bCs w:val="0"/>
          <w:lang w:bidi="ar"/>
        </w:rPr>
      </w:pPr>
      <w:r>
        <w:rPr>
          <w:rFonts w:hint="eastAsia"/>
          <w:lang w:bidi="ar"/>
        </w:rPr>
        <w:t>存在的问题及原因分析</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lang w:bidi="ar"/>
        </w:rPr>
      </w:pPr>
      <w:r>
        <w:rPr>
          <w:rFonts w:hint="eastAsia"/>
          <w:b w:val="0"/>
          <w:bCs w:val="0"/>
          <w:lang w:bidi="ar"/>
        </w:rPr>
        <w:t xml:space="preserve"> 近年来我县</w:t>
      </w:r>
      <w:r>
        <w:rPr>
          <w:rFonts w:hint="eastAsia"/>
          <w:b w:val="0"/>
          <w:bCs w:val="0"/>
          <w:lang w:eastAsia="zh-CN" w:bidi="ar"/>
        </w:rPr>
        <w:t xml:space="preserve">   </w:t>
      </w:r>
      <w:r>
        <w:rPr>
          <w:rFonts w:hint="eastAsia"/>
          <w:b w:val="0"/>
          <w:bCs w:val="0"/>
          <w:lang w:bidi="ar"/>
        </w:rPr>
        <w:t>县项目实施情况，部分项目因各种因素只能在次年开始实施，主要原因一是项目工程量增加，县级缺乏项目管理人员，现有的项目管理人员已不能满足工程建设的需要，使部分项目缺乏有效管理，造成施工项目前期工作滞后、工程期限延长。</w:t>
      </w:r>
    </w:p>
    <w:p>
      <w:pPr>
        <w:pStyle w:val="23"/>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rFonts w:ascii="黑体" w:hAnsi="黑体"/>
        </w:rPr>
      </w:pPr>
      <w:r>
        <w:rPr>
          <w:rFonts w:hint="eastAsia" w:ascii="黑体" w:hAnsi="黑体"/>
          <w:lang w:val="en-US" w:eastAsia="zh-CN"/>
        </w:rPr>
        <w:t>六、</w:t>
      </w:r>
      <w:r>
        <w:rPr>
          <w:rFonts w:hint="eastAsia" w:ascii="黑体" w:hAnsi="黑体"/>
        </w:rPr>
        <w:t>有关建议</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20" w:firstLineChars="200"/>
        <w:textAlignment w:val="auto"/>
        <w:rPr>
          <w:rFonts w:hint="eastAsia" w:ascii="仿宋_GB2312" w:eastAsia="仿宋_GB2312" w:cs="Times New Roman" w:hAnsiTheme="majorHAnsi"/>
          <w:b w:val="0"/>
          <w:bCs w:val="0"/>
          <w:kern w:val="2"/>
          <w:sz w:val="32"/>
          <w:szCs w:val="32"/>
          <w:lang w:val="en-US" w:eastAsia="zh-CN" w:bidi="ar"/>
        </w:rPr>
      </w:pPr>
      <w:r>
        <w:rPr>
          <w:rFonts w:ascii="黑体" w:hAnsi="黑体"/>
        </w:rPr>
        <w:t xml:space="preserve"> </w:t>
      </w:r>
      <w:r>
        <w:rPr>
          <w:rFonts w:hint="eastAsia" w:ascii="仿宋_GB2312" w:eastAsia="仿宋_GB2312" w:cs="Times New Roman" w:hAnsiTheme="majorHAnsi"/>
          <w:b w:val="0"/>
          <w:bCs w:val="0"/>
          <w:kern w:val="2"/>
          <w:sz w:val="32"/>
          <w:szCs w:val="32"/>
          <w:lang w:val="en-US" w:eastAsia="zh-CN" w:bidi="ar"/>
        </w:rPr>
        <w:t xml:space="preserve"> 年初做好资金计划，按照项目进度及时拨付资金，使资金使用效益最大化，减少不必要的浪费，节约成本。自评过程中，绩效指标相对专业，不能很好把握，建议加大对相关人员的培训力度。</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outlineLvl w:val="9"/>
        <w:rPr>
          <w:rFonts w:ascii="黑体" w:hAnsi="黑体"/>
        </w:rPr>
      </w:pPr>
      <w:r>
        <w:rPr>
          <w:rFonts w:hint="eastAsia" w:ascii="黑体" w:hAnsi="黑体"/>
          <w:lang w:val="en-US" w:eastAsia="zh-CN"/>
        </w:rPr>
        <w:t>七、</w:t>
      </w:r>
      <w:r>
        <w:rPr>
          <w:rFonts w:hint="eastAsia" w:ascii="黑体" w:hAnsi="黑体"/>
        </w:rPr>
        <w:t>其他需要说明的问题</w:t>
      </w:r>
    </w:p>
    <w:p>
      <w:pPr>
        <w:pStyle w:val="25"/>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eastAsia="仿宋_GB2312"/>
          <w:b w:val="0"/>
          <w:bCs w:val="0"/>
          <w:lang w:eastAsia="zh-CN" w:bidi="ar"/>
        </w:rPr>
      </w:pPr>
      <w:r>
        <w:rPr>
          <w:rFonts w:hint="eastAsia"/>
          <w:b w:val="0"/>
          <w:bCs w:val="0"/>
          <w:lang w:bidi="ar"/>
        </w:rPr>
        <w:t>无其他需要说明的问题</w:t>
      </w:r>
      <w:r>
        <w:rPr>
          <w:rFonts w:hint="eastAsia"/>
          <w:b w:val="0"/>
          <w:bCs w:val="0"/>
          <w:lang w:eastAsia="zh-CN" w:bidi="ar"/>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lang w:bidi="ar"/>
        </w:rPr>
      </w:pPr>
    </w:p>
    <w:p>
      <w:pPr>
        <w:pStyle w:val="2"/>
        <w:keepNext w:val="0"/>
        <w:keepLines w:val="0"/>
        <w:pageBreakBefore w:val="0"/>
        <w:widowControl w:val="0"/>
        <w:kinsoku/>
        <w:wordWrap/>
        <w:overflowPunct/>
        <w:topLinePunct w:val="0"/>
        <w:autoSpaceDE/>
        <w:autoSpaceDN/>
        <w:bidi w:val="0"/>
        <w:adjustRightInd/>
        <w:snapToGrid/>
        <w:spacing w:before="0" w:line="560" w:lineRule="exact"/>
        <w:ind w:left="0" w:leftChars="0" w:firstLine="562" w:firstLineChars="200"/>
        <w:textAlignment w:val="auto"/>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附件1：喀什地区交通局村组或巷道项目支出绩效目标申报表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附件2：喀什地区交通局村组或巷道项目支出绩效自评表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附件3：喀什地区交通局村组或巷道项目支出绩效评价指标体系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4"/>
  </w:num>
  <w:num w:numId="3">
    <w:abstractNumId w:val="2"/>
  </w:num>
  <w:num w:numId="4">
    <w:abstractNumId w:val="0"/>
  </w:num>
  <w:num w:numId="5">
    <w:abstractNumId w:val="3"/>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95875"/>
    <w:rsid w:val="002A1BF4"/>
    <w:rsid w:val="002B3A72"/>
    <w:rsid w:val="002C6231"/>
    <w:rsid w:val="002F7CDC"/>
    <w:rsid w:val="00300876"/>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453E7"/>
    <w:rsid w:val="00563E06"/>
    <w:rsid w:val="0058554B"/>
    <w:rsid w:val="00596DDF"/>
    <w:rsid w:val="005B6EAB"/>
    <w:rsid w:val="005D7AC7"/>
    <w:rsid w:val="00630E69"/>
    <w:rsid w:val="006362B2"/>
    <w:rsid w:val="0065420A"/>
    <w:rsid w:val="00657C03"/>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B7ED8"/>
    <w:rsid w:val="008D7BC7"/>
    <w:rsid w:val="008F718D"/>
    <w:rsid w:val="0090104C"/>
    <w:rsid w:val="00982B10"/>
    <w:rsid w:val="009A7F77"/>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570EB"/>
    <w:rsid w:val="00B6063F"/>
    <w:rsid w:val="00B83D10"/>
    <w:rsid w:val="00B9042A"/>
    <w:rsid w:val="00B9085C"/>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62E3F82"/>
    <w:rsid w:val="06FD0A62"/>
    <w:rsid w:val="07AE4845"/>
    <w:rsid w:val="09A71D78"/>
    <w:rsid w:val="0BE82948"/>
    <w:rsid w:val="0F391DF4"/>
    <w:rsid w:val="12680CEA"/>
    <w:rsid w:val="217F35A7"/>
    <w:rsid w:val="23921DB0"/>
    <w:rsid w:val="24E73B1F"/>
    <w:rsid w:val="26F03C06"/>
    <w:rsid w:val="2A547683"/>
    <w:rsid w:val="306A4501"/>
    <w:rsid w:val="31C366C0"/>
    <w:rsid w:val="33CA34B6"/>
    <w:rsid w:val="3BC01B4C"/>
    <w:rsid w:val="46C16BC4"/>
    <w:rsid w:val="49DF19D8"/>
    <w:rsid w:val="4DDF53B1"/>
    <w:rsid w:val="50556002"/>
    <w:rsid w:val="509F44DE"/>
    <w:rsid w:val="55945462"/>
    <w:rsid w:val="57964064"/>
    <w:rsid w:val="5A781A20"/>
    <w:rsid w:val="5B5C7858"/>
    <w:rsid w:val="667765BF"/>
    <w:rsid w:val="68AC0EA3"/>
    <w:rsid w:val="7775238E"/>
    <w:rsid w:val="78190E33"/>
    <w:rsid w:val="7A8638D9"/>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styleId="17">
    <w:name w:val="annotation reference"/>
    <w:basedOn w:val="15"/>
    <w:semiHidden/>
    <w:unhideWhenUsed/>
    <w:qFormat/>
    <w:uiPriority w:val="99"/>
    <w:rPr>
      <w:sz w:val="21"/>
      <w:szCs w:val="21"/>
    </w:rPr>
  </w:style>
  <w:style w:type="character" w:customStyle="1" w:styleId="18">
    <w:name w:val="标题 1 Char"/>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Char"/>
    <w:basedOn w:val="15"/>
    <w:link w:val="9"/>
    <w:qFormat/>
    <w:uiPriority w:val="99"/>
    <w:rPr>
      <w:sz w:val="18"/>
      <w:szCs w:val="18"/>
    </w:rPr>
  </w:style>
  <w:style w:type="character" w:customStyle="1" w:styleId="21">
    <w:name w:val="页脚 Char"/>
    <w:basedOn w:val="15"/>
    <w:link w:val="8"/>
    <w:qFormat/>
    <w:uiPriority w:val="99"/>
    <w:rPr>
      <w:sz w:val="18"/>
      <w:szCs w:val="18"/>
    </w:rPr>
  </w:style>
  <w:style w:type="character" w:customStyle="1" w:styleId="22">
    <w:name w:val="批注框文本 Char"/>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90BC31-7358-444B-92B0-26F2A79D2671}">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12</Pages>
  <Words>848</Words>
  <Characters>4838</Characters>
  <Lines>40</Lines>
  <Paragraphs>11</Paragraphs>
  <TotalTime>9</TotalTime>
  <ScaleCrop>false</ScaleCrop>
  <LinksUpToDate>false</LinksUpToDate>
  <CharactersWithSpaces>5675</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2020-09-23T12:41:28Z</dcterms:modified>
  <dc:title>新疆普天鹏华商务信息咨询有限公司</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