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beforeLines="50"/>
        <w:jc w:val="center"/>
        <w:rPr>
          <w:rFonts w:ascii="方正小标宋简体" w:eastAsia="方正小标宋简体"/>
          <w:sz w:val="44"/>
          <w:szCs w:val="44"/>
        </w:rPr>
      </w:pPr>
    </w:p>
    <w:p>
      <w:pPr>
        <w:spacing w:before="120" w:beforeLines="50"/>
        <w:jc w:val="center"/>
        <w:rPr>
          <w:rFonts w:ascii="方正小标宋简体" w:eastAsia="方正小标宋简体"/>
          <w:sz w:val="44"/>
          <w:szCs w:val="44"/>
        </w:rPr>
      </w:pPr>
    </w:p>
    <w:p>
      <w:pPr>
        <w:spacing w:before="120" w:beforeLines="50"/>
        <w:jc w:val="center"/>
        <w:rPr>
          <w:rFonts w:ascii="方正小标宋简体" w:eastAsia="方正小标宋简体"/>
          <w:sz w:val="44"/>
          <w:szCs w:val="44"/>
        </w:rPr>
      </w:pPr>
    </w:p>
    <w:p>
      <w:pPr>
        <w:spacing w:before="120" w:beforeLines="50"/>
        <w:jc w:val="center"/>
        <w:rPr>
          <w:rFonts w:ascii="方正小标宋简体" w:eastAsia="方正小标宋简体"/>
          <w:sz w:val="44"/>
          <w:szCs w:val="44"/>
        </w:rPr>
      </w:pPr>
    </w:p>
    <w:p>
      <w:pPr>
        <w:spacing w:before="120" w:beforeLines="50"/>
        <w:jc w:val="center"/>
        <w:rPr>
          <w:rFonts w:ascii="方正小标宋简体" w:eastAsia="方正小标宋简体"/>
          <w:sz w:val="44"/>
          <w:szCs w:val="44"/>
        </w:rPr>
      </w:pPr>
      <w:r>
        <w:rPr>
          <w:rFonts w:hint="eastAsia" w:ascii="方正小标宋简体" w:eastAsia="方正小标宋简体"/>
          <w:sz w:val="44"/>
          <w:szCs w:val="44"/>
        </w:rPr>
        <w:t>喀什地区叶城县供销社部门精准扶贫信息管理平台建设项目支出绩效评价报告</w:t>
      </w: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项目名称：精准扶贫信息管理平台建设项目</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实施单位：叶城县供销社</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评价部门：叶城县供销社</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120" w:beforeLines="50" w:after="120" w:afterLines="50" w:line="600" w:lineRule="exact"/>
        <w:rPr>
          <w:rFonts w:ascii="方正小标宋简体" w:hAnsi="仿宋_GB2312" w:eastAsia="方正小标宋简体" w:cs="仿宋_GB2312"/>
          <w:kern w:val="0"/>
          <w:sz w:val="44"/>
          <w:szCs w:val="44"/>
          <w:shd w:val="clear" w:color="auto" w:fill="FFFFFF"/>
          <w:lang w:bidi="ar"/>
        </w:rPr>
      </w:pPr>
    </w:p>
    <w:p>
      <w:pPr>
        <w:spacing w:before="120" w:beforeLines="50" w:after="120" w:afterLines="50" w:line="600" w:lineRule="exact"/>
        <w:rPr>
          <w:rFonts w:ascii="方正小标宋简体" w:hAnsi="仿宋_GB2312" w:eastAsia="方正小标宋简体" w:cs="仿宋_GB2312"/>
          <w:kern w:val="0"/>
          <w:sz w:val="44"/>
          <w:szCs w:val="44"/>
          <w:shd w:val="clear" w:color="auto" w:fill="FFFFFF"/>
          <w:lang w:bidi="ar"/>
        </w:rPr>
      </w:pPr>
    </w:p>
    <w:p>
      <w:pPr>
        <w:pStyle w:val="24"/>
        <w:numPr>
          <w:ilvl w:val="0"/>
          <w:numId w:val="2"/>
        </w:numPr>
        <w:ind w:firstLineChars="0"/>
        <w:rPr>
          <w:lang w:bidi="ar"/>
        </w:rPr>
      </w:pPr>
      <w:r>
        <w:rPr>
          <w:rFonts w:hint="eastAsia"/>
          <w:lang w:bidi="ar"/>
        </w:rPr>
        <w:t>基本情况</w:t>
      </w:r>
    </w:p>
    <w:p>
      <w:pPr>
        <w:pStyle w:val="26"/>
        <w:ind w:left="0" w:firstLine="643" w:firstLineChars="200"/>
        <w:rPr>
          <w:lang w:bidi="ar"/>
        </w:rPr>
      </w:pPr>
      <w:bookmarkStart w:id="0" w:name="_Toc26401549"/>
      <w:r>
        <w:rPr>
          <w:rFonts w:hint="eastAsia"/>
          <w:lang w:bidi="ar"/>
        </w:rPr>
        <w:t>项目概况</w:t>
      </w:r>
      <w:bookmarkEnd w:id="0"/>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6"/>
          <w:rFonts w:hint="eastAsia" w:ascii="仿宋_GB2312" w:hAnsi="仿宋" w:eastAsia="仿宋_GB2312"/>
          <w:b w:val="0"/>
          <w:spacing w:val="-4"/>
          <w:sz w:val="32"/>
          <w:szCs w:val="32"/>
        </w:rPr>
      </w:pPr>
      <w:r>
        <w:rPr>
          <w:rStyle w:val="16"/>
          <w:rFonts w:hint="eastAsia" w:ascii="仿宋_GB2312" w:hAnsi="仿宋" w:eastAsia="仿宋_GB2312"/>
          <w:b w:val="0"/>
          <w:spacing w:val="-4"/>
          <w:sz w:val="32"/>
          <w:szCs w:val="32"/>
        </w:rPr>
        <w:t>供销社精准扶贫信息管理平台建设项目主要是根据县财经领导小组会议研究立项，为指导农民进入市场，参与推动农业产业化经营，指导基层供销合作社发展专业合作社，专业协支，大力发展农村村级综合服务站，大力推进经营创新，组织创新，服务创新，加快构建运转高效，该项目主体实施主体为叶城县供销社，主要用于采购叶城县乡村精准扶贫信息管理平台相关设备。</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6"/>
          <w:rFonts w:hint="eastAsia" w:ascii="仿宋_GB2312" w:hAnsi="仿宋" w:eastAsia="仿宋_GB2312"/>
          <w:b w:val="0"/>
          <w:spacing w:val="-4"/>
          <w:sz w:val="32"/>
          <w:szCs w:val="32"/>
        </w:rPr>
      </w:pPr>
      <w:r>
        <w:rPr>
          <w:rStyle w:val="16"/>
          <w:rFonts w:hint="eastAsia" w:ascii="仿宋_GB2312" w:hAnsi="仿宋" w:eastAsia="仿宋_GB2312"/>
          <w:b w:val="0"/>
          <w:spacing w:val="-4"/>
          <w:sz w:val="32"/>
          <w:szCs w:val="32"/>
          <w:lang w:val="en-US" w:eastAsia="zh-CN"/>
        </w:rPr>
        <w:t>1、</w:t>
      </w:r>
      <w:r>
        <w:rPr>
          <w:rStyle w:val="16"/>
          <w:rFonts w:hint="eastAsia" w:ascii="仿宋_GB2312" w:hAnsi="仿宋" w:eastAsia="仿宋_GB2312"/>
          <w:b w:val="0"/>
          <w:spacing w:val="-4"/>
          <w:sz w:val="32"/>
          <w:szCs w:val="32"/>
        </w:rPr>
        <w:t>项目背景及立项依据</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6"/>
          <w:rFonts w:hint="eastAsia" w:ascii="仿宋_GB2312" w:hAnsi="仿宋" w:eastAsia="仿宋_GB2312"/>
          <w:b w:val="0"/>
          <w:spacing w:val="-4"/>
          <w:sz w:val="32"/>
          <w:szCs w:val="32"/>
        </w:rPr>
      </w:pPr>
      <w:r>
        <w:rPr>
          <w:rStyle w:val="16"/>
          <w:rFonts w:hint="eastAsia" w:ascii="仿宋_GB2312" w:hAnsi="仿宋" w:eastAsia="仿宋_GB2312"/>
          <w:b w:val="0"/>
          <w:spacing w:val="-4"/>
          <w:sz w:val="32"/>
          <w:szCs w:val="32"/>
        </w:rPr>
        <w:t>本项目县财经领导小组会议研究立项，下达资金200万元，旨在更好的完成2019年各项工作任务，承担县人民政府委托的业务，对重要农业生产资料及农副产品的经营进行协调管理， 指导基层供销社组织建设，改善经营管理，协调社员与社之间的关系，发挥群体联合优势。慰问“访惠聚”工作队和业务的日常开支。</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6"/>
          <w:rFonts w:hint="eastAsia" w:ascii="仿宋_GB2312" w:hAnsi="仿宋" w:eastAsia="仿宋_GB2312"/>
          <w:b w:val="0"/>
          <w:spacing w:val="-4"/>
          <w:sz w:val="32"/>
          <w:szCs w:val="32"/>
        </w:rPr>
      </w:pPr>
      <w:r>
        <w:rPr>
          <w:rStyle w:val="16"/>
          <w:rFonts w:hint="eastAsia" w:ascii="仿宋_GB2312" w:hAnsi="仿宋" w:eastAsia="仿宋_GB2312"/>
          <w:b w:val="0"/>
          <w:spacing w:val="-4"/>
          <w:sz w:val="32"/>
          <w:szCs w:val="32"/>
          <w:lang w:val="en-US" w:eastAsia="zh-CN"/>
        </w:rPr>
        <w:t>2、</w:t>
      </w:r>
      <w:r>
        <w:rPr>
          <w:rStyle w:val="16"/>
          <w:rFonts w:hint="eastAsia" w:ascii="仿宋_GB2312" w:hAnsi="仿宋" w:eastAsia="仿宋_GB2312"/>
          <w:b w:val="0"/>
          <w:spacing w:val="-4"/>
          <w:sz w:val="32"/>
          <w:szCs w:val="32"/>
        </w:rPr>
        <w:t>项目主要内容及实施情况</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6"/>
          <w:rFonts w:hint="eastAsia" w:ascii="仿宋_GB2312" w:hAnsi="仿宋" w:eastAsia="仿宋_GB2312"/>
          <w:b w:val="0"/>
          <w:spacing w:val="-4"/>
          <w:sz w:val="32"/>
          <w:szCs w:val="32"/>
        </w:rPr>
      </w:pPr>
      <w:r>
        <w:rPr>
          <w:rStyle w:val="16"/>
          <w:rFonts w:hint="eastAsia" w:ascii="仿宋_GB2312" w:hAnsi="仿宋" w:eastAsia="仿宋_GB2312"/>
          <w:b w:val="0"/>
          <w:spacing w:val="-4"/>
          <w:sz w:val="32"/>
          <w:szCs w:val="32"/>
        </w:rPr>
        <w:t>该项目经充分调查研究后，制定了切实能保质保量完成的实施方案，根据县财经领导小组会议研究，下达资金200万元，项目实施过程中严格按照实施方案进行实施并及时进行监督管理，只为更好的完成2019年各项工作任务，承担县人民政府委托的业务，对重要农业生产资料及农副产品的经营进行协调管理，解决日常开支问题。</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6"/>
          <w:rFonts w:hint="eastAsia" w:ascii="仿宋_GB2312" w:hAnsi="仿宋" w:eastAsia="仿宋_GB2312"/>
          <w:b w:val="0"/>
          <w:spacing w:val="-4"/>
          <w:sz w:val="32"/>
          <w:szCs w:val="32"/>
        </w:rPr>
      </w:pPr>
      <w:r>
        <w:rPr>
          <w:rStyle w:val="16"/>
          <w:rFonts w:hint="eastAsia" w:ascii="仿宋_GB2312" w:hAnsi="仿宋" w:eastAsia="仿宋_GB2312"/>
          <w:b w:val="0"/>
          <w:spacing w:val="-4"/>
          <w:sz w:val="32"/>
          <w:szCs w:val="32"/>
        </w:rPr>
        <w:t>3.项目负责人为刘旭，主要职责为指导基层供销社组织建设，改善经营管理，协调社员与社之间的关系，发挥群体联合优势。</w:t>
      </w:r>
    </w:p>
    <w:p>
      <w:pPr>
        <w:pStyle w:val="26"/>
        <w:keepNext w:val="0"/>
        <w:keepLines w:val="0"/>
        <w:pageBreakBefore w:val="0"/>
        <w:widowControl w:val="0"/>
        <w:kinsoku/>
        <w:wordWrap/>
        <w:overflowPunct/>
        <w:topLinePunct w:val="0"/>
        <w:autoSpaceDE/>
        <w:autoSpaceDN/>
        <w:bidi w:val="0"/>
        <w:spacing w:before="0" w:after="0" w:line="560" w:lineRule="exact"/>
        <w:ind w:left="0" w:firstLine="643" w:firstLineChars="200"/>
        <w:textAlignment w:val="auto"/>
        <w:rPr>
          <w:color w:val="auto"/>
          <w:highlight w:val="none"/>
          <w:lang w:bidi="ar"/>
        </w:rPr>
      </w:pPr>
      <w:bookmarkStart w:id="1" w:name="_Toc26401550"/>
      <w:r>
        <w:rPr>
          <w:rFonts w:hint="eastAsia"/>
          <w:color w:val="auto"/>
          <w:highlight w:val="none"/>
          <w:lang w:bidi="ar"/>
        </w:rPr>
        <w:t>资金</w:t>
      </w:r>
      <w:bookmarkEnd w:id="1"/>
      <w:r>
        <w:rPr>
          <w:rFonts w:hint="eastAsia"/>
          <w:color w:val="auto"/>
          <w:highlight w:val="none"/>
          <w:lang w:bidi="ar"/>
        </w:rPr>
        <w:t>投入和使用情况</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6"/>
          <w:rFonts w:hint="eastAsia" w:ascii="仿宋_GB2312" w:hAnsi="仿宋" w:eastAsia="仿宋_GB2312"/>
          <w:b w:val="0"/>
          <w:spacing w:val="-4"/>
          <w:sz w:val="32"/>
          <w:szCs w:val="32"/>
        </w:rPr>
      </w:pPr>
      <w:r>
        <w:rPr>
          <w:rStyle w:val="16"/>
          <w:rFonts w:hint="eastAsia" w:ascii="仿宋_GB2312" w:hAnsi="仿宋" w:eastAsia="仿宋_GB2312"/>
          <w:b w:val="0"/>
          <w:spacing w:val="-4"/>
          <w:sz w:val="32"/>
          <w:szCs w:val="32"/>
          <w:lang w:eastAsia="zh-CN"/>
        </w:rPr>
        <w:t>根据本年县财经领导小组会议精神，</w:t>
      </w:r>
      <w:r>
        <w:rPr>
          <w:rStyle w:val="16"/>
          <w:rFonts w:hint="eastAsia" w:ascii="仿宋_GB2312" w:hAnsi="仿宋" w:eastAsia="仿宋_GB2312"/>
          <w:b w:val="0"/>
          <w:spacing w:val="-4"/>
          <w:sz w:val="32"/>
          <w:szCs w:val="32"/>
        </w:rPr>
        <w:t>本项目总投资200万元，资金来源为地方政府专项资金200万元，项目实际到位资金200万</w:t>
      </w:r>
      <w:r>
        <w:rPr>
          <w:rStyle w:val="16"/>
          <w:rFonts w:hint="eastAsia" w:ascii="仿宋_GB2312" w:hAnsi="仿宋" w:eastAsia="仿宋_GB2312"/>
          <w:b w:val="0"/>
          <w:spacing w:val="-4"/>
          <w:sz w:val="32"/>
          <w:szCs w:val="32"/>
          <w:lang w:eastAsia="zh-CN"/>
        </w:rPr>
        <w:t>，资金到位率</w:t>
      </w:r>
      <w:r>
        <w:rPr>
          <w:rStyle w:val="16"/>
          <w:rFonts w:hint="eastAsia" w:ascii="仿宋_GB2312" w:hAnsi="仿宋" w:eastAsia="仿宋_GB2312"/>
          <w:b w:val="0"/>
          <w:spacing w:val="-4"/>
          <w:sz w:val="32"/>
          <w:szCs w:val="32"/>
          <w:lang w:val="en-US" w:eastAsia="zh-CN"/>
        </w:rPr>
        <w:t>100%</w:t>
      </w:r>
      <w:r>
        <w:rPr>
          <w:rStyle w:val="16"/>
          <w:rFonts w:hint="eastAsia" w:ascii="仿宋_GB2312" w:hAnsi="仿宋" w:eastAsia="仿宋_GB2312"/>
          <w:b w:val="0"/>
          <w:spacing w:val="-4"/>
          <w:sz w:val="32"/>
          <w:szCs w:val="32"/>
        </w:rPr>
        <w:t>。该项目主要采购</w:t>
      </w:r>
      <w:r>
        <w:rPr>
          <w:rStyle w:val="16"/>
          <w:rFonts w:hint="eastAsia" w:ascii="仿宋_GB2312" w:hAnsi="仿宋" w:eastAsia="仿宋_GB2312"/>
          <w:b w:val="0"/>
          <w:spacing w:val="-4"/>
          <w:sz w:val="32"/>
          <w:szCs w:val="32"/>
          <w:lang w:eastAsia="zh-CN"/>
        </w:rPr>
        <w:t>完成</w:t>
      </w:r>
      <w:r>
        <w:rPr>
          <w:rStyle w:val="16"/>
          <w:rFonts w:hint="eastAsia" w:ascii="仿宋_GB2312" w:hAnsi="仿宋" w:eastAsia="仿宋_GB2312"/>
          <w:b w:val="0"/>
          <w:spacing w:val="-4"/>
          <w:sz w:val="32"/>
          <w:szCs w:val="32"/>
        </w:rPr>
        <w:t>叶城县乡村精准扶贫信息管理平台相关设备</w:t>
      </w:r>
      <w:r>
        <w:rPr>
          <w:rStyle w:val="16"/>
          <w:rFonts w:hint="eastAsia" w:ascii="仿宋_GB2312" w:hAnsi="仿宋" w:eastAsia="仿宋_GB2312"/>
          <w:b w:val="0"/>
          <w:spacing w:val="-4"/>
          <w:sz w:val="32"/>
          <w:szCs w:val="32"/>
          <w:lang w:eastAsia="zh-CN"/>
        </w:rPr>
        <w:t>的建设</w:t>
      </w:r>
      <w:r>
        <w:rPr>
          <w:rStyle w:val="16"/>
          <w:rFonts w:hint="eastAsia" w:ascii="仿宋_GB2312" w:hAnsi="仿宋" w:eastAsia="仿宋_GB2312"/>
          <w:b w:val="0"/>
          <w:spacing w:val="-4"/>
          <w:sz w:val="32"/>
          <w:szCs w:val="32"/>
        </w:rPr>
        <w:t>，推动农业产业化经营，消除农村贫困现象。</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6"/>
          <w:rFonts w:hint="eastAsia" w:ascii="仿宋_GB2312" w:hAnsi="仿宋" w:eastAsia="仿宋_GB2312"/>
          <w:b w:val="0"/>
          <w:spacing w:val="-4"/>
          <w:sz w:val="32"/>
          <w:szCs w:val="32"/>
        </w:rPr>
      </w:pPr>
      <w:r>
        <w:rPr>
          <w:rStyle w:val="16"/>
          <w:rFonts w:hint="eastAsia" w:ascii="仿宋_GB2312" w:hAnsi="仿宋" w:eastAsia="仿宋_GB2312"/>
          <w:b w:val="0"/>
          <w:spacing w:val="-4"/>
          <w:sz w:val="32"/>
          <w:szCs w:val="32"/>
        </w:rPr>
        <w:t>使用范围：用于支持农村贫困地区加快经济社会发展，改善扶贫对象基本生产生活条件，增强自我发展能力，帮助提高收入水平，促进消除农村贫困现象的专项资金。</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6"/>
          <w:rFonts w:hint="eastAsia" w:ascii="仿宋_GB2312" w:hAnsi="仿宋" w:eastAsia="仿宋_GB2312"/>
          <w:b w:val="0"/>
          <w:spacing w:val="-4"/>
          <w:sz w:val="32"/>
          <w:szCs w:val="32"/>
        </w:rPr>
      </w:pPr>
      <w:r>
        <w:rPr>
          <w:rStyle w:val="16"/>
          <w:rFonts w:hint="eastAsia" w:ascii="仿宋_GB2312" w:hAnsi="仿宋" w:eastAsia="仿宋_GB2312"/>
          <w:b w:val="0"/>
          <w:spacing w:val="-4"/>
          <w:sz w:val="32"/>
          <w:szCs w:val="32"/>
          <w:lang w:val="en-US" w:eastAsia="zh-CN"/>
        </w:rPr>
        <w:t>该项目实施开始时间：2019年2月28日，结束时间：2019年12月25日。</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6"/>
          <w:rFonts w:hint="eastAsia" w:ascii="仿宋_GB2312" w:hAnsi="仿宋" w:eastAsia="仿宋_GB2312"/>
          <w:b w:val="0"/>
          <w:spacing w:val="-4"/>
          <w:sz w:val="32"/>
          <w:szCs w:val="32"/>
        </w:rPr>
      </w:pPr>
      <w:r>
        <w:rPr>
          <w:rStyle w:val="16"/>
          <w:rFonts w:hint="eastAsia" w:ascii="仿宋_GB2312" w:hAnsi="仿宋" w:eastAsia="仿宋_GB2312"/>
          <w:b w:val="0"/>
          <w:spacing w:val="-4"/>
          <w:sz w:val="32"/>
          <w:szCs w:val="32"/>
          <w:lang w:eastAsia="zh-CN"/>
        </w:rPr>
        <w:t>采用“三统一”管理措施，为确保各项资金的使用，充分发挥效益，本</w:t>
      </w:r>
      <w:r>
        <w:rPr>
          <w:rStyle w:val="16"/>
          <w:rFonts w:hint="eastAsia" w:ascii="仿宋_GB2312" w:hAnsi="仿宋" w:eastAsia="仿宋_GB2312"/>
          <w:b w:val="0"/>
          <w:spacing w:val="-4"/>
          <w:sz w:val="32"/>
          <w:szCs w:val="32"/>
        </w:rPr>
        <w:t>单位</w:t>
      </w:r>
      <w:r>
        <w:rPr>
          <w:rStyle w:val="16"/>
          <w:rFonts w:hint="eastAsia" w:ascii="仿宋_GB2312" w:hAnsi="仿宋" w:eastAsia="仿宋_GB2312"/>
          <w:b w:val="0"/>
          <w:spacing w:val="-4"/>
          <w:sz w:val="32"/>
          <w:szCs w:val="32"/>
          <w:lang w:eastAsia="zh-CN"/>
        </w:rPr>
        <w:t>严格按照</w:t>
      </w:r>
      <w:r>
        <w:rPr>
          <w:rStyle w:val="16"/>
          <w:rFonts w:hint="eastAsia" w:ascii="仿宋_GB2312" w:hAnsi="仿宋" w:eastAsia="仿宋_GB2312"/>
          <w:b w:val="0"/>
          <w:spacing w:val="-4"/>
          <w:sz w:val="32"/>
          <w:szCs w:val="32"/>
        </w:rPr>
        <w:t>相应的项目资金管理办法《叶城县财政专项资金管理暂行办法》</w:t>
      </w:r>
      <w:r>
        <w:rPr>
          <w:rStyle w:val="16"/>
          <w:rFonts w:hint="eastAsia" w:ascii="仿宋_GB2312" w:hAnsi="仿宋" w:eastAsia="仿宋_GB2312"/>
          <w:b w:val="0"/>
          <w:spacing w:val="-4"/>
          <w:sz w:val="32"/>
          <w:szCs w:val="32"/>
          <w:lang w:eastAsia="zh-CN"/>
        </w:rPr>
        <w:t>规定执行</w:t>
      </w:r>
      <w:r>
        <w:rPr>
          <w:rStyle w:val="16"/>
          <w:rFonts w:hint="eastAsia" w:ascii="仿宋_GB2312" w:hAnsi="仿宋" w:eastAsia="仿宋_GB2312"/>
          <w:b w:val="0"/>
          <w:spacing w:val="-4"/>
          <w:sz w:val="32"/>
          <w:szCs w:val="32"/>
        </w:rPr>
        <w:t>，</w:t>
      </w:r>
      <w:r>
        <w:rPr>
          <w:rStyle w:val="16"/>
          <w:rFonts w:hint="eastAsia" w:ascii="仿宋_GB2312" w:hAnsi="仿宋" w:eastAsia="仿宋_GB2312"/>
          <w:b w:val="0"/>
          <w:spacing w:val="-4"/>
          <w:sz w:val="32"/>
          <w:szCs w:val="32"/>
          <w:lang w:eastAsia="zh-CN"/>
        </w:rPr>
        <w:t>项目资金管理办法符合国家财经法规和财务管理制度以及有关资金管理办法的规定，资金一律实行“三统一”管理办法，统一由财政管理，统一进财政专户，统一由财政拨付。对安排资金实行专款专用，账户设置，专人管理，严格审批程序，同时建立完整的档案制度，确立项目实施有依有据可循。</w:t>
      </w:r>
      <w:r>
        <w:rPr>
          <w:rStyle w:val="16"/>
          <w:rFonts w:hint="eastAsia" w:ascii="仿宋_GB2312" w:hAnsi="仿宋" w:eastAsia="仿宋_GB2312"/>
          <w:b w:val="0"/>
          <w:spacing w:val="-4"/>
          <w:sz w:val="32"/>
          <w:szCs w:val="32"/>
        </w:rPr>
        <w:t>按照《叶城县财政专项资金管理暂行办法》文件进行使用。</w:t>
      </w:r>
    </w:p>
    <w:p>
      <w:pPr>
        <w:pStyle w:val="26"/>
        <w:keepNext w:val="0"/>
        <w:keepLines w:val="0"/>
        <w:pageBreakBefore w:val="0"/>
        <w:widowControl w:val="0"/>
        <w:kinsoku/>
        <w:wordWrap/>
        <w:overflowPunct/>
        <w:topLinePunct w:val="0"/>
        <w:autoSpaceDE/>
        <w:autoSpaceDN/>
        <w:bidi w:val="0"/>
        <w:adjustRightInd/>
        <w:snapToGrid/>
        <w:spacing w:before="0" w:after="0" w:line="560" w:lineRule="exact"/>
        <w:ind w:left="0" w:firstLine="643" w:firstLineChars="200"/>
        <w:textAlignment w:val="auto"/>
        <w:rPr>
          <w:lang w:bidi="ar"/>
        </w:rPr>
      </w:pPr>
      <w:bookmarkStart w:id="2" w:name="_Toc26401551"/>
      <w:r>
        <w:rPr>
          <w:rFonts w:hint="eastAsia"/>
          <w:lang w:bidi="ar"/>
        </w:rPr>
        <w:t>绩效目标</w:t>
      </w:r>
      <w:bookmarkEnd w:id="2"/>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6"/>
          <w:rFonts w:hint="eastAsia" w:ascii="仿宋_GB2312" w:hAnsi="仿宋" w:eastAsia="仿宋_GB2312"/>
          <w:b w:val="0"/>
          <w:spacing w:val="-4"/>
          <w:sz w:val="32"/>
          <w:szCs w:val="32"/>
          <w:lang w:eastAsia="zh-CN"/>
        </w:rPr>
      </w:pPr>
      <w:r>
        <w:rPr>
          <w:rStyle w:val="16"/>
          <w:rFonts w:hint="eastAsia" w:ascii="仿宋_GB2312" w:hAnsi="仿宋" w:eastAsia="仿宋_GB2312"/>
          <w:b w:val="0"/>
          <w:spacing w:val="-4"/>
          <w:sz w:val="32"/>
          <w:szCs w:val="32"/>
          <w:lang w:eastAsia="zh-CN"/>
        </w:rPr>
        <w:t>总体目标为：</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6"/>
          <w:rFonts w:hint="eastAsia" w:ascii="仿宋_GB2312" w:hAnsi="仿宋" w:eastAsia="仿宋_GB2312"/>
          <w:b w:val="0"/>
          <w:spacing w:val="-4"/>
          <w:sz w:val="32"/>
          <w:szCs w:val="32"/>
          <w:lang w:eastAsia="zh-CN"/>
        </w:rPr>
      </w:pPr>
      <w:r>
        <w:rPr>
          <w:rStyle w:val="16"/>
          <w:rFonts w:hint="eastAsia" w:ascii="仿宋_GB2312" w:hAnsi="仿宋" w:eastAsia="仿宋_GB2312"/>
          <w:b w:val="0"/>
          <w:spacing w:val="-4"/>
          <w:sz w:val="32"/>
          <w:szCs w:val="32"/>
          <w:lang w:eastAsia="zh-CN"/>
        </w:rPr>
        <w:t>为加快构建运转高效，功能完善、城乡并举、工贸并重的农村现代经营服务新体系，努力成为农业专业社会化服务的骨干力量，农村现代流通的主导力量，农民专业合作的带动力量，经县财经领导小组会议研究，下达资金200万元，采购叶城县乡村精准扶贫信息管理平台相关设备。完成2019年各项工作任务，承担县人民政府委托的业务，对重要农业生产资料及农副产品的经营进行协调管理，指导基层供销社组织建设，改善经营管理，协调社员与社之间的关系，发挥群体联合优势。</w:t>
      </w:r>
    </w:p>
    <w:p>
      <w:pPr>
        <w:pStyle w:val="24"/>
        <w:keepNext w:val="0"/>
        <w:keepLines w:val="0"/>
        <w:pageBreakBefore w:val="0"/>
        <w:widowControl w:val="0"/>
        <w:numPr>
          <w:ilvl w:val="0"/>
          <w:numId w:val="2"/>
        </w:numPr>
        <w:kinsoku/>
        <w:wordWrap/>
        <w:overflowPunct/>
        <w:topLinePunct w:val="0"/>
        <w:autoSpaceDE/>
        <w:autoSpaceDN/>
        <w:bidi w:val="0"/>
        <w:spacing w:before="0" w:after="0" w:line="560" w:lineRule="exact"/>
        <w:ind w:left="0" w:firstLine="643" w:firstLineChars="200"/>
        <w:textAlignment w:val="auto"/>
        <w:rPr>
          <w:lang w:bidi="ar"/>
        </w:rPr>
      </w:pPr>
      <w:bookmarkStart w:id="3" w:name="_Toc26401552"/>
      <w:r>
        <w:rPr>
          <w:rFonts w:hint="eastAsia"/>
          <w:lang w:bidi="ar"/>
        </w:rPr>
        <w:t>评价工作简述</w:t>
      </w:r>
      <w:bookmarkEnd w:id="3"/>
    </w:p>
    <w:p>
      <w:pPr>
        <w:pStyle w:val="26"/>
        <w:keepNext w:val="0"/>
        <w:keepLines w:val="0"/>
        <w:pageBreakBefore w:val="0"/>
        <w:widowControl w:val="0"/>
        <w:numPr>
          <w:ilvl w:val="0"/>
          <w:numId w:val="3"/>
        </w:numPr>
        <w:kinsoku/>
        <w:wordWrap/>
        <w:overflowPunct/>
        <w:topLinePunct w:val="0"/>
        <w:autoSpaceDE/>
        <w:autoSpaceDN/>
        <w:bidi w:val="0"/>
        <w:spacing w:before="0" w:after="0" w:line="560" w:lineRule="exact"/>
        <w:ind w:left="0" w:firstLine="643" w:firstLineChars="200"/>
        <w:textAlignment w:val="auto"/>
        <w:rPr>
          <w:lang w:bidi="ar"/>
        </w:rPr>
      </w:pPr>
      <w:bookmarkStart w:id="4" w:name="_Toc26401553"/>
      <w:r>
        <w:rPr>
          <w:rFonts w:hint="eastAsia"/>
          <w:lang w:bidi="ar"/>
        </w:rPr>
        <w:t>评价目的</w:t>
      </w:r>
      <w:bookmarkEnd w:id="4"/>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6"/>
          <w:rFonts w:hint="eastAsia" w:ascii="仿宋_GB2312" w:hAnsi="仿宋" w:eastAsia="仿宋_GB2312"/>
          <w:b w:val="0"/>
          <w:spacing w:val="-4"/>
          <w:sz w:val="32"/>
          <w:szCs w:val="32"/>
          <w:lang w:eastAsia="zh-CN"/>
        </w:rPr>
      </w:pPr>
      <w:r>
        <w:rPr>
          <w:rStyle w:val="16"/>
          <w:rFonts w:hint="eastAsia" w:ascii="仿宋_GB2312" w:hAnsi="仿宋" w:eastAsia="仿宋_GB2312"/>
          <w:b w:val="0"/>
          <w:spacing w:val="-4"/>
          <w:sz w:val="32"/>
          <w:szCs w:val="32"/>
          <w:lang w:eastAsia="zh-CN"/>
        </w:rPr>
        <w:t>本次绩效评价遵循财政部《项目支出绩效评价管理办法》（财预〔2020〕10号）和自治区财政厅《自治区财政支出绩效评价管理暂行办法》（新财预〔2018〕189号）等相关政策文件与规定，旨在评价精准扶贫信息管理平台建设项目项目实施前期、过程及效果，评价财政预算资金使用的效率及效益。</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Style w:val="16"/>
          <w:rFonts w:hint="eastAsia" w:ascii="仿宋_GB2312" w:hAnsi="仿宋" w:eastAsia="仿宋_GB2312"/>
          <w:b w:val="0"/>
          <w:spacing w:val="-4"/>
          <w:sz w:val="32"/>
          <w:szCs w:val="32"/>
          <w:lang w:eastAsia="zh-CN"/>
        </w:rPr>
      </w:pPr>
      <w:r>
        <w:rPr>
          <w:rFonts w:hint="eastAsia" w:ascii="仿宋_GB2312" w:hAnsi="仿宋" w:eastAsia="仿宋_GB2312" w:cs="宋体"/>
          <w:sz w:val="32"/>
          <w:szCs w:val="32"/>
          <w:lang w:bidi="ar"/>
        </w:rPr>
        <w:t>本</w:t>
      </w:r>
      <w:r>
        <w:rPr>
          <w:rStyle w:val="16"/>
          <w:rFonts w:hint="eastAsia" w:ascii="仿宋_GB2312" w:hAnsi="仿宋" w:eastAsia="仿宋_GB2312"/>
          <w:b w:val="0"/>
          <w:spacing w:val="-4"/>
          <w:sz w:val="32"/>
          <w:szCs w:val="32"/>
          <w:lang w:eastAsia="zh-CN"/>
        </w:rPr>
        <w:t>项目为财政支出绩效评价,是通过对该项目管理和项目绩效作出评定,全面了解财政预算资金支出安排情况、资金实际使用状况和项目的绩效,帮助健全和完善科学的、符合实际情况的项目绩效目标,肯定取得的成绩,提出存在的问题,给出相应的建议,以而保证项目的持续开展,推进财政绩效预算工作的顺利实施。</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6"/>
          <w:rFonts w:hint="eastAsia" w:ascii="仿宋_GB2312" w:hAnsi="仿宋" w:eastAsia="仿宋_GB2312"/>
          <w:b w:val="0"/>
          <w:spacing w:val="-4"/>
          <w:sz w:val="32"/>
          <w:szCs w:val="32"/>
          <w:lang w:eastAsia="zh-CN"/>
        </w:rPr>
      </w:pPr>
      <w:r>
        <w:rPr>
          <w:rStyle w:val="16"/>
          <w:rFonts w:hint="eastAsia" w:ascii="仿宋_GB2312" w:hAnsi="仿宋" w:eastAsia="仿宋_GB2312"/>
          <w:b w:val="0"/>
          <w:spacing w:val="-4"/>
          <w:sz w:val="32"/>
          <w:szCs w:val="32"/>
          <w:lang w:eastAsia="zh-CN"/>
        </w:rPr>
        <w:t>通过评价,了解2019年度精准扶贫信息管理平台建设项目的基本情况，该项目主要以加快经济社会发展，改善扶贫对象基本生产生活条件，增强自我发展能力，帮助提高收入水平为背景，目的为了完成叶城县乡村精准扶贫信息管理平台建设工作顺利实施，指导基层供销社组织建设，改善经营管理。</w:t>
      </w:r>
    </w:p>
    <w:p>
      <w:pPr>
        <w:pStyle w:val="26"/>
        <w:keepNext w:val="0"/>
        <w:keepLines w:val="0"/>
        <w:pageBreakBefore w:val="0"/>
        <w:widowControl w:val="0"/>
        <w:numPr>
          <w:ilvl w:val="0"/>
          <w:numId w:val="3"/>
        </w:numPr>
        <w:kinsoku/>
        <w:wordWrap/>
        <w:overflowPunct/>
        <w:topLinePunct w:val="0"/>
        <w:autoSpaceDE/>
        <w:autoSpaceDN/>
        <w:bidi w:val="0"/>
        <w:spacing w:before="0" w:after="0" w:line="560" w:lineRule="exact"/>
        <w:ind w:left="0" w:firstLine="643" w:firstLineChars="200"/>
        <w:textAlignment w:val="auto"/>
        <w:rPr>
          <w:lang w:bidi="ar"/>
        </w:rPr>
      </w:pPr>
      <w:r>
        <w:rPr>
          <w:rFonts w:hint="eastAsia"/>
          <w:lang w:bidi="ar"/>
        </w:rPr>
        <w:t>评价的对象及范围</w:t>
      </w:r>
      <w:bookmarkStart w:id="5" w:name="_Toc26401554"/>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6"/>
          <w:rFonts w:hint="eastAsia" w:ascii="仿宋_GB2312" w:hAnsi="仿宋" w:eastAsia="仿宋_GB2312"/>
          <w:b w:val="0"/>
          <w:spacing w:val="-4"/>
          <w:sz w:val="32"/>
          <w:szCs w:val="32"/>
          <w:lang w:eastAsia="zh-CN"/>
        </w:rPr>
      </w:pPr>
      <w:r>
        <w:rPr>
          <w:rStyle w:val="16"/>
          <w:rFonts w:hint="eastAsia" w:ascii="仿宋_GB2312" w:hAnsi="仿宋" w:eastAsia="仿宋_GB2312"/>
          <w:b w:val="0"/>
          <w:spacing w:val="-4"/>
          <w:sz w:val="32"/>
          <w:szCs w:val="32"/>
          <w:lang w:eastAsia="zh-CN"/>
        </w:rPr>
        <w:t>本次评价对象为精准扶贫信息管理平台建设项目资金，供销社精准扶贫信息管理平台建设项目</w:t>
      </w:r>
      <w:r>
        <w:rPr>
          <w:rStyle w:val="16"/>
          <w:rFonts w:hint="eastAsia" w:ascii="仿宋_GB2312" w:hAnsi="仿宋" w:eastAsia="仿宋_GB2312"/>
          <w:b w:val="0"/>
          <w:spacing w:val="-4"/>
          <w:sz w:val="32"/>
          <w:szCs w:val="32"/>
          <w:lang w:val="en-US" w:eastAsia="zh-CN"/>
        </w:rPr>
        <w:t>使用对象是对</w:t>
      </w:r>
      <w:r>
        <w:rPr>
          <w:rStyle w:val="16"/>
          <w:rFonts w:hint="eastAsia" w:ascii="仿宋_GB2312" w:hAnsi="仿宋" w:eastAsia="仿宋_GB2312"/>
          <w:b w:val="0"/>
          <w:spacing w:val="-4"/>
          <w:sz w:val="32"/>
          <w:szCs w:val="32"/>
          <w:lang w:eastAsia="zh-CN"/>
        </w:rPr>
        <w:t>叶城县所属</w:t>
      </w:r>
      <w:r>
        <w:rPr>
          <w:rStyle w:val="16"/>
          <w:rFonts w:hint="eastAsia" w:ascii="仿宋_GB2312" w:hAnsi="仿宋" w:eastAsia="仿宋_GB2312"/>
          <w:b w:val="0"/>
          <w:spacing w:val="-4"/>
          <w:sz w:val="32"/>
          <w:szCs w:val="32"/>
          <w:lang w:val="en-US" w:eastAsia="zh-CN"/>
        </w:rPr>
        <w:t>各个</w:t>
      </w:r>
      <w:r>
        <w:rPr>
          <w:rStyle w:val="16"/>
          <w:rFonts w:hint="eastAsia" w:ascii="仿宋_GB2312" w:hAnsi="仿宋" w:eastAsia="仿宋_GB2312"/>
          <w:b w:val="0"/>
          <w:spacing w:val="-4"/>
          <w:sz w:val="32"/>
          <w:szCs w:val="32"/>
          <w:lang w:eastAsia="zh-CN"/>
        </w:rPr>
        <w:t>乡镇，为完成叶城县乡村精准扶贫信息管理平台建设工作顺利实施，如期完成本县扶贫一体化信息建设平台的互联互通。评价范围包括专项资金的安排、组织及使用效益。</w:t>
      </w:r>
    </w:p>
    <w:p>
      <w:pPr>
        <w:pStyle w:val="26"/>
        <w:keepNext w:val="0"/>
        <w:keepLines w:val="0"/>
        <w:pageBreakBefore w:val="0"/>
        <w:widowControl w:val="0"/>
        <w:numPr>
          <w:ilvl w:val="0"/>
          <w:numId w:val="3"/>
        </w:numPr>
        <w:kinsoku/>
        <w:wordWrap/>
        <w:overflowPunct/>
        <w:topLinePunct w:val="0"/>
        <w:autoSpaceDE/>
        <w:autoSpaceDN/>
        <w:bidi w:val="0"/>
        <w:spacing w:before="0" w:after="0" w:line="560" w:lineRule="exact"/>
        <w:ind w:left="0" w:firstLine="643" w:firstLineChars="200"/>
        <w:textAlignment w:val="auto"/>
        <w:rPr>
          <w:lang w:bidi="ar"/>
        </w:rPr>
      </w:pPr>
      <w:r>
        <w:rPr>
          <w:rFonts w:hint="eastAsia"/>
          <w:lang w:bidi="ar"/>
        </w:rPr>
        <w:t>绩效评价原则</w:t>
      </w:r>
      <w:bookmarkEnd w:id="5"/>
    </w:p>
    <w:p>
      <w:pPr>
        <w:keepNext w:val="0"/>
        <w:keepLines w:val="0"/>
        <w:pageBreakBefore w:val="0"/>
        <w:widowControl w:val="0"/>
        <w:kinsoku/>
        <w:wordWrap/>
        <w:overflowPunct/>
        <w:topLinePunct w:val="0"/>
        <w:autoSpaceDE/>
        <w:autoSpaceDN/>
        <w:bidi w:val="0"/>
        <w:spacing w:line="560" w:lineRule="exact"/>
        <w:ind w:left="0" w:firstLine="624" w:firstLineChars="200"/>
        <w:textAlignment w:val="auto"/>
        <w:rPr>
          <w:rFonts w:ascii="仿宋_GB2312" w:hAnsi="仿宋" w:eastAsia="仿宋_GB2312" w:cs="宋体"/>
          <w:sz w:val="32"/>
          <w:szCs w:val="32"/>
          <w:lang w:bidi="ar"/>
        </w:rPr>
      </w:pPr>
      <w:r>
        <w:rPr>
          <w:rStyle w:val="16"/>
          <w:rFonts w:hint="eastAsia" w:ascii="仿宋_GB2312" w:hAnsi="仿宋" w:eastAsia="仿宋_GB2312"/>
          <w:b w:val="0"/>
          <w:spacing w:val="-4"/>
          <w:sz w:val="32"/>
          <w:szCs w:val="32"/>
          <w:lang w:eastAsia="zh-CN"/>
        </w:rPr>
        <w:t>本次绩效评价遵循的原则包括：</w:t>
      </w:r>
    </w:p>
    <w:p>
      <w:pPr>
        <w:pStyle w:val="26"/>
        <w:keepNext w:val="0"/>
        <w:keepLines w:val="0"/>
        <w:pageBreakBefore w:val="0"/>
        <w:widowControl w:val="0"/>
        <w:numPr>
          <w:ilvl w:val="1"/>
          <w:numId w:val="4"/>
        </w:numPr>
        <w:kinsoku/>
        <w:wordWrap/>
        <w:overflowPunct/>
        <w:topLinePunct w:val="0"/>
        <w:autoSpaceDE/>
        <w:autoSpaceDN/>
        <w:bidi w:val="0"/>
        <w:spacing w:before="0" w:after="0" w:line="560" w:lineRule="exact"/>
        <w:ind w:left="0" w:firstLine="624" w:firstLineChars="200"/>
        <w:textAlignment w:val="auto"/>
        <w:rPr>
          <w:rStyle w:val="16"/>
          <w:rFonts w:hint="eastAsia" w:ascii="仿宋_GB2312" w:hAnsi="仿宋" w:eastAsia="仿宋_GB2312" w:cstheme="minorBidi"/>
          <w:b w:val="0"/>
          <w:bCs/>
          <w:spacing w:val="-4"/>
          <w:kern w:val="2"/>
          <w:sz w:val="32"/>
          <w:szCs w:val="32"/>
          <w:lang w:val="en-US" w:eastAsia="zh-CN" w:bidi="ar-SA"/>
        </w:rPr>
      </w:pPr>
      <w:r>
        <w:rPr>
          <w:rStyle w:val="16"/>
          <w:rFonts w:hint="eastAsia" w:ascii="仿宋_GB2312" w:hAnsi="仿宋" w:eastAsia="仿宋_GB2312" w:cstheme="minorBidi"/>
          <w:b w:val="0"/>
          <w:bCs/>
          <w:spacing w:val="-4"/>
          <w:kern w:val="2"/>
          <w:sz w:val="32"/>
          <w:szCs w:val="32"/>
          <w:lang w:val="en-US" w:eastAsia="zh-CN" w:bidi="ar-SA"/>
        </w:rPr>
        <w:t>科学公正。本项目绩效评价运用科学合理的方法，按照规范的程序，对该项目绩效进行客观、公正的反映。</w:t>
      </w:r>
    </w:p>
    <w:p>
      <w:pPr>
        <w:pStyle w:val="26"/>
        <w:keepNext w:val="0"/>
        <w:keepLines w:val="0"/>
        <w:pageBreakBefore w:val="0"/>
        <w:widowControl w:val="0"/>
        <w:numPr>
          <w:ilvl w:val="1"/>
          <w:numId w:val="4"/>
        </w:numPr>
        <w:kinsoku/>
        <w:wordWrap/>
        <w:overflowPunct/>
        <w:topLinePunct w:val="0"/>
        <w:autoSpaceDE/>
        <w:autoSpaceDN/>
        <w:bidi w:val="0"/>
        <w:spacing w:before="0" w:after="0" w:line="560" w:lineRule="exact"/>
        <w:ind w:left="0" w:firstLine="624" w:firstLineChars="200"/>
        <w:textAlignment w:val="auto"/>
        <w:rPr>
          <w:rStyle w:val="16"/>
          <w:rFonts w:hint="eastAsia" w:ascii="仿宋_GB2312" w:hAnsi="仿宋" w:eastAsia="仿宋_GB2312" w:cstheme="minorBidi"/>
          <w:b w:val="0"/>
          <w:bCs/>
          <w:spacing w:val="-4"/>
          <w:kern w:val="2"/>
          <w:sz w:val="32"/>
          <w:szCs w:val="32"/>
          <w:lang w:val="en-US" w:eastAsia="zh-CN" w:bidi="ar-SA"/>
        </w:rPr>
      </w:pPr>
      <w:r>
        <w:rPr>
          <w:rStyle w:val="16"/>
          <w:rFonts w:hint="eastAsia" w:ascii="仿宋_GB2312" w:hAnsi="仿宋" w:eastAsia="仿宋_GB2312" w:cstheme="minorBidi"/>
          <w:b w:val="0"/>
          <w:bCs/>
          <w:spacing w:val="-4"/>
          <w:kern w:val="2"/>
          <w:sz w:val="32"/>
          <w:szCs w:val="32"/>
          <w:lang w:val="en-US" w:eastAsia="zh-CN" w:bidi="ar-SA"/>
        </w:rPr>
        <w:t>统筹兼顾。我单位自评、部门评价和财政评价职责明确，各有侧重，相互衔接。我单位项目自主实施，在部门评价和财政评价自评的基础上开展。</w:t>
      </w:r>
    </w:p>
    <w:p>
      <w:pPr>
        <w:pStyle w:val="26"/>
        <w:keepNext w:val="0"/>
        <w:keepLines w:val="0"/>
        <w:pageBreakBefore w:val="0"/>
        <w:widowControl w:val="0"/>
        <w:numPr>
          <w:ilvl w:val="1"/>
          <w:numId w:val="4"/>
        </w:numPr>
        <w:kinsoku/>
        <w:wordWrap/>
        <w:overflowPunct/>
        <w:topLinePunct w:val="0"/>
        <w:autoSpaceDE/>
        <w:autoSpaceDN/>
        <w:bidi w:val="0"/>
        <w:spacing w:before="0" w:after="0" w:line="560" w:lineRule="exact"/>
        <w:ind w:left="0" w:firstLine="624" w:firstLineChars="200"/>
        <w:textAlignment w:val="auto"/>
        <w:rPr>
          <w:rStyle w:val="16"/>
          <w:rFonts w:hint="eastAsia" w:ascii="仿宋_GB2312" w:hAnsi="仿宋" w:eastAsia="仿宋_GB2312" w:cstheme="minorBidi"/>
          <w:b w:val="0"/>
          <w:bCs/>
          <w:spacing w:val="-4"/>
          <w:kern w:val="2"/>
          <w:sz w:val="32"/>
          <w:szCs w:val="32"/>
          <w:lang w:val="en-US" w:eastAsia="zh-CN" w:bidi="ar-SA"/>
        </w:rPr>
      </w:pPr>
      <w:r>
        <w:rPr>
          <w:rStyle w:val="16"/>
          <w:rFonts w:hint="eastAsia" w:ascii="仿宋_GB2312" w:hAnsi="仿宋" w:eastAsia="仿宋_GB2312" w:cstheme="minorBidi"/>
          <w:b w:val="0"/>
          <w:bCs/>
          <w:spacing w:val="-4"/>
          <w:kern w:val="2"/>
          <w:sz w:val="32"/>
          <w:szCs w:val="32"/>
          <w:lang w:val="en-US" w:eastAsia="zh-CN" w:bidi="ar-SA"/>
        </w:rPr>
        <w:t>激励约束。本项目绩效评价结果与预算安排、政策调整、改进管理实质性挂钩，体现奖优罚劣和激励相容导向，有效要安排、低效要压减、无效要问责。</w:t>
      </w:r>
    </w:p>
    <w:p>
      <w:pPr>
        <w:pStyle w:val="26"/>
        <w:keepNext w:val="0"/>
        <w:keepLines w:val="0"/>
        <w:pageBreakBefore w:val="0"/>
        <w:widowControl w:val="0"/>
        <w:numPr>
          <w:ilvl w:val="1"/>
          <w:numId w:val="4"/>
        </w:numPr>
        <w:kinsoku/>
        <w:wordWrap/>
        <w:overflowPunct/>
        <w:topLinePunct w:val="0"/>
        <w:autoSpaceDE/>
        <w:autoSpaceDN/>
        <w:bidi w:val="0"/>
        <w:spacing w:before="0" w:after="0" w:line="560" w:lineRule="exact"/>
        <w:ind w:left="0" w:firstLine="624" w:firstLineChars="200"/>
        <w:textAlignment w:val="auto"/>
        <w:rPr>
          <w:rStyle w:val="16"/>
          <w:rFonts w:hint="eastAsia" w:ascii="仿宋_GB2312" w:hAnsi="仿宋" w:eastAsia="仿宋_GB2312" w:cstheme="minorBidi"/>
          <w:b w:val="0"/>
          <w:bCs/>
          <w:spacing w:val="-4"/>
          <w:kern w:val="2"/>
          <w:sz w:val="32"/>
          <w:szCs w:val="32"/>
          <w:lang w:val="en-US" w:eastAsia="zh-CN" w:bidi="ar-SA"/>
        </w:rPr>
      </w:pPr>
      <w:r>
        <w:rPr>
          <w:rStyle w:val="16"/>
          <w:rFonts w:hint="eastAsia" w:ascii="仿宋_GB2312" w:hAnsi="仿宋" w:eastAsia="仿宋_GB2312" w:cstheme="minorBidi"/>
          <w:b w:val="0"/>
          <w:bCs/>
          <w:spacing w:val="-4"/>
          <w:kern w:val="2"/>
          <w:sz w:val="32"/>
          <w:szCs w:val="32"/>
          <w:lang w:val="en-US" w:eastAsia="zh-CN" w:bidi="ar-SA"/>
        </w:rPr>
        <w:t>公开透明。本项目绩效评价结果依法依规公开，并自觉接受社会监督。</w:t>
      </w:r>
    </w:p>
    <w:p>
      <w:pPr>
        <w:keepNext w:val="0"/>
        <w:keepLines w:val="0"/>
        <w:pageBreakBefore w:val="0"/>
        <w:widowControl w:val="0"/>
        <w:kinsoku/>
        <w:wordWrap/>
        <w:overflowPunct/>
        <w:topLinePunct w:val="0"/>
        <w:autoSpaceDE/>
        <w:autoSpaceDN/>
        <w:bidi w:val="0"/>
        <w:spacing w:line="560" w:lineRule="exact"/>
        <w:ind w:left="0" w:firstLine="643" w:firstLineChars="200"/>
        <w:textAlignment w:val="auto"/>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（四）本项目绩效评价体系</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24" w:firstLineChars="200"/>
        <w:textAlignment w:val="auto"/>
        <w:rPr>
          <w:rStyle w:val="16"/>
          <w:rFonts w:hint="eastAsia" w:ascii="仿宋_GB2312" w:hAnsi="仿宋" w:eastAsia="仿宋_GB2312" w:cstheme="minorBidi"/>
          <w:b w:val="0"/>
          <w:bCs/>
          <w:spacing w:val="-4"/>
          <w:kern w:val="2"/>
          <w:sz w:val="32"/>
          <w:szCs w:val="32"/>
          <w:lang w:val="en-US" w:eastAsia="zh-CN" w:bidi="ar-SA"/>
        </w:rPr>
      </w:pPr>
      <w:r>
        <w:rPr>
          <w:rStyle w:val="16"/>
          <w:rFonts w:hint="eastAsia" w:ascii="仿宋_GB2312" w:hAnsi="仿宋" w:eastAsia="仿宋_GB2312" w:cstheme="minorBidi"/>
          <w:b w:val="0"/>
          <w:bCs/>
          <w:spacing w:val="-4"/>
          <w:kern w:val="2"/>
          <w:sz w:val="32"/>
          <w:szCs w:val="32"/>
          <w:lang w:val="en-US" w:eastAsia="zh-CN" w:bidi="ar-SA"/>
        </w:rPr>
        <w:t>遵循“科学性、规范性、客观性和公正性”的绩效评价原则,根据财政部制定的《项目支出绩效评价共性指标体系框架》,结合供销社精准扶贫信息管理平台建设项目特性、供叶城县销社单位实际情况,本项目按照财预﹝2020﹞10号文件制定评价指标体系。</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24" w:firstLineChars="200"/>
        <w:textAlignment w:val="auto"/>
        <w:rPr>
          <w:rStyle w:val="16"/>
          <w:rFonts w:hint="eastAsia" w:ascii="仿宋_GB2312" w:hAnsi="仿宋" w:eastAsia="仿宋_GB2312" w:cstheme="minorBidi"/>
          <w:b w:val="0"/>
          <w:bCs/>
          <w:spacing w:val="-4"/>
          <w:kern w:val="2"/>
          <w:sz w:val="32"/>
          <w:szCs w:val="32"/>
          <w:lang w:val="en-US" w:eastAsia="zh-CN" w:bidi="ar-SA"/>
        </w:rPr>
      </w:pPr>
      <w:r>
        <w:rPr>
          <w:rStyle w:val="16"/>
          <w:rFonts w:hint="eastAsia" w:ascii="仿宋_GB2312" w:hAnsi="仿宋" w:eastAsia="仿宋_GB2312" w:cstheme="minorBidi"/>
          <w:b w:val="0"/>
          <w:bCs/>
          <w:spacing w:val="-4"/>
          <w:kern w:val="2"/>
          <w:sz w:val="32"/>
          <w:szCs w:val="32"/>
          <w:lang w:val="en-US" w:eastAsia="zh-CN" w:bidi="ar-SA"/>
        </w:rPr>
        <w:t>我单位选取共性指标：</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24" w:firstLineChars="200"/>
        <w:textAlignment w:val="auto"/>
        <w:rPr>
          <w:rStyle w:val="16"/>
          <w:rFonts w:hint="eastAsia" w:ascii="仿宋_GB2312" w:hAnsi="仿宋" w:eastAsia="仿宋_GB2312" w:cstheme="minorBidi"/>
          <w:b w:val="0"/>
          <w:bCs/>
          <w:spacing w:val="-4"/>
          <w:kern w:val="2"/>
          <w:sz w:val="32"/>
          <w:szCs w:val="32"/>
          <w:lang w:val="en-US" w:eastAsia="zh-CN" w:bidi="ar-SA"/>
        </w:rPr>
      </w:pPr>
      <w:r>
        <w:rPr>
          <w:rStyle w:val="16"/>
          <w:rFonts w:hint="eastAsia" w:ascii="仿宋_GB2312" w:hAnsi="仿宋" w:eastAsia="仿宋_GB2312" w:cstheme="minorBidi"/>
          <w:b w:val="0"/>
          <w:bCs/>
          <w:spacing w:val="-4"/>
          <w:kern w:val="2"/>
          <w:sz w:val="32"/>
          <w:szCs w:val="32"/>
          <w:lang w:val="en-US" w:eastAsia="zh-CN" w:bidi="ar-SA"/>
        </w:rPr>
        <w:t>决策中一级指标1个，二级指标3个，三级指标6个，分别是立项依据充分性、立项程序规范性、绩效目标合理性 、绩效指标明确性、预算编制科学性、资金分配合理性。本项目县财经领导小组会议研究立项，依据充分，下达资金200万元，采购叶城县乡村精准扶贫信息管理平台相关设备。该项目立项符合法律法规、相关政策，符合客观实际。根据本年县财经领导小组会议精神，到位资金200万元，本项目实际支付资金200万元，预算执行率100%，项目资金主要用于为完成叶城县乡村精准扶贫信息管理平台建设工作顺利实施，如期完成本县扶贫一体化信息建设平台的互联互通采购叶城县乡村精准扶贫信息管理平台相关设备。本项目经济分类主要用于【31003】专用设备购置，资金额是200万元，资金分配合理。</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24" w:firstLineChars="200"/>
        <w:textAlignment w:val="auto"/>
        <w:rPr>
          <w:rStyle w:val="16"/>
          <w:rFonts w:hint="eastAsia" w:ascii="仿宋_GB2312" w:hAnsi="仿宋" w:eastAsia="仿宋_GB2312" w:cstheme="minorBidi"/>
          <w:b w:val="0"/>
          <w:bCs/>
          <w:spacing w:val="-4"/>
          <w:kern w:val="2"/>
          <w:sz w:val="32"/>
          <w:szCs w:val="32"/>
          <w:lang w:val="en-US" w:eastAsia="zh-CN" w:bidi="ar-SA"/>
        </w:rPr>
      </w:pPr>
      <w:r>
        <w:rPr>
          <w:rStyle w:val="16"/>
          <w:rFonts w:hint="eastAsia" w:ascii="仿宋_GB2312" w:hAnsi="仿宋" w:eastAsia="仿宋_GB2312" w:cstheme="minorBidi"/>
          <w:b w:val="0"/>
          <w:bCs/>
          <w:spacing w:val="-4"/>
          <w:kern w:val="2"/>
          <w:sz w:val="32"/>
          <w:szCs w:val="32"/>
          <w:lang w:val="en-US" w:eastAsia="zh-CN" w:bidi="ar-SA"/>
        </w:rPr>
        <w:t>过程中一级指标2个，二级指标2个，三级指标5个，分别是资金到位率、资金执行率、资金使用合规性、管理制度健全性、制度执行有效性。该项目财政拨款县级专项总投入200万元，其中财政资金200万元，其它资金0元，资金到位200万元，资金到位率100%。由我单位自行组织实施，单位为加强预算管理、规范财务行为，制定健全完整的管理制度，公开预决算信息,并按照政府信息公开的有关规定公开相关预决算信息。为保证项目质量和成本控制，我单位积极与扶贫办对接，进行了采购，为保质保量完成提供了强有力的技术支撑，有效地推进了项目工作，项目实施完成后，由本项目相关人员于2019年2月28日完成检查验收，检查验收合格后按合同规定支付款项。</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24" w:firstLineChars="200"/>
        <w:textAlignment w:val="auto"/>
        <w:rPr>
          <w:rStyle w:val="16"/>
          <w:rFonts w:hint="eastAsia" w:ascii="仿宋_GB2312" w:hAnsi="仿宋" w:eastAsia="仿宋_GB2312" w:cstheme="minorBidi"/>
          <w:b w:val="0"/>
          <w:bCs/>
          <w:spacing w:val="-4"/>
          <w:kern w:val="2"/>
          <w:sz w:val="32"/>
          <w:szCs w:val="32"/>
          <w:lang w:val="en-US" w:eastAsia="zh-CN" w:bidi="ar-SA"/>
        </w:rPr>
      </w:pPr>
      <w:r>
        <w:rPr>
          <w:rStyle w:val="16"/>
          <w:rFonts w:hint="eastAsia" w:ascii="仿宋_GB2312" w:hAnsi="仿宋" w:eastAsia="仿宋_GB2312" w:cstheme="minorBidi"/>
          <w:b w:val="0"/>
          <w:bCs/>
          <w:spacing w:val="-4"/>
          <w:kern w:val="2"/>
          <w:sz w:val="32"/>
          <w:szCs w:val="32"/>
          <w:lang w:val="en-US" w:eastAsia="zh-CN" w:bidi="ar-SA"/>
        </w:rPr>
        <w:t>该项目个性指标2个分别是：实施效益、满意度。</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24" w:firstLineChars="200"/>
        <w:textAlignment w:val="auto"/>
        <w:rPr>
          <w:rFonts w:ascii="仿宋_GB2312" w:eastAsia="仿宋_GB2312"/>
          <w:sz w:val="32"/>
          <w:szCs w:val="32"/>
        </w:rPr>
      </w:pPr>
      <w:r>
        <w:rPr>
          <w:rStyle w:val="16"/>
          <w:rFonts w:hint="eastAsia" w:ascii="仿宋_GB2312" w:hAnsi="仿宋" w:eastAsia="仿宋_GB2312" w:cstheme="minorBidi"/>
          <w:b w:val="0"/>
          <w:bCs/>
          <w:spacing w:val="-4"/>
          <w:kern w:val="2"/>
          <w:sz w:val="32"/>
          <w:szCs w:val="32"/>
          <w:lang w:val="en-US" w:eastAsia="zh-CN" w:bidi="ar-SA"/>
        </w:rPr>
        <w:t>该项目实施得到了一定的实施效益和群众满意</w:t>
      </w:r>
      <w:r>
        <w:rPr>
          <w:rStyle w:val="16"/>
          <w:rFonts w:hint="eastAsia" w:hAnsi="仿宋" w:cstheme="minorBidi"/>
          <w:b w:val="0"/>
          <w:bCs/>
          <w:spacing w:val="-4"/>
          <w:kern w:val="2"/>
          <w:sz w:val="32"/>
          <w:szCs w:val="32"/>
          <w:lang w:val="en-US" w:eastAsia="zh-CN" w:bidi="ar-SA"/>
        </w:rPr>
        <w:t>，</w:t>
      </w:r>
      <w:r>
        <w:rPr>
          <w:rStyle w:val="16"/>
          <w:rFonts w:hint="eastAsia" w:ascii="仿宋_GB2312" w:hAnsi="仿宋" w:eastAsia="仿宋_GB2312" w:cstheme="minorBidi"/>
          <w:b w:val="0"/>
          <w:bCs/>
          <w:spacing w:val="-4"/>
          <w:kern w:val="2"/>
          <w:sz w:val="32"/>
          <w:szCs w:val="32"/>
          <w:lang w:val="en-US" w:eastAsia="zh-CN" w:bidi="ar-SA"/>
        </w:rPr>
        <w:t>社会效益指标预期指标值改善贫困人口信息知晓率100%，改善贫困人口信息知晓率100%，指标完成情况100%，该项目精准扶贫信息管理，有效提高贫困人口信息知晓率。</w:t>
      </w:r>
    </w:p>
    <w:p>
      <w:pPr>
        <w:pStyle w:val="26"/>
        <w:keepNext w:val="0"/>
        <w:keepLines w:val="0"/>
        <w:pageBreakBefore w:val="0"/>
        <w:widowControl w:val="0"/>
        <w:numPr>
          <w:ilvl w:val="0"/>
          <w:numId w:val="3"/>
        </w:numPr>
        <w:kinsoku/>
        <w:wordWrap/>
        <w:overflowPunct/>
        <w:topLinePunct w:val="0"/>
        <w:autoSpaceDE/>
        <w:autoSpaceDN/>
        <w:bidi w:val="0"/>
        <w:spacing w:before="0" w:after="0" w:line="560" w:lineRule="exact"/>
        <w:ind w:left="0" w:firstLine="643" w:firstLineChars="200"/>
        <w:textAlignment w:val="auto"/>
        <w:rPr>
          <w:lang w:bidi="ar"/>
        </w:rPr>
      </w:pPr>
      <w:bookmarkStart w:id="6" w:name="_Toc26401555"/>
      <w:r>
        <w:rPr>
          <w:rFonts w:hint="eastAsia"/>
          <w:lang w:bidi="ar"/>
        </w:rPr>
        <w:t>绩效评价方法</w:t>
      </w:r>
      <w:bookmarkEnd w:id="6"/>
    </w:p>
    <w:p>
      <w:pPr>
        <w:pStyle w:val="26"/>
        <w:keepNext w:val="0"/>
        <w:keepLines w:val="0"/>
        <w:pageBreakBefore w:val="0"/>
        <w:widowControl w:val="0"/>
        <w:numPr>
          <w:ilvl w:val="0"/>
          <w:numId w:val="0"/>
        </w:numPr>
        <w:kinsoku/>
        <w:wordWrap/>
        <w:overflowPunct/>
        <w:topLinePunct w:val="0"/>
        <w:autoSpaceDE/>
        <w:autoSpaceDN/>
        <w:bidi w:val="0"/>
        <w:spacing w:before="0" w:after="0" w:line="560" w:lineRule="exact"/>
        <w:ind w:leftChars="0" w:firstLine="624" w:firstLineChars="200"/>
        <w:textAlignment w:val="auto"/>
        <w:rPr>
          <w:rStyle w:val="16"/>
          <w:rFonts w:hint="eastAsia" w:ascii="仿宋_GB2312" w:hAnsi="仿宋" w:eastAsia="仿宋_GB2312" w:cstheme="minorBidi"/>
          <w:b w:val="0"/>
          <w:bCs/>
          <w:spacing w:val="-4"/>
          <w:kern w:val="2"/>
          <w:sz w:val="32"/>
          <w:szCs w:val="32"/>
          <w:lang w:val="en-US" w:eastAsia="zh-CN" w:bidi="ar-SA"/>
        </w:rPr>
      </w:pPr>
      <w:r>
        <w:rPr>
          <w:rStyle w:val="16"/>
          <w:rFonts w:hint="eastAsia" w:ascii="仿宋_GB2312" w:hAnsi="仿宋" w:eastAsia="仿宋_GB2312" w:cstheme="minorBidi"/>
          <w:b w:val="0"/>
          <w:bCs/>
          <w:spacing w:val="-4"/>
          <w:kern w:val="2"/>
          <w:sz w:val="32"/>
          <w:szCs w:val="32"/>
          <w:lang w:val="en-US" w:eastAsia="zh-CN" w:bidi="ar-SA"/>
        </w:rPr>
        <w:t>本次绩效评价方法的选用坚持简便有效的原则，采用成本分析法，通过市场摸底考察研究，了解决乡村贫困问题，为改善农村贫困现象，由县财经小组会议决定拨付此次扶贫项目资金，本单位进行市场采购成本比对，确立最优成本实施方案，开展此次扶贫项目。首先我单位及时成立2019年度扶贫项目绩效评价工作领导小组，整理绩效评价相关资料，填写项目绩效评价佐证材料及项目绩效评价自评报告</w:t>
      </w:r>
      <w:r>
        <w:rPr>
          <w:rStyle w:val="16"/>
          <w:rFonts w:hint="eastAsia" w:hAnsi="仿宋" w:cstheme="minorBidi"/>
          <w:b w:val="0"/>
          <w:bCs/>
          <w:spacing w:val="-4"/>
          <w:kern w:val="2"/>
          <w:sz w:val="32"/>
          <w:szCs w:val="32"/>
          <w:lang w:val="en-US" w:eastAsia="zh-CN" w:bidi="ar-SA"/>
        </w:rPr>
        <w:t>，</w:t>
      </w:r>
      <w:r>
        <w:rPr>
          <w:rStyle w:val="16"/>
          <w:rFonts w:hint="eastAsia" w:ascii="仿宋_GB2312" w:hAnsi="仿宋" w:eastAsia="仿宋_GB2312" w:cstheme="minorBidi"/>
          <w:b w:val="0"/>
          <w:bCs/>
          <w:spacing w:val="-4"/>
          <w:kern w:val="2"/>
          <w:sz w:val="32"/>
          <w:szCs w:val="32"/>
          <w:lang w:val="en-US" w:eastAsia="zh-CN" w:bidi="ar-SA"/>
        </w:rPr>
        <w:t>根据精准扶贫信息管理平台建设项目资金全年预算数200万，全年执行数200万，执行率达到100%，保障精准扶贫信息管理平台建设，开展好扶贫各项工作，早日脱贫。</w:t>
      </w:r>
    </w:p>
    <w:p>
      <w:pPr>
        <w:pStyle w:val="26"/>
        <w:keepNext w:val="0"/>
        <w:keepLines w:val="0"/>
        <w:pageBreakBefore w:val="0"/>
        <w:widowControl w:val="0"/>
        <w:numPr>
          <w:ilvl w:val="0"/>
          <w:numId w:val="3"/>
        </w:numPr>
        <w:kinsoku/>
        <w:wordWrap/>
        <w:overflowPunct/>
        <w:topLinePunct w:val="0"/>
        <w:autoSpaceDE/>
        <w:autoSpaceDN/>
        <w:bidi w:val="0"/>
        <w:spacing w:before="0" w:after="0" w:line="560" w:lineRule="exact"/>
        <w:ind w:left="0" w:leftChars="0" w:firstLine="643" w:firstLineChars="200"/>
        <w:textAlignment w:val="auto"/>
        <w:rPr>
          <w:lang w:bidi="ar"/>
        </w:rPr>
      </w:pPr>
      <w:r>
        <w:rPr>
          <w:rFonts w:hint="eastAsia"/>
          <w:lang w:bidi="ar"/>
        </w:rPr>
        <w:t>评价标准</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ascii="仿宋_GB2312" w:hAnsi="仿宋" w:eastAsia="仿宋_GB2312"/>
          <w:bCs/>
          <w:spacing w:val="-4"/>
          <w:sz w:val="32"/>
          <w:szCs w:val="32"/>
        </w:rPr>
      </w:pPr>
      <w:r>
        <w:rPr>
          <w:rFonts w:hint="eastAsia" w:ascii="仿宋_GB2312" w:hAnsi="仿宋" w:eastAsia="仿宋_GB2312" w:cs="宋体"/>
          <w:sz w:val="32"/>
          <w:szCs w:val="32"/>
          <w:lang w:bidi="ar"/>
        </w:rPr>
        <w:t>该项目评价标准主要采用计划标准,为了更好的完成2019年精准扶贫信息管理平台建设工作，根据县财经领导小组会议研究，计划下达资金200万元，顺利实施平台建设任务，完成各项工作</w:t>
      </w:r>
      <w:r>
        <w:rPr>
          <w:rFonts w:hint="eastAsia" w:ascii="仿宋_GB2312" w:hAnsi="仿宋" w:eastAsia="仿宋_GB2312" w:cs="宋体"/>
          <w:sz w:val="32"/>
          <w:szCs w:val="32"/>
          <w:lang w:eastAsia="zh-CN" w:bidi="ar"/>
        </w:rPr>
        <w:t>，</w:t>
      </w:r>
      <w:r>
        <w:rPr>
          <w:rFonts w:hint="eastAsia" w:ascii="仿宋_GB2312" w:hAnsi="仿宋" w:eastAsia="仿宋_GB2312" w:cs="宋体"/>
          <w:sz w:val="32"/>
          <w:szCs w:val="32"/>
          <w:lang w:bidi="ar"/>
        </w:rPr>
        <w:t>承担县人民政府委托的业务，对重要农业生产资料及农副产品的经营进行协调管理，指导基层供销社组织建设，改善经营管理，协调社员与社之间的关系，发挥群体联合优势。如期完成本县扶贫一体化信息建设平台的互联互通。</w:t>
      </w:r>
    </w:p>
    <w:p>
      <w:pPr>
        <w:pStyle w:val="26"/>
        <w:keepNext w:val="0"/>
        <w:keepLines w:val="0"/>
        <w:pageBreakBefore w:val="0"/>
        <w:widowControl w:val="0"/>
        <w:numPr>
          <w:ilvl w:val="0"/>
          <w:numId w:val="3"/>
        </w:numPr>
        <w:kinsoku/>
        <w:wordWrap/>
        <w:overflowPunct/>
        <w:topLinePunct w:val="0"/>
        <w:autoSpaceDE/>
        <w:autoSpaceDN/>
        <w:bidi w:val="0"/>
        <w:spacing w:before="0" w:after="0" w:line="560" w:lineRule="exact"/>
        <w:ind w:left="0" w:firstLine="643" w:firstLineChars="200"/>
        <w:textAlignment w:val="auto"/>
        <w:rPr>
          <w:lang w:bidi="ar"/>
        </w:rPr>
      </w:pPr>
      <w:r>
        <w:rPr>
          <w:rFonts w:hint="eastAsia"/>
          <w:lang w:bidi="ar"/>
        </w:rPr>
        <w:t>绩效评价工作过程</w:t>
      </w:r>
    </w:p>
    <w:p>
      <w:pPr>
        <w:pStyle w:val="26"/>
        <w:keepNext w:val="0"/>
        <w:keepLines w:val="0"/>
        <w:pageBreakBefore w:val="0"/>
        <w:widowControl w:val="0"/>
        <w:numPr>
          <w:ilvl w:val="0"/>
          <w:numId w:val="0"/>
        </w:numPr>
        <w:kinsoku/>
        <w:wordWrap/>
        <w:overflowPunct/>
        <w:topLinePunct w:val="0"/>
        <w:autoSpaceDE/>
        <w:autoSpaceDN/>
        <w:bidi w:val="0"/>
        <w:spacing w:before="0" w:after="0" w:line="560" w:lineRule="exact"/>
        <w:ind w:firstLine="640" w:firstLineChars="200"/>
        <w:textAlignment w:val="auto"/>
        <w:outlineLvl w:val="9"/>
        <w:rPr>
          <w:b w:val="0"/>
          <w:bCs w:val="0"/>
          <w:lang w:bidi="ar"/>
        </w:rPr>
      </w:pPr>
      <w:r>
        <w:rPr>
          <w:rFonts w:hint="eastAsia"/>
          <w:b w:val="0"/>
          <w:bCs w:val="0"/>
          <w:lang w:bidi="ar"/>
        </w:rPr>
        <w:t>（一）本次评价成立了评价工作组，成员如下：</w:t>
      </w:r>
    </w:p>
    <w:tbl>
      <w:tblPr>
        <w:tblStyle w:val="14"/>
        <w:tblW w:w="83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72"/>
        <w:gridCol w:w="2772"/>
        <w:gridCol w:w="2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2772" w:type="dxa"/>
            <w:vAlign w:val="center"/>
          </w:tcPr>
          <w:p>
            <w:pPr>
              <w:pStyle w:val="26"/>
              <w:keepNext w:val="0"/>
              <w:keepLines w:val="0"/>
              <w:numPr>
                <w:ilvl w:val="0"/>
                <w:numId w:val="0"/>
              </w:numPr>
              <w:spacing w:line="240" w:lineRule="atLeast"/>
              <w:jc w:val="center"/>
              <w:rPr>
                <w:b w:val="0"/>
                <w:bCs w:val="0"/>
                <w:lang w:bidi="ar"/>
              </w:rPr>
            </w:pPr>
            <w:r>
              <w:rPr>
                <w:rFonts w:hint="eastAsia"/>
                <w:b w:val="0"/>
                <w:bCs w:val="0"/>
                <w:lang w:bidi="ar"/>
              </w:rPr>
              <w:t>评价人</w:t>
            </w:r>
          </w:p>
        </w:tc>
        <w:tc>
          <w:tcPr>
            <w:tcW w:w="2772" w:type="dxa"/>
            <w:vAlign w:val="center"/>
          </w:tcPr>
          <w:p>
            <w:pPr>
              <w:pStyle w:val="26"/>
              <w:keepNext w:val="0"/>
              <w:keepLines w:val="0"/>
              <w:numPr>
                <w:ilvl w:val="0"/>
                <w:numId w:val="0"/>
              </w:numPr>
              <w:spacing w:line="240" w:lineRule="atLeast"/>
              <w:jc w:val="center"/>
              <w:rPr>
                <w:b w:val="0"/>
                <w:bCs w:val="0"/>
                <w:lang w:bidi="ar"/>
              </w:rPr>
            </w:pPr>
            <w:r>
              <w:rPr>
                <w:rFonts w:hint="eastAsia"/>
                <w:b w:val="0"/>
                <w:bCs w:val="0"/>
                <w:lang w:bidi="ar"/>
              </w:rPr>
              <w:t>职责</w:t>
            </w:r>
          </w:p>
        </w:tc>
        <w:tc>
          <w:tcPr>
            <w:tcW w:w="2774" w:type="dxa"/>
            <w:vAlign w:val="center"/>
          </w:tcPr>
          <w:p>
            <w:pPr>
              <w:pStyle w:val="26"/>
              <w:keepNext w:val="0"/>
              <w:keepLines w:val="0"/>
              <w:numPr>
                <w:ilvl w:val="0"/>
                <w:numId w:val="0"/>
              </w:numPr>
              <w:spacing w:line="240" w:lineRule="atLeast"/>
              <w:jc w:val="center"/>
              <w:rPr>
                <w:b w:val="0"/>
                <w:bCs w:val="0"/>
                <w:lang w:bidi="ar"/>
              </w:rPr>
            </w:pPr>
            <w:r>
              <w:rPr>
                <w:rFonts w:hint="eastAsia"/>
                <w:b w:val="0"/>
                <w:bCs w:val="0"/>
                <w:lang w:bidi="ar"/>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2772" w:type="dxa"/>
            <w:vAlign w:val="center"/>
          </w:tcPr>
          <w:p>
            <w:pPr>
              <w:pStyle w:val="26"/>
              <w:keepNext w:val="0"/>
              <w:keepLines w:val="0"/>
              <w:numPr>
                <w:ilvl w:val="0"/>
                <w:numId w:val="0"/>
              </w:numPr>
              <w:spacing w:line="240" w:lineRule="atLeast"/>
              <w:jc w:val="center"/>
              <w:rPr>
                <w:b w:val="0"/>
                <w:bCs w:val="0"/>
                <w:lang w:bidi="ar"/>
              </w:rPr>
            </w:pPr>
            <w:r>
              <w:rPr>
                <w:rFonts w:hint="eastAsia" w:hAnsiTheme="minorEastAsia"/>
                <w:b w:val="0"/>
                <w:bCs w:val="0"/>
              </w:rPr>
              <w:t>刘旭</w:t>
            </w:r>
          </w:p>
        </w:tc>
        <w:tc>
          <w:tcPr>
            <w:tcW w:w="2772" w:type="dxa"/>
            <w:vAlign w:val="center"/>
          </w:tcPr>
          <w:p>
            <w:pPr>
              <w:pStyle w:val="26"/>
              <w:keepNext w:val="0"/>
              <w:keepLines w:val="0"/>
              <w:numPr>
                <w:ilvl w:val="0"/>
                <w:numId w:val="0"/>
              </w:numPr>
              <w:spacing w:line="240" w:lineRule="atLeast"/>
              <w:jc w:val="center"/>
              <w:rPr>
                <w:b w:val="0"/>
                <w:bCs w:val="0"/>
                <w:lang w:bidi="ar"/>
              </w:rPr>
            </w:pPr>
            <w:r>
              <w:rPr>
                <w:rFonts w:hint="eastAsia"/>
                <w:b w:val="0"/>
                <w:bCs w:val="0"/>
                <w:lang w:bidi="ar"/>
              </w:rPr>
              <w:t>评价组组长</w:t>
            </w:r>
          </w:p>
        </w:tc>
        <w:tc>
          <w:tcPr>
            <w:tcW w:w="2774" w:type="dxa"/>
            <w:vAlign w:val="center"/>
          </w:tcPr>
          <w:p>
            <w:pPr>
              <w:pStyle w:val="26"/>
              <w:keepNext w:val="0"/>
              <w:keepLines w:val="0"/>
              <w:numPr>
                <w:ilvl w:val="0"/>
                <w:numId w:val="0"/>
              </w:numPr>
              <w:spacing w:line="240" w:lineRule="atLeast"/>
              <w:jc w:val="center"/>
              <w:rPr>
                <w:b w:val="0"/>
                <w:bCs w:val="0"/>
                <w:sz w:val="28"/>
                <w:szCs w:val="28"/>
                <w:lang w:bidi="ar"/>
              </w:rPr>
            </w:pPr>
            <w:r>
              <w:rPr>
                <w:rFonts w:hint="eastAsia" w:hAnsiTheme="minorEastAsia"/>
                <w:b w:val="0"/>
                <w:bCs w:val="0"/>
                <w:sz w:val="28"/>
                <w:szCs w:val="28"/>
              </w:rPr>
              <w:t>县供销社党支部书记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2772" w:type="dxa"/>
            <w:vAlign w:val="center"/>
          </w:tcPr>
          <w:p>
            <w:pPr>
              <w:pStyle w:val="26"/>
              <w:keepNext w:val="0"/>
              <w:keepLines w:val="0"/>
              <w:numPr>
                <w:ilvl w:val="0"/>
                <w:numId w:val="0"/>
              </w:numPr>
              <w:spacing w:line="240" w:lineRule="atLeast"/>
              <w:jc w:val="center"/>
              <w:rPr>
                <w:b w:val="0"/>
                <w:bCs w:val="0"/>
                <w:lang w:bidi="ar"/>
              </w:rPr>
            </w:pPr>
            <w:r>
              <w:rPr>
                <w:rFonts w:hint="eastAsia" w:hAnsiTheme="minorEastAsia"/>
                <w:b w:val="0"/>
                <w:bCs w:val="0"/>
              </w:rPr>
              <w:t>张海宏</w:t>
            </w:r>
          </w:p>
        </w:tc>
        <w:tc>
          <w:tcPr>
            <w:tcW w:w="2772" w:type="dxa"/>
            <w:vAlign w:val="center"/>
          </w:tcPr>
          <w:p>
            <w:pPr>
              <w:pStyle w:val="26"/>
              <w:keepNext w:val="0"/>
              <w:keepLines w:val="0"/>
              <w:numPr>
                <w:ilvl w:val="0"/>
                <w:numId w:val="0"/>
              </w:numPr>
              <w:spacing w:line="240" w:lineRule="atLeast"/>
              <w:jc w:val="center"/>
              <w:rPr>
                <w:b w:val="0"/>
                <w:bCs w:val="0"/>
                <w:lang w:bidi="ar"/>
              </w:rPr>
            </w:pPr>
            <w:r>
              <w:rPr>
                <w:rFonts w:hint="eastAsia"/>
                <w:b w:val="0"/>
                <w:bCs w:val="0"/>
                <w:lang w:bidi="ar"/>
              </w:rPr>
              <w:t>评价组成员</w:t>
            </w:r>
          </w:p>
        </w:tc>
        <w:tc>
          <w:tcPr>
            <w:tcW w:w="2774" w:type="dxa"/>
            <w:vAlign w:val="center"/>
          </w:tcPr>
          <w:p>
            <w:pPr>
              <w:pStyle w:val="26"/>
              <w:keepNext w:val="0"/>
              <w:keepLines w:val="0"/>
              <w:numPr>
                <w:ilvl w:val="0"/>
                <w:numId w:val="0"/>
              </w:numPr>
              <w:spacing w:line="240" w:lineRule="atLeast"/>
              <w:jc w:val="center"/>
              <w:rPr>
                <w:b w:val="0"/>
                <w:bCs w:val="0"/>
                <w:sz w:val="28"/>
                <w:szCs w:val="28"/>
                <w:lang w:bidi="ar"/>
              </w:rPr>
            </w:pPr>
            <w:r>
              <w:rPr>
                <w:rFonts w:hint="eastAsia" w:hAnsiTheme="minorEastAsia"/>
                <w:b w:val="0"/>
                <w:bCs w:val="0"/>
                <w:sz w:val="28"/>
                <w:szCs w:val="28"/>
              </w:rPr>
              <w:t>县供销社主任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2772" w:type="dxa"/>
            <w:vAlign w:val="center"/>
          </w:tcPr>
          <w:p>
            <w:pPr>
              <w:pStyle w:val="26"/>
              <w:keepNext w:val="0"/>
              <w:keepLines w:val="0"/>
              <w:numPr>
                <w:ilvl w:val="0"/>
                <w:numId w:val="0"/>
              </w:numPr>
              <w:spacing w:line="240" w:lineRule="atLeast"/>
              <w:jc w:val="center"/>
              <w:rPr>
                <w:b w:val="0"/>
                <w:bCs w:val="0"/>
                <w:lang w:bidi="ar"/>
              </w:rPr>
            </w:pPr>
            <w:r>
              <w:rPr>
                <w:rFonts w:hint="eastAsia" w:hAnsiTheme="minorEastAsia"/>
                <w:b w:val="0"/>
                <w:bCs w:val="0"/>
              </w:rPr>
              <w:t>卢英</w:t>
            </w:r>
          </w:p>
        </w:tc>
        <w:tc>
          <w:tcPr>
            <w:tcW w:w="2772" w:type="dxa"/>
            <w:vAlign w:val="center"/>
          </w:tcPr>
          <w:p>
            <w:pPr>
              <w:pStyle w:val="26"/>
              <w:keepNext w:val="0"/>
              <w:keepLines w:val="0"/>
              <w:numPr>
                <w:ilvl w:val="0"/>
                <w:numId w:val="0"/>
              </w:numPr>
              <w:spacing w:line="240" w:lineRule="atLeast"/>
              <w:jc w:val="center"/>
              <w:rPr>
                <w:b w:val="0"/>
                <w:bCs w:val="0"/>
                <w:lang w:bidi="ar"/>
              </w:rPr>
            </w:pPr>
            <w:r>
              <w:rPr>
                <w:rFonts w:hint="eastAsia"/>
                <w:b w:val="0"/>
                <w:bCs w:val="0"/>
                <w:lang w:bidi="ar"/>
              </w:rPr>
              <w:t>评价组成员</w:t>
            </w:r>
          </w:p>
        </w:tc>
        <w:tc>
          <w:tcPr>
            <w:tcW w:w="2774" w:type="dxa"/>
            <w:vAlign w:val="center"/>
          </w:tcPr>
          <w:p>
            <w:pPr>
              <w:spacing w:line="560" w:lineRule="exact"/>
              <w:jc w:val="center"/>
              <w:rPr>
                <w:sz w:val="28"/>
                <w:szCs w:val="28"/>
                <w:lang w:bidi="ar"/>
              </w:rPr>
            </w:pPr>
            <w:r>
              <w:rPr>
                <w:rFonts w:hint="eastAsia" w:ascii="仿宋_GB2312" w:eastAsia="仿宋_GB2312" w:hAnsiTheme="minorEastAsia"/>
                <w:sz w:val="28"/>
                <w:szCs w:val="28"/>
              </w:rPr>
              <w:t>县供销社干部</w:t>
            </w:r>
          </w:p>
        </w:tc>
      </w:tr>
    </w:tbl>
    <w:p>
      <w:pPr>
        <w:keepNext w:val="0"/>
        <w:keepLines w:val="0"/>
        <w:pageBreakBefore w:val="0"/>
        <w:widowControl w:val="0"/>
        <w:numPr>
          <w:ilvl w:val="0"/>
          <w:numId w:val="5"/>
        </w:numPr>
        <w:kinsoku/>
        <w:wordWrap/>
        <w:overflowPunct/>
        <w:topLinePunct w:val="0"/>
        <w:autoSpaceDE/>
        <w:autoSpaceDN/>
        <w:bidi w:val="0"/>
        <w:spacing w:line="560" w:lineRule="exact"/>
        <w:ind w:firstLine="640" w:firstLineChars="200"/>
        <w:textAlignment w:val="auto"/>
        <w:rPr>
          <w:rFonts w:ascii="仿宋_GB2312" w:eastAsia="仿宋_GB2312" w:cs="Times New Roman" w:hAnsiTheme="majorHAnsi"/>
          <w:sz w:val="32"/>
          <w:szCs w:val="32"/>
          <w:lang w:bidi="ar"/>
        </w:rPr>
      </w:pPr>
      <w:r>
        <w:rPr>
          <w:rFonts w:hint="eastAsia" w:ascii="仿宋_GB2312" w:eastAsia="仿宋_GB2312" w:cs="Times New Roman" w:hAnsiTheme="majorHAnsi"/>
          <w:sz w:val="32"/>
          <w:szCs w:val="32"/>
          <w:lang w:bidi="ar"/>
        </w:rPr>
        <w:t>绩效评价实施过程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宋体"/>
          <w:b/>
          <w:bCs/>
          <w:color w:val="00B0F0"/>
          <w:sz w:val="32"/>
          <w:szCs w:val="32"/>
          <w:highlight w:val="yellow"/>
          <w:lang w:bidi="ar"/>
        </w:rPr>
      </w:pPr>
      <w:r>
        <w:rPr>
          <w:rFonts w:hint="eastAsia" w:ascii="仿宋_GB2312" w:eastAsia="仿宋_GB2312" w:cs="Times New Roman" w:hAnsiTheme="majorHAnsi"/>
          <w:sz w:val="32"/>
          <w:szCs w:val="32"/>
          <w:lang w:val="en-US" w:eastAsia="zh-CN" w:bidi="ar"/>
        </w:rPr>
        <w:t>1.</w:t>
      </w:r>
      <w:r>
        <w:rPr>
          <w:rFonts w:hint="eastAsia" w:ascii="仿宋_GB2312" w:hAnsi="仿宋" w:eastAsia="仿宋_GB2312" w:cs="宋体"/>
          <w:sz w:val="32"/>
          <w:szCs w:val="32"/>
          <w:lang w:bidi="ar"/>
        </w:rPr>
        <w:t>前期准备。项目组在前期调研的基础上,完成了项目绩效评价工作方案,明确了评价的目的、方法、指标体系、评价标准、合规性检查方案、访谈方案等。在此之后,项目组严格按照工作方案,顺利完成了绩效评价工作。</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宋体"/>
          <w:sz w:val="32"/>
          <w:szCs w:val="32"/>
          <w:lang w:bidi="ar"/>
        </w:rPr>
      </w:pPr>
      <w:r>
        <w:rPr>
          <w:rFonts w:hint="eastAsia" w:ascii="仿宋_GB2312" w:eastAsia="仿宋_GB2312" w:cs="Times New Roman" w:hAnsiTheme="majorHAnsi"/>
          <w:sz w:val="32"/>
          <w:szCs w:val="32"/>
          <w:lang w:val="en-US" w:eastAsia="zh-CN" w:bidi="ar"/>
        </w:rPr>
        <w:t>2.</w:t>
      </w:r>
      <w:r>
        <w:rPr>
          <w:rFonts w:hint="eastAsia" w:ascii="仿宋_GB2312" w:hAnsi="仿宋" w:eastAsia="仿宋_GB2312" w:cs="宋体"/>
          <w:sz w:val="32"/>
          <w:szCs w:val="32"/>
          <w:lang w:bidi="ar"/>
        </w:rPr>
        <w:t>组织实施。根据县级关于扶贫开发项目绩效评价考核的相关要求，对照项目绩效评价对应收集的资料，完成项目评价自评报告。</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val="en-US" w:eastAsia="zh-CN" w:bidi="ar"/>
        </w:rPr>
        <w:t>3.</w:t>
      </w:r>
      <w:r>
        <w:rPr>
          <w:rFonts w:hint="eastAsia" w:ascii="仿宋_GB2312" w:hAnsi="仿宋" w:eastAsia="仿宋_GB2312" w:cs="宋体"/>
          <w:sz w:val="32"/>
          <w:szCs w:val="32"/>
          <w:lang w:bidi="ar"/>
        </w:rPr>
        <w:t>分析评价。对照精准扶贫信息管理平台建设项目的相关评价指标体系，对该项目进行分析评价。</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val="en-US" w:eastAsia="zh-CN" w:bidi="ar"/>
        </w:rPr>
        <w:t>4.</w:t>
      </w:r>
      <w:r>
        <w:rPr>
          <w:rFonts w:hint="eastAsia" w:ascii="仿宋_GB2312" w:hAnsi="仿宋" w:eastAsia="仿宋_GB2312" w:cs="宋体"/>
          <w:sz w:val="32"/>
          <w:szCs w:val="32"/>
          <w:lang w:bidi="ar"/>
        </w:rPr>
        <w:t>数据分析及撰写报告</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2019年</w:t>
      </w:r>
      <w:r>
        <w:rPr>
          <w:rFonts w:hint="eastAsia" w:ascii="仿宋_GB2312" w:hAnsi="仿宋" w:eastAsia="仿宋_GB2312" w:cs="宋体"/>
          <w:sz w:val="32"/>
          <w:szCs w:val="32"/>
          <w:lang w:val="en-US" w:eastAsia="zh-CN" w:bidi="ar"/>
        </w:rPr>
        <w:t>12</w:t>
      </w:r>
      <w:r>
        <w:rPr>
          <w:rFonts w:hint="eastAsia" w:ascii="仿宋_GB2312" w:hAnsi="仿宋" w:eastAsia="仿宋_GB2312" w:cs="宋体"/>
          <w:sz w:val="32"/>
          <w:szCs w:val="32"/>
          <w:lang w:bidi="ar"/>
        </w:rPr>
        <w:t>月</w:t>
      </w:r>
      <w:r>
        <w:rPr>
          <w:rFonts w:hint="eastAsia" w:ascii="仿宋_GB2312" w:hAnsi="仿宋" w:eastAsia="仿宋_GB2312" w:cs="宋体"/>
          <w:sz w:val="32"/>
          <w:szCs w:val="32"/>
          <w:lang w:val="en-US" w:eastAsia="zh-CN" w:bidi="ar"/>
        </w:rPr>
        <w:t>1</w:t>
      </w:r>
      <w:r>
        <w:rPr>
          <w:rFonts w:hint="eastAsia" w:ascii="仿宋_GB2312" w:hAnsi="仿宋" w:eastAsia="仿宋_GB2312" w:cs="宋体"/>
          <w:sz w:val="32"/>
          <w:szCs w:val="32"/>
          <w:lang w:bidi="ar"/>
        </w:rPr>
        <w:t>日-2019年</w:t>
      </w:r>
      <w:r>
        <w:rPr>
          <w:rFonts w:hint="eastAsia" w:ascii="仿宋_GB2312" w:hAnsi="仿宋" w:eastAsia="仿宋_GB2312" w:cs="宋体"/>
          <w:sz w:val="32"/>
          <w:szCs w:val="32"/>
          <w:lang w:val="en-US" w:eastAsia="zh-CN" w:bidi="ar"/>
        </w:rPr>
        <w:t>12</w:t>
      </w:r>
      <w:r>
        <w:rPr>
          <w:rFonts w:hint="eastAsia" w:ascii="仿宋_GB2312" w:hAnsi="仿宋" w:eastAsia="仿宋_GB2312" w:cs="宋体"/>
          <w:sz w:val="32"/>
          <w:szCs w:val="32"/>
          <w:lang w:bidi="ar"/>
        </w:rPr>
        <w:t>月</w:t>
      </w:r>
      <w:r>
        <w:rPr>
          <w:rFonts w:hint="eastAsia" w:ascii="仿宋_GB2312" w:hAnsi="仿宋" w:eastAsia="仿宋_GB2312" w:cs="宋体"/>
          <w:sz w:val="32"/>
          <w:szCs w:val="32"/>
          <w:lang w:val="en-US" w:eastAsia="zh-CN" w:bidi="ar"/>
        </w:rPr>
        <w:t>25</w:t>
      </w:r>
      <w:r>
        <w:rPr>
          <w:rFonts w:hint="eastAsia" w:ascii="仿宋_GB2312" w:hAnsi="仿宋" w:eastAsia="仿宋_GB2312" w:cs="宋体"/>
          <w:sz w:val="32"/>
          <w:szCs w:val="32"/>
          <w:lang w:bidi="ar"/>
        </w:rPr>
        <w:t>日,项目组根据绩效评价的原理和规范,对采集的数据进行甄别、分析和评分,并提炼结论撰写报告。</w:t>
      </w:r>
    </w:p>
    <w:p>
      <w:pPr>
        <w:pStyle w:val="24"/>
        <w:keepNext w:val="0"/>
        <w:keepLines w:val="0"/>
        <w:pageBreakBefore w:val="0"/>
        <w:widowControl w:val="0"/>
        <w:numPr>
          <w:ilvl w:val="0"/>
          <w:numId w:val="2"/>
        </w:numPr>
        <w:kinsoku/>
        <w:wordWrap/>
        <w:overflowPunct/>
        <w:topLinePunct w:val="0"/>
        <w:autoSpaceDE/>
        <w:autoSpaceDN/>
        <w:bidi w:val="0"/>
        <w:adjustRightInd/>
        <w:snapToGrid/>
        <w:spacing w:before="0" w:after="0" w:line="560" w:lineRule="exact"/>
        <w:ind w:left="0" w:firstLine="643"/>
        <w:textAlignment w:val="auto"/>
        <w:rPr>
          <w:lang w:bidi="ar"/>
        </w:rPr>
      </w:pPr>
      <w:bookmarkStart w:id="7" w:name="_Toc26401558"/>
      <w:r>
        <w:rPr>
          <w:rFonts w:hint="eastAsia" w:ascii="黑体" w:hAnsi="黑体"/>
        </w:rPr>
        <w:t>综合评价情况及评价结论</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经评价组通过实地调研等方式，采用最低成本法对项目的决策、管理、绩效进行的综合评价分析，</w:t>
      </w:r>
      <w:r>
        <w:rPr>
          <w:rFonts w:hint="eastAsia" w:ascii="仿宋_GB2312" w:hAnsi="仿宋" w:eastAsia="仿宋_GB2312" w:cs="宋体"/>
          <w:sz w:val="32"/>
          <w:szCs w:val="32"/>
          <w:lang w:val="en-US" w:eastAsia="zh-CN" w:bidi="ar"/>
        </w:rPr>
        <w:t>首先我单位成立调研领导小组，对要确定开展采购的项目进行实地摸底了解，制定实施计划方案，比对符合该项目的实施成本，进行成本最优化核算，选择最优成本建设精准扶贫信息建设平台采购项目。该</w:t>
      </w:r>
      <w:r>
        <w:rPr>
          <w:rFonts w:hint="eastAsia" w:ascii="仿宋_GB2312" w:hAnsi="仿宋" w:eastAsia="仿宋_GB2312" w:cs="宋体"/>
          <w:sz w:val="32"/>
          <w:szCs w:val="32"/>
          <w:lang w:bidi="ar"/>
        </w:rPr>
        <w:t>项目得分为</w:t>
      </w:r>
      <w:r>
        <w:rPr>
          <w:rFonts w:hint="eastAsia" w:ascii="仿宋_GB2312" w:hAnsi="仿宋" w:eastAsia="仿宋_GB2312" w:cs="宋体"/>
          <w:sz w:val="32"/>
          <w:szCs w:val="32"/>
          <w:lang w:val="en-US" w:eastAsia="zh-CN" w:bidi="ar"/>
        </w:rPr>
        <w:t>98</w:t>
      </w:r>
      <w:r>
        <w:rPr>
          <w:rFonts w:hint="eastAsia" w:ascii="仿宋_GB2312" w:hAnsi="仿宋" w:eastAsia="仿宋_GB2312" w:cs="宋体"/>
          <w:sz w:val="32"/>
          <w:szCs w:val="32"/>
          <w:lang w:bidi="ar"/>
        </w:rPr>
        <w:t>分，评价结果为优，详见附件1。</w:t>
      </w:r>
    </w:p>
    <w:p>
      <w:pPr>
        <w:pStyle w:val="24"/>
        <w:keepNext w:val="0"/>
        <w:keepLines w:val="0"/>
        <w:pageBreakBefore w:val="0"/>
        <w:widowControl w:val="0"/>
        <w:numPr>
          <w:ilvl w:val="0"/>
          <w:numId w:val="2"/>
        </w:numPr>
        <w:kinsoku/>
        <w:wordWrap/>
        <w:overflowPunct/>
        <w:topLinePunct w:val="0"/>
        <w:autoSpaceDE/>
        <w:autoSpaceDN/>
        <w:bidi w:val="0"/>
        <w:adjustRightInd/>
        <w:snapToGrid/>
        <w:spacing w:before="0" w:after="0" w:line="560" w:lineRule="exact"/>
        <w:ind w:left="0" w:firstLine="643"/>
        <w:textAlignment w:val="auto"/>
        <w:rPr>
          <w:lang w:bidi="ar"/>
        </w:rPr>
      </w:pPr>
      <w:r>
        <w:rPr>
          <w:rFonts w:hint="eastAsia"/>
          <w:lang w:bidi="ar"/>
        </w:rPr>
        <w:t>绩效评价指标分析</w:t>
      </w:r>
      <w:bookmarkEnd w:id="7"/>
    </w:p>
    <w:p>
      <w:pPr>
        <w:pStyle w:val="20"/>
        <w:keepNext w:val="0"/>
        <w:keepLines w:val="0"/>
        <w:pageBreakBefore w:val="0"/>
        <w:widowControl w:val="0"/>
        <w:numPr>
          <w:ilvl w:val="0"/>
          <w:numId w:val="6"/>
        </w:numPr>
        <w:kinsoku/>
        <w:wordWrap/>
        <w:overflowPunct/>
        <w:topLinePunct w:val="0"/>
        <w:autoSpaceDE/>
        <w:autoSpaceDN/>
        <w:bidi w:val="0"/>
        <w:adjustRightInd/>
        <w:snapToGrid/>
        <w:spacing w:line="560" w:lineRule="exact"/>
        <w:ind w:left="0" w:firstLine="643"/>
        <w:textAlignment w:val="auto"/>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项目的决策情况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本项目的立项符合相关法规政策及部门职责，依据充分；项目按照规定的程序申请设立，审批文件、材料符合相关要求。</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项目根据相关文件要求设置了绩效目标，项目绩效目标基本合理，与实际工作内容相关。项目预期产出效益和效果符合正常的业绩水平，与预算确定的项目投资资金量相匹配。我们已将项目绩效目标细化分解为具体的绩效指标，通过清晰、可衡量的指标值予以体现，并且与项目目标任务数或计划数相对应。</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项目在资金投入方面，预算编制经过科学论证、有明确标准，资金额度与年度目标相适应，用以反映和考核项目预算编制的科学性、合理性情况。</w:t>
      </w:r>
    </w:p>
    <w:p>
      <w:pPr>
        <w:pStyle w:val="20"/>
        <w:keepNext w:val="0"/>
        <w:keepLines w:val="0"/>
        <w:pageBreakBefore w:val="0"/>
        <w:widowControl w:val="0"/>
        <w:numPr>
          <w:ilvl w:val="0"/>
          <w:numId w:val="6"/>
        </w:numPr>
        <w:kinsoku/>
        <w:wordWrap/>
        <w:overflowPunct/>
        <w:topLinePunct w:val="0"/>
        <w:autoSpaceDE/>
        <w:autoSpaceDN/>
        <w:bidi w:val="0"/>
        <w:adjustRightInd/>
        <w:snapToGrid/>
        <w:spacing w:line="560" w:lineRule="exact"/>
        <w:ind w:left="0" w:firstLine="643"/>
        <w:textAlignment w:val="auto"/>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项目的过程情况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在资金管理方面，本项目已制定相应的项目资金管理办法《叶城县财政专项资金管理暂行办法》；项目资金管理办法符合国家财经法规和财务管理制度以及有关资金管理办法的规定；资金的拨付有完整的审批程序和手续；不存在截留、挤占、挪用、虚列支出等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根据中央和自治区项目资金管理办法的要求，单位严格按照项目资金规定的专项资金支持的项目条件和范围要求，严格按照有关规定使用管理项目资金。</w:t>
      </w:r>
    </w:p>
    <w:p>
      <w:pPr>
        <w:pStyle w:val="20"/>
        <w:keepNext w:val="0"/>
        <w:keepLines w:val="0"/>
        <w:pageBreakBefore w:val="0"/>
        <w:widowControl w:val="0"/>
        <w:numPr>
          <w:ilvl w:val="0"/>
          <w:numId w:val="6"/>
        </w:numPr>
        <w:kinsoku/>
        <w:wordWrap/>
        <w:overflowPunct/>
        <w:topLinePunct w:val="0"/>
        <w:autoSpaceDE/>
        <w:autoSpaceDN/>
        <w:bidi w:val="0"/>
        <w:adjustRightInd/>
        <w:snapToGrid/>
        <w:spacing w:line="560" w:lineRule="exact"/>
        <w:ind w:left="0" w:firstLine="643"/>
        <w:textAlignment w:val="auto"/>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项目产出情况</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24" w:firstLineChars="200"/>
        <w:textAlignment w:val="auto"/>
        <w:rPr>
          <w:rStyle w:val="16"/>
          <w:rFonts w:hint="default" w:ascii="仿宋_GB2312" w:hAnsi="仿宋" w:eastAsia="仿宋_GB2312" w:cstheme="minorBidi"/>
          <w:b w:val="0"/>
          <w:bCs/>
          <w:spacing w:val="-4"/>
          <w:kern w:val="2"/>
          <w:sz w:val="32"/>
          <w:szCs w:val="32"/>
          <w:lang w:val="en-US" w:eastAsia="zh-CN" w:bidi="ar-SA"/>
        </w:rPr>
      </w:pPr>
      <w:r>
        <w:rPr>
          <w:rStyle w:val="16"/>
          <w:rFonts w:hint="eastAsia" w:ascii="仿宋_GB2312" w:hAnsi="仿宋" w:eastAsia="仿宋_GB2312" w:cstheme="minorBidi"/>
          <w:b w:val="0"/>
          <w:bCs/>
          <w:spacing w:val="-4"/>
          <w:kern w:val="2"/>
          <w:sz w:val="32"/>
          <w:szCs w:val="32"/>
          <w:lang w:val="en-US" w:eastAsia="zh-CN" w:bidi="ar-SA"/>
        </w:rPr>
        <w:t>该项目产出情况分为四块内容，分别是数量指标、质量指标、产出时效、产出成本，其中数量指标预期建设1个精准扶贫信息管理平台，实际完成该项目建设，由我单位自行组织实施，单位为加强预算管理、规范财务行为，制定健全完整的管理制度，公开预决算信息,并按照政府信息公开的有关规定公开相关预决算信息</w:t>
      </w:r>
      <w:r>
        <w:rPr>
          <w:rStyle w:val="16"/>
          <w:rFonts w:hint="eastAsia" w:hAnsi="仿宋" w:cstheme="minorBidi"/>
          <w:b w:val="0"/>
          <w:bCs/>
          <w:spacing w:val="-4"/>
          <w:kern w:val="2"/>
          <w:sz w:val="32"/>
          <w:szCs w:val="32"/>
          <w:lang w:val="en-US" w:eastAsia="zh-CN" w:bidi="ar-SA"/>
        </w:rPr>
        <w:t>,</w:t>
      </w:r>
      <w:r>
        <w:rPr>
          <w:rStyle w:val="16"/>
          <w:rFonts w:hint="eastAsia" w:ascii="仿宋_GB2312" w:hAnsi="仿宋" w:eastAsia="仿宋_GB2312" w:cstheme="minorBidi"/>
          <w:b w:val="0"/>
          <w:bCs/>
          <w:spacing w:val="-4"/>
          <w:kern w:val="2"/>
          <w:sz w:val="32"/>
          <w:szCs w:val="32"/>
          <w:lang w:val="en-US" w:eastAsia="zh-CN" w:bidi="ar-SA"/>
        </w:rPr>
        <w:t>为保证项目质量和成本控制，我单位积极与扶贫办对接，进行了采购，为保质保量完成提供了强有力的技术支撑，有效地推进了项目工作，项目实施完成后，由本项目相关人员于2019年2月28日完成检查验收，检查验收合格后按合同规定支付款项，项目保证建设时效，按规定时间完成项目建设</w:t>
      </w:r>
      <w:r>
        <w:rPr>
          <w:rStyle w:val="16"/>
          <w:rFonts w:hint="eastAsia" w:ascii="仿宋_GB2312" w:hAnsi="仿宋" w:eastAsia="仿宋_GB2312"/>
          <w:b w:val="0"/>
          <w:bCs/>
          <w:spacing w:val="-4"/>
          <w:sz w:val="32"/>
          <w:szCs w:val="32"/>
          <w:lang w:eastAsia="zh-CN"/>
        </w:rPr>
        <w:t>。</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24" w:firstLineChars="200"/>
        <w:textAlignment w:val="auto"/>
        <w:rPr>
          <w:rStyle w:val="16"/>
          <w:rFonts w:hint="eastAsia" w:ascii="仿宋_GB2312" w:hAnsi="仿宋" w:eastAsia="仿宋_GB2312"/>
          <w:b w:val="0"/>
          <w:bCs/>
          <w:spacing w:val="-4"/>
          <w:sz w:val="32"/>
          <w:szCs w:val="32"/>
          <w:lang w:eastAsia="zh-CN"/>
        </w:rPr>
      </w:pPr>
      <w:r>
        <w:rPr>
          <w:rStyle w:val="16"/>
          <w:rFonts w:hint="eastAsia" w:ascii="仿宋_GB2312" w:hAnsi="仿宋" w:eastAsia="仿宋_GB2312"/>
          <w:b w:val="0"/>
          <w:bCs/>
          <w:spacing w:val="-4"/>
          <w:sz w:val="32"/>
          <w:szCs w:val="32"/>
          <w:lang w:eastAsia="zh-CN"/>
        </w:rPr>
        <w:t>为确保各项资金的使用，充分发挥效益，本</w:t>
      </w:r>
      <w:r>
        <w:rPr>
          <w:rStyle w:val="16"/>
          <w:rFonts w:hint="eastAsia" w:ascii="仿宋_GB2312" w:hAnsi="仿宋" w:eastAsia="仿宋_GB2312"/>
          <w:b w:val="0"/>
          <w:bCs/>
          <w:spacing w:val="-4"/>
          <w:sz w:val="32"/>
          <w:szCs w:val="32"/>
        </w:rPr>
        <w:t>单位</w:t>
      </w:r>
      <w:r>
        <w:rPr>
          <w:rStyle w:val="16"/>
          <w:rFonts w:hint="eastAsia" w:ascii="仿宋_GB2312" w:hAnsi="仿宋" w:eastAsia="仿宋_GB2312"/>
          <w:b w:val="0"/>
          <w:bCs/>
          <w:spacing w:val="-4"/>
          <w:sz w:val="32"/>
          <w:szCs w:val="32"/>
          <w:lang w:eastAsia="zh-CN"/>
        </w:rPr>
        <w:t>严格按照</w:t>
      </w:r>
      <w:r>
        <w:rPr>
          <w:rStyle w:val="16"/>
          <w:rFonts w:hint="eastAsia" w:ascii="仿宋_GB2312" w:hAnsi="仿宋" w:eastAsia="仿宋_GB2312"/>
          <w:b w:val="0"/>
          <w:bCs/>
          <w:spacing w:val="-4"/>
          <w:sz w:val="32"/>
          <w:szCs w:val="32"/>
        </w:rPr>
        <w:t>相应的项目资金管理办法《叶城县财政专项资金管理暂行办法》</w:t>
      </w:r>
      <w:r>
        <w:rPr>
          <w:rStyle w:val="16"/>
          <w:rFonts w:hint="eastAsia" w:ascii="仿宋_GB2312" w:hAnsi="仿宋" w:eastAsia="仿宋_GB2312"/>
          <w:b w:val="0"/>
          <w:bCs/>
          <w:spacing w:val="-4"/>
          <w:sz w:val="32"/>
          <w:szCs w:val="32"/>
          <w:lang w:eastAsia="zh-CN"/>
        </w:rPr>
        <w:t>规定执行</w:t>
      </w:r>
      <w:r>
        <w:rPr>
          <w:rStyle w:val="16"/>
          <w:rFonts w:hint="eastAsia" w:ascii="仿宋_GB2312" w:hAnsi="仿宋" w:eastAsia="仿宋_GB2312"/>
          <w:b w:val="0"/>
          <w:bCs/>
          <w:spacing w:val="-4"/>
          <w:sz w:val="32"/>
          <w:szCs w:val="32"/>
        </w:rPr>
        <w:t>，</w:t>
      </w:r>
      <w:r>
        <w:rPr>
          <w:rStyle w:val="16"/>
          <w:rFonts w:hint="eastAsia" w:ascii="仿宋_GB2312" w:hAnsi="仿宋" w:eastAsia="仿宋_GB2312"/>
          <w:b w:val="0"/>
          <w:bCs/>
          <w:spacing w:val="-4"/>
          <w:sz w:val="32"/>
          <w:szCs w:val="32"/>
          <w:lang w:eastAsia="zh-CN"/>
        </w:rPr>
        <w:t>项目资金管理办法符合国家财经法规和财务管理制度以及有关资金管理办法的规定，资金一律实行“三统一”管理办法，统一由财政管理，统一进财政专户，统一由财政拨付。</w:t>
      </w:r>
    </w:p>
    <w:tbl>
      <w:tblPr>
        <w:tblStyle w:val="13"/>
        <w:tblW w:w="4998" w:type="pct"/>
        <w:tblInd w:w="0" w:type="dxa"/>
        <w:shd w:val="clear" w:color="auto" w:fill="auto"/>
        <w:tblLayout w:type="autofit"/>
        <w:tblCellMar>
          <w:top w:w="0" w:type="dxa"/>
          <w:left w:w="0" w:type="dxa"/>
          <w:bottom w:w="0" w:type="dxa"/>
          <w:right w:w="0" w:type="dxa"/>
        </w:tblCellMar>
      </w:tblPr>
      <w:tblGrid>
        <w:gridCol w:w="1266"/>
        <w:gridCol w:w="1079"/>
        <w:gridCol w:w="3070"/>
        <w:gridCol w:w="1462"/>
        <w:gridCol w:w="1462"/>
      </w:tblGrid>
      <w:tr>
        <w:tblPrEx>
          <w:shd w:val="clear" w:color="auto" w:fill="auto"/>
          <w:tblCellMar>
            <w:top w:w="0" w:type="dxa"/>
            <w:left w:w="0" w:type="dxa"/>
            <w:bottom w:w="0" w:type="dxa"/>
            <w:right w:w="0" w:type="dxa"/>
          </w:tblCellMar>
        </w:tblPrEx>
        <w:trPr>
          <w:trHeight w:val="500" w:hRule="atLeast"/>
        </w:trPr>
        <w:tc>
          <w:tcPr>
            <w:tcW w:w="75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64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18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876"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8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500" w:hRule="atLeast"/>
        </w:trPr>
        <w:tc>
          <w:tcPr>
            <w:tcW w:w="75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64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18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准扶贫信息管理平台建设(个)</w:t>
            </w:r>
          </w:p>
        </w:tc>
        <w:tc>
          <w:tcPr>
            <w:tcW w:w="8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8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r>
      <w:tr>
        <w:tblPrEx>
          <w:tblCellMar>
            <w:top w:w="0" w:type="dxa"/>
            <w:left w:w="0" w:type="dxa"/>
            <w:bottom w:w="0" w:type="dxa"/>
            <w:right w:w="0" w:type="dxa"/>
          </w:tblCellMar>
        </w:tblPrEx>
        <w:trPr>
          <w:trHeight w:val="500" w:hRule="atLeast"/>
        </w:trPr>
        <w:tc>
          <w:tcPr>
            <w:tcW w:w="75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18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精准扶贫信息管理平台合格率（%）</w:t>
            </w:r>
          </w:p>
        </w:tc>
        <w:tc>
          <w:tcPr>
            <w:tcW w:w="8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00" w:hRule="atLeast"/>
        </w:trPr>
        <w:tc>
          <w:tcPr>
            <w:tcW w:w="75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18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项目完成及时率（%）</w:t>
            </w:r>
          </w:p>
        </w:tc>
        <w:tc>
          <w:tcPr>
            <w:tcW w:w="8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00" w:hRule="atLeast"/>
        </w:trPr>
        <w:tc>
          <w:tcPr>
            <w:tcW w:w="75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18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精准扶贫信息管理平台建设成本(万元/个)</w:t>
            </w:r>
          </w:p>
        </w:tc>
        <w:tc>
          <w:tcPr>
            <w:tcW w:w="8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w:t>
            </w:r>
          </w:p>
        </w:tc>
        <w:tc>
          <w:tcPr>
            <w:tcW w:w="8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w:t>
            </w:r>
          </w:p>
        </w:tc>
      </w:tr>
    </w:tbl>
    <w:p>
      <w:pPr>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（四）项目效益情况</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该项目没有促进经济效益和生态效益发展，所以经济效益指标和生态效益指标为0。该项目对促进国家或地区社会经济发展，改善农村贫困人口生活水平，提高管理水平和文化生活水平，项目实施产生的社会效益改善贫困人口信息知晓率为100%，该项目可持续使用1年，达到了预期目标，经询问乡级群众及结果显示，项目受益群众满意度为：84%，达到了预期目标。</w:t>
      </w:r>
    </w:p>
    <w:tbl>
      <w:tblPr>
        <w:tblStyle w:val="13"/>
        <w:tblW w:w="4998" w:type="pct"/>
        <w:tblInd w:w="0" w:type="dxa"/>
        <w:shd w:val="clear" w:color="auto" w:fill="auto"/>
        <w:tblLayout w:type="autofit"/>
        <w:tblCellMar>
          <w:top w:w="0" w:type="dxa"/>
          <w:left w:w="0" w:type="dxa"/>
          <w:bottom w:w="0" w:type="dxa"/>
          <w:right w:w="0" w:type="dxa"/>
        </w:tblCellMar>
      </w:tblPr>
      <w:tblGrid>
        <w:gridCol w:w="1266"/>
        <w:gridCol w:w="1079"/>
        <w:gridCol w:w="3070"/>
        <w:gridCol w:w="1462"/>
        <w:gridCol w:w="1462"/>
      </w:tblGrid>
      <w:tr>
        <w:tblPrEx>
          <w:shd w:val="clear" w:color="auto" w:fill="auto"/>
          <w:tblCellMar>
            <w:top w:w="0" w:type="dxa"/>
            <w:left w:w="0" w:type="dxa"/>
            <w:bottom w:w="0" w:type="dxa"/>
            <w:right w:w="0" w:type="dxa"/>
          </w:tblCellMar>
        </w:tblPrEx>
        <w:trPr>
          <w:trHeight w:val="500" w:hRule="atLeast"/>
        </w:trPr>
        <w:tc>
          <w:tcPr>
            <w:tcW w:w="75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64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18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876"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8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500" w:hRule="atLeast"/>
        </w:trPr>
        <w:tc>
          <w:tcPr>
            <w:tcW w:w="126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079"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0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00" w:hRule="atLeast"/>
        </w:trPr>
        <w:tc>
          <w:tcPr>
            <w:tcW w:w="12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79"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0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改善贫困人口信息知晓率（%）</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r>
      <w:tr>
        <w:tblPrEx>
          <w:tblCellMar>
            <w:top w:w="0" w:type="dxa"/>
            <w:left w:w="0" w:type="dxa"/>
            <w:bottom w:w="0" w:type="dxa"/>
            <w:right w:w="0" w:type="dxa"/>
          </w:tblCellMar>
        </w:tblPrEx>
        <w:trPr>
          <w:trHeight w:val="500" w:hRule="atLeast"/>
        </w:trPr>
        <w:tc>
          <w:tcPr>
            <w:tcW w:w="12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79"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0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FF0000"/>
                <w:sz w:val="18"/>
                <w:szCs w:val="18"/>
                <w:u w:val="none"/>
              </w:rPr>
            </w:pPr>
          </w:p>
        </w:tc>
      </w:tr>
      <w:tr>
        <w:tblPrEx>
          <w:tblCellMar>
            <w:top w:w="0" w:type="dxa"/>
            <w:left w:w="0" w:type="dxa"/>
            <w:bottom w:w="0" w:type="dxa"/>
            <w:right w:w="0" w:type="dxa"/>
          </w:tblCellMar>
        </w:tblPrEx>
        <w:trPr>
          <w:trHeight w:val="500" w:hRule="atLeast"/>
        </w:trPr>
        <w:tc>
          <w:tcPr>
            <w:tcW w:w="1266" w:type="dxa"/>
            <w:vMerge w:val="continue"/>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7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070"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积极推广成果使用(年）</w:t>
            </w:r>
          </w:p>
        </w:tc>
        <w:tc>
          <w:tcPr>
            <w:tcW w:w="1462"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462"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r>
      <w:tr>
        <w:tblPrEx>
          <w:tblCellMar>
            <w:top w:w="0" w:type="dxa"/>
            <w:left w:w="0" w:type="dxa"/>
            <w:bottom w:w="0" w:type="dxa"/>
            <w:right w:w="0" w:type="dxa"/>
          </w:tblCellMar>
        </w:tblPrEx>
        <w:trPr>
          <w:trHeight w:val="500" w:hRule="atLeast"/>
        </w:trPr>
        <w:tc>
          <w:tcPr>
            <w:tcW w:w="1266" w:type="dxa"/>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079"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070"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受益人员满意度（%）</w:t>
            </w:r>
          </w:p>
        </w:tc>
        <w:tc>
          <w:tcPr>
            <w:tcW w:w="1462"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≥85%</w:t>
            </w:r>
          </w:p>
        </w:tc>
        <w:tc>
          <w:tcPr>
            <w:tcW w:w="1462" w:type="dxa"/>
            <w:tcBorders>
              <w:top w:val="single" w:color="auto"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85%</w:t>
            </w:r>
          </w:p>
        </w:tc>
      </w:tr>
    </w:tbl>
    <w:p>
      <w:pPr>
        <w:pStyle w:val="24"/>
        <w:pageBreakBefore w:val="0"/>
        <w:widowControl w:val="0"/>
        <w:numPr>
          <w:ilvl w:val="0"/>
          <w:numId w:val="0"/>
        </w:numPr>
        <w:kinsoku/>
        <w:wordWrap/>
        <w:overflowPunct/>
        <w:topLinePunct w:val="0"/>
        <w:autoSpaceDE/>
        <w:autoSpaceDN/>
        <w:bidi w:val="0"/>
        <w:adjustRightInd/>
        <w:snapToGrid/>
        <w:spacing w:before="0" w:after="0" w:line="560" w:lineRule="exact"/>
        <w:ind w:firstLine="964" w:firstLineChars="300"/>
        <w:textAlignment w:val="auto"/>
        <w:rPr>
          <w:lang w:bidi="ar"/>
        </w:rPr>
      </w:pPr>
      <w:r>
        <w:rPr>
          <w:rFonts w:hint="eastAsia" w:ascii="黑体" w:hAnsi="黑体"/>
          <w:lang w:val="en-US" w:eastAsia="zh-CN"/>
        </w:rPr>
        <w:t>五、</w:t>
      </w:r>
      <w:r>
        <w:rPr>
          <w:rFonts w:hint="eastAsia" w:ascii="黑体" w:hAnsi="黑体"/>
        </w:rPr>
        <w:t>主要经验及做法、存在的问题及原因分析</w:t>
      </w:r>
    </w:p>
    <w:p>
      <w:pPr>
        <w:pStyle w:val="26"/>
        <w:pageBreakBefore w:val="0"/>
        <w:widowControl w:val="0"/>
        <w:numPr>
          <w:ilvl w:val="0"/>
          <w:numId w:val="7"/>
        </w:numPr>
        <w:kinsoku/>
        <w:wordWrap/>
        <w:overflowPunct/>
        <w:topLinePunct w:val="0"/>
        <w:autoSpaceDE/>
        <w:autoSpaceDN/>
        <w:bidi w:val="0"/>
        <w:adjustRightInd/>
        <w:snapToGrid/>
        <w:spacing w:before="0" w:after="0" w:line="560" w:lineRule="exact"/>
        <w:ind w:left="0" w:firstLine="643" w:firstLineChars="200"/>
        <w:textAlignment w:val="auto"/>
        <w:rPr>
          <w:lang w:bidi="ar"/>
        </w:rPr>
      </w:pPr>
      <w:r>
        <w:rPr>
          <w:rFonts w:hint="eastAsia"/>
          <w:lang w:bidi="ar"/>
        </w:rPr>
        <w:t>主要经验及做法</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本项目实施效果较好的原因主要是管理制</w:t>
      </w:r>
      <w:bookmarkStart w:id="8" w:name="_GoBack"/>
      <w:bookmarkEnd w:id="8"/>
      <w:r>
        <w:rPr>
          <w:rFonts w:hint="eastAsia" w:ascii="仿宋_GB2312" w:eastAsia="仿宋_GB2312"/>
          <w:sz w:val="32"/>
          <w:szCs w:val="32"/>
          <w:lang w:val="en-US" w:eastAsia="zh-CN"/>
        </w:rPr>
        <w:t>度完善、责任落实到位，跟踪考核机制完善且运行有效，在项目实施过程中创新管理办法，采用文件研读、实地调研、数据分析等方式使项目取得了 指导基层供销社组织建设，改善经营管理，协调社员与社之间的关系，发挥群体联合优势的良好效果。</w:t>
      </w:r>
    </w:p>
    <w:p>
      <w:pPr>
        <w:pStyle w:val="26"/>
        <w:pageBreakBefore w:val="0"/>
        <w:widowControl w:val="0"/>
        <w:numPr>
          <w:ilvl w:val="0"/>
          <w:numId w:val="7"/>
        </w:numPr>
        <w:kinsoku/>
        <w:wordWrap/>
        <w:overflowPunct/>
        <w:topLinePunct w:val="0"/>
        <w:autoSpaceDE/>
        <w:autoSpaceDN/>
        <w:bidi w:val="0"/>
        <w:adjustRightInd/>
        <w:snapToGrid/>
        <w:spacing w:before="0" w:after="0" w:line="560" w:lineRule="exact"/>
        <w:ind w:left="0" w:firstLine="643" w:firstLineChars="200"/>
        <w:textAlignment w:val="auto"/>
        <w:rPr>
          <w:lang w:bidi="ar"/>
        </w:rPr>
      </w:pPr>
      <w:r>
        <w:rPr>
          <w:rFonts w:hint="eastAsia"/>
          <w:lang w:bidi="ar"/>
        </w:rPr>
        <w:t>存在的问题及原因分析</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项目使用过程中管理不够规范，会计人员对新的会计制度还不能真正掌握。</w:t>
      </w:r>
    </w:p>
    <w:p>
      <w:pPr>
        <w:pStyle w:val="24"/>
        <w:pageBreakBefore w:val="0"/>
        <w:widowControl w:val="0"/>
        <w:numPr>
          <w:ilvl w:val="0"/>
          <w:numId w:val="0"/>
        </w:numPr>
        <w:kinsoku/>
        <w:wordWrap/>
        <w:overflowPunct/>
        <w:topLinePunct w:val="0"/>
        <w:autoSpaceDE/>
        <w:autoSpaceDN/>
        <w:bidi w:val="0"/>
        <w:adjustRightInd/>
        <w:snapToGrid/>
        <w:spacing w:before="0" w:after="0" w:line="560" w:lineRule="exact"/>
        <w:ind w:leftChars="200" w:firstLine="321" w:firstLineChars="100"/>
        <w:textAlignment w:val="auto"/>
        <w:rPr>
          <w:rFonts w:ascii="黑体" w:hAnsi="黑体"/>
        </w:rPr>
      </w:pPr>
      <w:r>
        <w:rPr>
          <w:rFonts w:hint="eastAsia" w:ascii="黑体" w:hAnsi="黑体"/>
          <w:lang w:val="en-US" w:eastAsia="zh-CN"/>
        </w:rPr>
        <w:t>六、</w:t>
      </w:r>
      <w:r>
        <w:rPr>
          <w:rFonts w:hint="eastAsia" w:ascii="黑体" w:hAnsi="黑体"/>
        </w:rPr>
        <w:t>有关建议</w:t>
      </w:r>
    </w:p>
    <w:p>
      <w:pPr>
        <w:pStyle w:val="24"/>
        <w:pageBreakBefore w:val="0"/>
        <w:widowControl w:val="0"/>
        <w:kinsoku/>
        <w:wordWrap/>
        <w:overflowPunct/>
        <w:topLinePunct w:val="0"/>
        <w:autoSpaceDE/>
        <w:autoSpaceDN/>
        <w:bidi w:val="0"/>
        <w:adjustRightInd/>
        <w:snapToGrid/>
        <w:spacing w:before="0" w:after="0" w:line="560" w:lineRule="exact"/>
        <w:ind w:firstLine="640"/>
        <w:textAlignment w:val="auto"/>
        <w:rPr>
          <w:rFonts w:ascii="仿宋_GB2312" w:eastAsia="仿宋_GB2312" w:hAnsiTheme="minorHAnsi" w:cstheme="minorBidi"/>
          <w:b w:val="0"/>
          <w:bCs w:val="0"/>
          <w:kern w:val="2"/>
        </w:rPr>
      </w:pPr>
      <w:r>
        <w:rPr>
          <w:rFonts w:hint="eastAsia" w:ascii="仿宋_GB2312" w:eastAsia="仿宋_GB2312" w:hAnsiTheme="minorHAnsi" w:cstheme="minorBidi"/>
          <w:b w:val="0"/>
          <w:bCs w:val="0"/>
          <w:kern w:val="2"/>
          <w:sz w:val="32"/>
          <w:szCs w:val="32"/>
          <w:lang w:val="en-US" w:eastAsia="zh-CN" w:bidi="ar-SA"/>
        </w:rPr>
        <w:t xml:space="preserve"> 加强项目使用及会计人员业务培训力度。</w:t>
      </w:r>
    </w:p>
    <w:p>
      <w:pPr>
        <w:pStyle w:val="24"/>
        <w:pageBreakBefore w:val="0"/>
        <w:widowControl w:val="0"/>
        <w:numPr>
          <w:ilvl w:val="0"/>
          <w:numId w:val="0"/>
        </w:numPr>
        <w:kinsoku/>
        <w:wordWrap/>
        <w:overflowPunct/>
        <w:topLinePunct w:val="0"/>
        <w:autoSpaceDE/>
        <w:autoSpaceDN/>
        <w:bidi w:val="0"/>
        <w:adjustRightInd/>
        <w:snapToGrid/>
        <w:spacing w:before="0" w:after="0" w:line="560" w:lineRule="exact"/>
        <w:ind w:leftChars="200" w:firstLine="321" w:firstLineChars="100"/>
        <w:textAlignment w:val="auto"/>
        <w:rPr>
          <w:rFonts w:ascii="黑体" w:hAnsi="黑体"/>
        </w:rPr>
      </w:pPr>
      <w:r>
        <w:rPr>
          <w:rFonts w:hint="eastAsia" w:ascii="黑体" w:hAnsi="黑体"/>
          <w:lang w:val="en-US" w:eastAsia="zh-CN"/>
        </w:rPr>
        <w:t>七、</w:t>
      </w:r>
      <w:r>
        <w:rPr>
          <w:rFonts w:hint="eastAsia" w:ascii="黑体" w:hAnsi="黑体"/>
        </w:rPr>
        <w:t>其他需要说明的问题</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无其他说明情况</w:t>
      </w:r>
    </w:p>
    <w:p>
      <w:pPr>
        <w:spacing w:before="120" w:beforeLines="50" w:line="600" w:lineRule="exact"/>
        <w:ind w:firstLine="640" w:firstLineChars="200"/>
        <w:rPr>
          <w:rFonts w:ascii="仿宋_GB2312" w:eastAsia="仿宋_GB2312"/>
          <w:sz w:val="32"/>
          <w:szCs w:val="32"/>
        </w:rPr>
      </w:pPr>
    </w:p>
    <w:p>
      <w:pPr>
        <w:spacing w:before="120" w:beforeLines="50" w:line="600" w:lineRule="exact"/>
        <w:ind w:firstLine="640" w:firstLineChars="200"/>
        <w:rPr>
          <w:rFonts w:ascii="仿宋_GB2312" w:eastAsia="仿宋_GB2312"/>
          <w:sz w:val="32"/>
          <w:szCs w:val="32"/>
        </w:rPr>
      </w:pPr>
    </w:p>
    <w:p>
      <w:pPr>
        <w:spacing w:before="120" w:beforeLines="50" w:line="600" w:lineRule="exact"/>
        <w:ind w:firstLine="640" w:firstLineChars="200"/>
        <w:rPr>
          <w:rFonts w:ascii="仿宋_GB2312" w:eastAsia="仿宋_GB2312"/>
          <w:sz w:val="32"/>
          <w:szCs w:val="32"/>
        </w:rPr>
      </w:pPr>
    </w:p>
    <w:p>
      <w:pPr>
        <w:spacing w:before="120"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附件1：喀什地区叶城县供销社单位精准扶贫信息管理平台建设项目支出绩效目标申报表</w:t>
      </w:r>
    </w:p>
    <w:p>
      <w:pPr>
        <w:spacing w:before="120"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附件2：喀什地区叶城县供销社单位精准扶贫信息管理平台建设项目支出绩效自评表</w:t>
      </w:r>
    </w:p>
    <w:p>
      <w:pPr>
        <w:spacing w:before="120"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附件3：喀什地区叶城县供销社单位精准扶贫信息管理平台建设项目支出绩效评价指标体系</w:t>
      </w:r>
    </w:p>
    <w:p>
      <w:pPr>
        <w:spacing w:before="120" w:beforeLines="50" w:line="600" w:lineRule="exact"/>
        <w:ind w:firstLine="640" w:firstLineChars="200"/>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附件4：喀什地区部门支出绩效评价评分表</w:t>
      </w: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3EC64C"/>
    <w:multiLevelType w:val="singleLevel"/>
    <w:tmpl w:val="B53EC64C"/>
    <w:lvl w:ilvl="0" w:tentative="0">
      <w:start w:val="2"/>
      <w:numFmt w:val="chineseCounting"/>
      <w:suff w:val="nothing"/>
      <w:lvlText w:val="（%1）"/>
      <w:lvlJc w:val="left"/>
      <w:rPr>
        <w:rFonts w:hint="eastAsia"/>
      </w:rPr>
    </w:lvl>
  </w:abstractNum>
  <w:abstractNum w:abstractNumId="1">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2">
    <w:nsid w:val="3A7260C0"/>
    <w:multiLevelType w:val="multilevel"/>
    <w:tmpl w:val="3A7260C0"/>
    <w:lvl w:ilvl="0" w:tentative="0">
      <w:start w:val="1"/>
      <w:numFmt w:val="chineseCountingThousand"/>
      <w:pStyle w:val="26"/>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2"/>
  </w:num>
  <w:num w:numId="2">
    <w:abstractNumId w:val="5"/>
  </w:num>
  <w:num w:numId="3">
    <w:abstractNumId w:val="3"/>
  </w:num>
  <w:num w:numId="4">
    <w:abstractNumId w:val="1"/>
  </w:num>
  <w:num w:numId="5">
    <w:abstractNumId w:val="0"/>
  </w:num>
  <w:num w:numId="6">
    <w:abstractNumId w:val="4"/>
  </w:num>
  <w:num w:numId="7">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0"/>
  <w:drawingGridHorizontalSpacing w:val="21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715"/>
    <w:rsid w:val="00022413"/>
    <w:rsid w:val="00037F93"/>
    <w:rsid w:val="00042126"/>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D5FF2"/>
    <w:rsid w:val="001D6F2E"/>
    <w:rsid w:val="00203FB6"/>
    <w:rsid w:val="00233ECE"/>
    <w:rsid w:val="002A1BF4"/>
    <w:rsid w:val="002B3A72"/>
    <w:rsid w:val="002C2C91"/>
    <w:rsid w:val="002C6231"/>
    <w:rsid w:val="002E10CA"/>
    <w:rsid w:val="002F7CDC"/>
    <w:rsid w:val="00324E56"/>
    <w:rsid w:val="00331AF1"/>
    <w:rsid w:val="003468D7"/>
    <w:rsid w:val="00363E52"/>
    <w:rsid w:val="00382736"/>
    <w:rsid w:val="003855CF"/>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5225F1"/>
    <w:rsid w:val="00531253"/>
    <w:rsid w:val="00540B36"/>
    <w:rsid w:val="00563E06"/>
    <w:rsid w:val="0058554B"/>
    <w:rsid w:val="00596DDF"/>
    <w:rsid w:val="005B6EAB"/>
    <w:rsid w:val="005C70AD"/>
    <w:rsid w:val="005D7AC7"/>
    <w:rsid w:val="00630E69"/>
    <w:rsid w:val="006362B2"/>
    <w:rsid w:val="0065420A"/>
    <w:rsid w:val="006869EC"/>
    <w:rsid w:val="00694A44"/>
    <w:rsid w:val="006D0AA4"/>
    <w:rsid w:val="006F2513"/>
    <w:rsid w:val="006F64CB"/>
    <w:rsid w:val="0071759F"/>
    <w:rsid w:val="007253B3"/>
    <w:rsid w:val="00731D46"/>
    <w:rsid w:val="00734BAD"/>
    <w:rsid w:val="00752C57"/>
    <w:rsid w:val="00781733"/>
    <w:rsid w:val="007C5CF9"/>
    <w:rsid w:val="007D340B"/>
    <w:rsid w:val="007E6392"/>
    <w:rsid w:val="007F3C25"/>
    <w:rsid w:val="00811F2D"/>
    <w:rsid w:val="00815938"/>
    <w:rsid w:val="008226BA"/>
    <w:rsid w:val="00827DA6"/>
    <w:rsid w:val="00835103"/>
    <w:rsid w:val="00854416"/>
    <w:rsid w:val="00866F54"/>
    <w:rsid w:val="00883FF2"/>
    <w:rsid w:val="008864A7"/>
    <w:rsid w:val="0089293E"/>
    <w:rsid w:val="00893E6C"/>
    <w:rsid w:val="008D7BC7"/>
    <w:rsid w:val="0090104C"/>
    <w:rsid w:val="00982B10"/>
    <w:rsid w:val="009C0267"/>
    <w:rsid w:val="009E5354"/>
    <w:rsid w:val="00A10F1E"/>
    <w:rsid w:val="00A12A0C"/>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6063F"/>
    <w:rsid w:val="00B9042A"/>
    <w:rsid w:val="00BA0855"/>
    <w:rsid w:val="00BA65AD"/>
    <w:rsid w:val="00BC7696"/>
    <w:rsid w:val="00C2671D"/>
    <w:rsid w:val="00C563AA"/>
    <w:rsid w:val="00C71FF0"/>
    <w:rsid w:val="00C77259"/>
    <w:rsid w:val="00C97E2D"/>
    <w:rsid w:val="00D043D7"/>
    <w:rsid w:val="00D117FB"/>
    <w:rsid w:val="00D23C2E"/>
    <w:rsid w:val="00D61EC8"/>
    <w:rsid w:val="00D93516"/>
    <w:rsid w:val="00DA7F4C"/>
    <w:rsid w:val="00DC5F94"/>
    <w:rsid w:val="00DE152F"/>
    <w:rsid w:val="00DE293B"/>
    <w:rsid w:val="00E05626"/>
    <w:rsid w:val="00E24B3E"/>
    <w:rsid w:val="00E25B2F"/>
    <w:rsid w:val="00E373A5"/>
    <w:rsid w:val="00E66A4D"/>
    <w:rsid w:val="00E72B1C"/>
    <w:rsid w:val="00E96169"/>
    <w:rsid w:val="00EA5ADC"/>
    <w:rsid w:val="00F0780F"/>
    <w:rsid w:val="00F16D54"/>
    <w:rsid w:val="00F6015C"/>
    <w:rsid w:val="00F75715"/>
    <w:rsid w:val="00FB2E2F"/>
    <w:rsid w:val="00FD300A"/>
    <w:rsid w:val="00FF137F"/>
    <w:rsid w:val="00FF6959"/>
    <w:rsid w:val="00FF6C14"/>
    <w:rsid w:val="01080CC4"/>
    <w:rsid w:val="0119647A"/>
    <w:rsid w:val="01763BED"/>
    <w:rsid w:val="019B0F39"/>
    <w:rsid w:val="01A36D44"/>
    <w:rsid w:val="01BE6316"/>
    <w:rsid w:val="0212626A"/>
    <w:rsid w:val="02510F9A"/>
    <w:rsid w:val="026C4D7F"/>
    <w:rsid w:val="0283413C"/>
    <w:rsid w:val="02E10390"/>
    <w:rsid w:val="03277416"/>
    <w:rsid w:val="0357349B"/>
    <w:rsid w:val="03666C02"/>
    <w:rsid w:val="03E352BE"/>
    <w:rsid w:val="03EA07DF"/>
    <w:rsid w:val="0404133E"/>
    <w:rsid w:val="04111484"/>
    <w:rsid w:val="044B03B5"/>
    <w:rsid w:val="04875678"/>
    <w:rsid w:val="048C7D95"/>
    <w:rsid w:val="048F5042"/>
    <w:rsid w:val="049D12B5"/>
    <w:rsid w:val="0510387D"/>
    <w:rsid w:val="054B1B7C"/>
    <w:rsid w:val="05B428CE"/>
    <w:rsid w:val="06533BE6"/>
    <w:rsid w:val="06827227"/>
    <w:rsid w:val="06D16BAA"/>
    <w:rsid w:val="06DB3465"/>
    <w:rsid w:val="06EF6240"/>
    <w:rsid w:val="070434D4"/>
    <w:rsid w:val="07206CF3"/>
    <w:rsid w:val="072D3B6D"/>
    <w:rsid w:val="073F3F82"/>
    <w:rsid w:val="0757707D"/>
    <w:rsid w:val="07AE4845"/>
    <w:rsid w:val="07E56602"/>
    <w:rsid w:val="085561C1"/>
    <w:rsid w:val="088B2433"/>
    <w:rsid w:val="08975B90"/>
    <w:rsid w:val="08EE1CBB"/>
    <w:rsid w:val="0902268F"/>
    <w:rsid w:val="0963591E"/>
    <w:rsid w:val="09AB2BAD"/>
    <w:rsid w:val="09E726E2"/>
    <w:rsid w:val="09EE576E"/>
    <w:rsid w:val="0A17304E"/>
    <w:rsid w:val="0A555DE7"/>
    <w:rsid w:val="0A5C778D"/>
    <w:rsid w:val="0A8F4E99"/>
    <w:rsid w:val="0A93205C"/>
    <w:rsid w:val="0B6E6A25"/>
    <w:rsid w:val="0BDA4140"/>
    <w:rsid w:val="0BE970B5"/>
    <w:rsid w:val="0BFE317A"/>
    <w:rsid w:val="0C3F4BC8"/>
    <w:rsid w:val="0C432F86"/>
    <w:rsid w:val="0CE84ED5"/>
    <w:rsid w:val="0D5912B8"/>
    <w:rsid w:val="0D63033B"/>
    <w:rsid w:val="0DC14E6E"/>
    <w:rsid w:val="0DC4335A"/>
    <w:rsid w:val="0DE26064"/>
    <w:rsid w:val="0EEE6C0A"/>
    <w:rsid w:val="0F094FA7"/>
    <w:rsid w:val="0F4944D4"/>
    <w:rsid w:val="0F797D62"/>
    <w:rsid w:val="0F947802"/>
    <w:rsid w:val="0FB02521"/>
    <w:rsid w:val="0FD0053E"/>
    <w:rsid w:val="0FE74EEF"/>
    <w:rsid w:val="10291CBB"/>
    <w:rsid w:val="103436A8"/>
    <w:rsid w:val="103B1B38"/>
    <w:rsid w:val="10530FDA"/>
    <w:rsid w:val="10777C7D"/>
    <w:rsid w:val="10BC78B1"/>
    <w:rsid w:val="10E07FF5"/>
    <w:rsid w:val="10E612B3"/>
    <w:rsid w:val="11024166"/>
    <w:rsid w:val="11300C35"/>
    <w:rsid w:val="119E5B7D"/>
    <w:rsid w:val="11B13683"/>
    <w:rsid w:val="12511B36"/>
    <w:rsid w:val="12A66DF2"/>
    <w:rsid w:val="12D51CEB"/>
    <w:rsid w:val="14113C61"/>
    <w:rsid w:val="149001E2"/>
    <w:rsid w:val="14E068D0"/>
    <w:rsid w:val="15063B8E"/>
    <w:rsid w:val="152C7BAE"/>
    <w:rsid w:val="1558619F"/>
    <w:rsid w:val="16134E84"/>
    <w:rsid w:val="16E26787"/>
    <w:rsid w:val="17780F9B"/>
    <w:rsid w:val="17A34F6E"/>
    <w:rsid w:val="17F21AB9"/>
    <w:rsid w:val="181B00BB"/>
    <w:rsid w:val="183349E2"/>
    <w:rsid w:val="1833717A"/>
    <w:rsid w:val="185D1EA4"/>
    <w:rsid w:val="18F83FCF"/>
    <w:rsid w:val="19292CC9"/>
    <w:rsid w:val="193608C5"/>
    <w:rsid w:val="19386C69"/>
    <w:rsid w:val="19C85E81"/>
    <w:rsid w:val="19E16374"/>
    <w:rsid w:val="19EC48A5"/>
    <w:rsid w:val="19FE44F8"/>
    <w:rsid w:val="1A2534E7"/>
    <w:rsid w:val="1A3866C9"/>
    <w:rsid w:val="1A514F4D"/>
    <w:rsid w:val="1A5E3F97"/>
    <w:rsid w:val="1AE16721"/>
    <w:rsid w:val="1AF34667"/>
    <w:rsid w:val="1AFD738A"/>
    <w:rsid w:val="1B04582A"/>
    <w:rsid w:val="1B525A1C"/>
    <w:rsid w:val="1B7E5880"/>
    <w:rsid w:val="1B992173"/>
    <w:rsid w:val="1BD04787"/>
    <w:rsid w:val="1C4C18D7"/>
    <w:rsid w:val="1C984070"/>
    <w:rsid w:val="1C9975A7"/>
    <w:rsid w:val="1D0A6197"/>
    <w:rsid w:val="1D401FDC"/>
    <w:rsid w:val="1D8A0532"/>
    <w:rsid w:val="1DA4149F"/>
    <w:rsid w:val="1DC046DE"/>
    <w:rsid w:val="1DD07433"/>
    <w:rsid w:val="1DED5D7D"/>
    <w:rsid w:val="1E435C37"/>
    <w:rsid w:val="1EEC26FF"/>
    <w:rsid w:val="1F8731E8"/>
    <w:rsid w:val="1FC24E75"/>
    <w:rsid w:val="1FC80AFE"/>
    <w:rsid w:val="1FE74CB6"/>
    <w:rsid w:val="20100449"/>
    <w:rsid w:val="20E2340E"/>
    <w:rsid w:val="217F35A7"/>
    <w:rsid w:val="21961EB5"/>
    <w:rsid w:val="21AE0DC9"/>
    <w:rsid w:val="21E95BCA"/>
    <w:rsid w:val="22A012AE"/>
    <w:rsid w:val="22DE7E26"/>
    <w:rsid w:val="23100CEF"/>
    <w:rsid w:val="233D61F6"/>
    <w:rsid w:val="234A15FE"/>
    <w:rsid w:val="23790753"/>
    <w:rsid w:val="245260CD"/>
    <w:rsid w:val="24C01110"/>
    <w:rsid w:val="24E73B1F"/>
    <w:rsid w:val="250B3B5A"/>
    <w:rsid w:val="25C87653"/>
    <w:rsid w:val="2637078B"/>
    <w:rsid w:val="263B0304"/>
    <w:rsid w:val="26D155EB"/>
    <w:rsid w:val="26F03C06"/>
    <w:rsid w:val="27003330"/>
    <w:rsid w:val="27033F80"/>
    <w:rsid w:val="272C739F"/>
    <w:rsid w:val="27D93E41"/>
    <w:rsid w:val="28011A4F"/>
    <w:rsid w:val="283C6AA9"/>
    <w:rsid w:val="286E53CB"/>
    <w:rsid w:val="28DB12BA"/>
    <w:rsid w:val="29665481"/>
    <w:rsid w:val="299C12C9"/>
    <w:rsid w:val="299F44E3"/>
    <w:rsid w:val="2A3A4408"/>
    <w:rsid w:val="2A547683"/>
    <w:rsid w:val="2A571E54"/>
    <w:rsid w:val="2AA10B05"/>
    <w:rsid w:val="2AB859AF"/>
    <w:rsid w:val="2AD71064"/>
    <w:rsid w:val="2AF64E79"/>
    <w:rsid w:val="2B95640D"/>
    <w:rsid w:val="2C77263F"/>
    <w:rsid w:val="2CC40607"/>
    <w:rsid w:val="2D647B8F"/>
    <w:rsid w:val="2D820AD7"/>
    <w:rsid w:val="2E015D7F"/>
    <w:rsid w:val="2E027E4D"/>
    <w:rsid w:val="2E3A152B"/>
    <w:rsid w:val="2E3B7353"/>
    <w:rsid w:val="2E667D9D"/>
    <w:rsid w:val="2EDF29C5"/>
    <w:rsid w:val="2EE11275"/>
    <w:rsid w:val="2F0C7B30"/>
    <w:rsid w:val="2F1D689E"/>
    <w:rsid w:val="2FC52891"/>
    <w:rsid w:val="2FED32C3"/>
    <w:rsid w:val="30097E0F"/>
    <w:rsid w:val="306A4501"/>
    <w:rsid w:val="309973AF"/>
    <w:rsid w:val="30CE2015"/>
    <w:rsid w:val="310C4ECF"/>
    <w:rsid w:val="31484FF3"/>
    <w:rsid w:val="31C366C0"/>
    <w:rsid w:val="31EA7758"/>
    <w:rsid w:val="32521BC2"/>
    <w:rsid w:val="325E15F3"/>
    <w:rsid w:val="32FD37CF"/>
    <w:rsid w:val="33034474"/>
    <w:rsid w:val="33CA34B6"/>
    <w:rsid w:val="33D47187"/>
    <w:rsid w:val="33DF6510"/>
    <w:rsid w:val="34340CCE"/>
    <w:rsid w:val="343768EB"/>
    <w:rsid w:val="34755365"/>
    <w:rsid w:val="34B5331A"/>
    <w:rsid w:val="34CB7BAB"/>
    <w:rsid w:val="35365D31"/>
    <w:rsid w:val="35CD2B71"/>
    <w:rsid w:val="360706DC"/>
    <w:rsid w:val="3638291C"/>
    <w:rsid w:val="367F7DDD"/>
    <w:rsid w:val="36A96FBA"/>
    <w:rsid w:val="37730EB8"/>
    <w:rsid w:val="379B004E"/>
    <w:rsid w:val="37A42A53"/>
    <w:rsid w:val="38CE4284"/>
    <w:rsid w:val="38DA3E2A"/>
    <w:rsid w:val="39322485"/>
    <w:rsid w:val="39705EC3"/>
    <w:rsid w:val="39AD6B2E"/>
    <w:rsid w:val="39E668E9"/>
    <w:rsid w:val="3A437F15"/>
    <w:rsid w:val="3A7B7934"/>
    <w:rsid w:val="3AA25E1B"/>
    <w:rsid w:val="3AC03651"/>
    <w:rsid w:val="3B1809DE"/>
    <w:rsid w:val="3B3624A7"/>
    <w:rsid w:val="3B5F2ECC"/>
    <w:rsid w:val="3BC01B4C"/>
    <w:rsid w:val="3BE44F63"/>
    <w:rsid w:val="3BFE044A"/>
    <w:rsid w:val="3CBC04E8"/>
    <w:rsid w:val="3D1A01C7"/>
    <w:rsid w:val="3D6855C5"/>
    <w:rsid w:val="3DC26DAD"/>
    <w:rsid w:val="3E1F2B99"/>
    <w:rsid w:val="3EA17E4A"/>
    <w:rsid w:val="3F8D2BB1"/>
    <w:rsid w:val="40D01D86"/>
    <w:rsid w:val="411048FF"/>
    <w:rsid w:val="41977209"/>
    <w:rsid w:val="421158C4"/>
    <w:rsid w:val="42AD66D6"/>
    <w:rsid w:val="42B65260"/>
    <w:rsid w:val="43CE4D95"/>
    <w:rsid w:val="43EB7E1B"/>
    <w:rsid w:val="44CB6FEB"/>
    <w:rsid w:val="44E23628"/>
    <w:rsid w:val="450C2E40"/>
    <w:rsid w:val="46C16BC4"/>
    <w:rsid w:val="47057301"/>
    <w:rsid w:val="470E188D"/>
    <w:rsid w:val="4778489A"/>
    <w:rsid w:val="47F20EA1"/>
    <w:rsid w:val="485F143C"/>
    <w:rsid w:val="48C236AC"/>
    <w:rsid w:val="493F0294"/>
    <w:rsid w:val="495D50A8"/>
    <w:rsid w:val="4988298A"/>
    <w:rsid w:val="498F126A"/>
    <w:rsid w:val="49A251A5"/>
    <w:rsid w:val="4AC24F5E"/>
    <w:rsid w:val="4BAA06AE"/>
    <w:rsid w:val="4BD1555B"/>
    <w:rsid w:val="4C5F100C"/>
    <w:rsid w:val="4D635C00"/>
    <w:rsid w:val="4D81454C"/>
    <w:rsid w:val="4D8A1079"/>
    <w:rsid w:val="4EB41509"/>
    <w:rsid w:val="4EBE2E90"/>
    <w:rsid w:val="4F0616B1"/>
    <w:rsid w:val="4F1972CC"/>
    <w:rsid w:val="4F9069E4"/>
    <w:rsid w:val="4FB579D6"/>
    <w:rsid w:val="502809FE"/>
    <w:rsid w:val="5062675F"/>
    <w:rsid w:val="509F44DE"/>
    <w:rsid w:val="50E045BC"/>
    <w:rsid w:val="50E32083"/>
    <w:rsid w:val="5117199A"/>
    <w:rsid w:val="51853095"/>
    <w:rsid w:val="52032ABD"/>
    <w:rsid w:val="523F77E4"/>
    <w:rsid w:val="525D13BC"/>
    <w:rsid w:val="52AB278C"/>
    <w:rsid w:val="52C47E4F"/>
    <w:rsid w:val="52C90E75"/>
    <w:rsid w:val="533E0613"/>
    <w:rsid w:val="535F6BE5"/>
    <w:rsid w:val="53F16E61"/>
    <w:rsid w:val="541847F4"/>
    <w:rsid w:val="546F1797"/>
    <w:rsid w:val="557C1255"/>
    <w:rsid w:val="55945462"/>
    <w:rsid w:val="55BA4A07"/>
    <w:rsid w:val="55FD5812"/>
    <w:rsid w:val="56BA4315"/>
    <w:rsid w:val="56D272A2"/>
    <w:rsid w:val="57964064"/>
    <w:rsid w:val="57B074D7"/>
    <w:rsid w:val="57B770EC"/>
    <w:rsid w:val="58242FDB"/>
    <w:rsid w:val="5841797F"/>
    <w:rsid w:val="58C703FC"/>
    <w:rsid w:val="58F51EB4"/>
    <w:rsid w:val="593F51A4"/>
    <w:rsid w:val="59B054FD"/>
    <w:rsid w:val="59E24AAF"/>
    <w:rsid w:val="5A781A20"/>
    <w:rsid w:val="5AC634CE"/>
    <w:rsid w:val="5B0A31B6"/>
    <w:rsid w:val="5B266C46"/>
    <w:rsid w:val="5B535231"/>
    <w:rsid w:val="5B946AB7"/>
    <w:rsid w:val="5BBE70A2"/>
    <w:rsid w:val="5BBF470C"/>
    <w:rsid w:val="5BDD4DDE"/>
    <w:rsid w:val="5C3766D6"/>
    <w:rsid w:val="5C4E5CFB"/>
    <w:rsid w:val="5C6152B4"/>
    <w:rsid w:val="5C94290B"/>
    <w:rsid w:val="5C9C3738"/>
    <w:rsid w:val="5CA442D1"/>
    <w:rsid w:val="5CCC256A"/>
    <w:rsid w:val="5CEC1815"/>
    <w:rsid w:val="5CF8210E"/>
    <w:rsid w:val="5D340333"/>
    <w:rsid w:val="5D3E78C2"/>
    <w:rsid w:val="5D8049E0"/>
    <w:rsid w:val="5DD51679"/>
    <w:rsid w:val="5E9B50B5"/>
    <w:rsid w:val="5EBD7F9F"/>
    <w:rsid w:val="5EEE0B6F"/>
    <w:rsid w:val="5EFF6B8B"/>
    <w:rsid w:val="5F283C0D"/>
    <w:rsid w:val="600E2990"/>
    <w:rsid w:val="608904CA"/>
    <w:rsid w:val="61244A64"/>
    <w:rsid w:val="61964ACB"/>
    <w:rsid w:val="61BB5060"/>
    <w:rsid w:val="61E4253E"/>
    <w:rsid w:val="6283348D"/>
    <w:rsid w:val="62D83767"/>
    <w:rsid w:val="6304614D"/>
    <w:rsid w:val="630B6377"/>
    <w:rsid w:val="63686BBC"/>
    <w:rsid w:val="639D22B6"/>
    <w:rsid w:val="63FB7BF0"/>
    <w:rsid w:val="64A623B4"/>
    <w:rsid w:val="64D77E08"/>
    <w:rsid w:val="64FC5CA0"/>
    <w:rsid w:val="6610143D"/>
    <w:rsid w:val="66626652"/>
    <w:rsid w:val="667765BF"/>
    <w:rsid w:val="669D2764"/>
    <w:rsid w:val="66C31E3D"/>
    <w:rsid w:val="67045516"/>
    <w:rsid w:val="671F1B00"/>
    <w:rsid w:val="67897971"/>
    <w:rsid w:val="67FE3DCF"/>
    <w:rsid w:val="68085F62"/>
    <w:rsid w:val="688658EC"/>
    <w:rsid w:val="68AC0EA3"/>
    <w:rsid w:val="68F00EAF"/>
    <w:rsid w:val="696A7D8B"/>
    <w:rsid w:val="697E1E18"/>
    <w:rsid w:val="69D970D0"/>
    <w:rsid w:val="69EF1BA7"/>
    <w:rsid w:val="69FF5300"/>
    <w:rsid w:val="6A2752F8"/>
    <w:rsid w:val="6A6679C9"/>
    <w:rsid w:val="6AD05405"/>
    <w:rsid w:val="6AD646B3"/>
    <w:rsid w:val="6AED092F"/>
    <w:rsid w:val="6B2F0367"/>
    <w:rsid w:val="6B7737F3"/>
    <w:rsid w:val="6BB23D62"/>
    <w:rsid w:val="6BC442DA"/>
    <w:rsid w:val="6C42248F"/>
    <w:rsid w:val="6CF42DB2"/>
    <w:rsid w:val="6D65193A"/>
    <w:rsid w:val="6D9E1F59"/>
    <w:rsid w:val="6DA7791B"/>
    <w:rsid w:val="6DF5527B"/>
    <w:rsid w:val="6E8B56D5"/>
    <w:rsid w:val="6E8E1B61"/>
    <w:rsid w:val="6EB85B27"/>
    <w:rsid w:val="6EBF0085"/>
    <w:rsid w:val="6EC060B3"/>
    <w:rsid w:val="6EC23700"/>
    <w:rsid w:val="6EE31F55"/>
    <w:rsid w:val="6FAA1D28"/>
    <w:rsid w:val="6FC77CA0"/>
    <w:rsid w:val="701B0C55"/>
    <w:rsid w:val="7066156A"/>
    <w:rsid w:val="7223581B"/>
    <w:rsid w:val="723C6AE9"/>
    <w:rsid w:val="736B5ED7"/>
    <w:rsid w:val="736F02A1"/>
    <w:rsid w:val="74167030"/>
    <w:rsid w:val="741E05E1"/>
    <w:rsid w:val="746B6598"/>
    <w:rsid w:val="74E66183"/>
    <w:rsid w:val="751B56BA"/>
    <w:rsid w:val="759A57B2"/>
    <w:rsid w:val="75B00B8F"/>
    <w:rsid w:val="75BC15EF"/>
    <w:rsid w:val="75CC68C0"/>
    <w:rsid w:val="7607214D"/>
    <w:rsid w:val="76435935"/>
    <w:rsid w:val="768E64F5"/>
    <w:rsid w:val="76974591"/>
    <w:rsid w:val="76AD5B7D"/>
    <w:rsid w:val="76C72C84"/>
    <w:rsid w:val="77073D72"/>
    <w:rsid w:val="775D5E03"/>
    <w:rsid w:val="7775238E"/>
    <w:rsid w:val="777C5E67"/>
    <w:rsid w:val="778767AF"/>
    <w:rsid w:val="77902A7A"/>
    <w:rsid w:val="77B3135B"/>
    <w:rsid w:val="785669F4"/>
    <w:rsid w:val="793936EB"/>
    <w:rsid w:val="79AD5FA8"/>
    <w:rsid w:val="7A8638D9"/>
    <w:rsid w:val="7ABA5692"/>
    <w:rsid w:val="7ADD5101"/>
    <w:rsid w:val="7B466F28"/>
    <w:rsid w:val="7B497091"/>
    <w:rsid w:val="7BC14679"/>
    <w:rsid w:val="7BC9017A"/>
    <w:rsid w:val="7C062CB4"/>
    <w:rsid w:val="7C0C0E39"/>
    <w:rsid w:val="7C8B78DF"/>
    <w:rsid w:val="7CCC29E9"/>
    <w:rsid w:val="7E6C265C"/>
    <w:rsid w:val="7E7D689D"/>
    <w:rsid w:val="7EDB656B"/>
    <w:rsid w:val="7EE4114E"/>
    <w:rsid w:val="7EF02D3A"/>
    <w:rsid w:val="7F9D6A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9"/>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5"/>
    <w:semiHidden/>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semiHidden/>
    <w:unhideWhenUsed/>
    <w:qFormat/>
    <w:uiPriority w:val="99"/>
    <w:pPr>
      <w:jc w:val="left"/>
    </w:pPr>
  </w:style>
  <w:style w:type="paragraph" w:styleId="6">
    <w:name w:val="toc 3"/>
    <w:basedOn w:val="1"/>
    <w:next w:val="1"/>
    <w:semiHidden/>
    <w:unhideWhenUsed/>
    <w:qFormat/>
    <w:uiPriority w:val="39"/>
    <w:rPr>
      <w:rFonts w:eastAsia="仿宋_GB2312"/>
      <w:sz w:val="28"/>
    </w:rPr>
  </w:style>
  <w:style w:type="paragraph" w:styleId="7">
    <w:name w:val="Balloon Text"/>
    <w:basedOn w:val="1"/>
    <w:link w:val="23"/>
    <w:semiHidden/>
    <w:unhideWhenUsed/>
    <w:qFormat/>
    <w:uiPriority w:val="99"/>
    <w:rPr>
      <w:sz w:val="18"/>
      <w:szCs w:val="18"/>
    </w:rPr>
  </w:style>
  <w:style w:type="paragraph" w:styleId="8">
    <w:name w:val="footer"/>
    <w:basedOn w:val="1"/>
    <w:link w:val="22"/>
    <w:unhideWhenUsed/>
    <w:qFormat/>
    <w:uiPriority w:val="99"/>
    <w:pPr>
      <w:tabs>
        <w:tab w:val="center" w:pos="4153"/>
        <w:tab w:val="right" w:pos="8306"/>
      </w:tabs>
      <w:snapToGrid w:val="0"/>
      <w:jc w:val="left"/>
    </w:pPr>
    <w:rPr>
      <w:sz w:val="18"/>
      <w:szCs w:val="18"/>
    </w:rPr>
  </w:style>
  <w:style w:type="paragraph" w:styleId="9">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rPr>
      <w:rFonts w:eastAsia="仿宋_GB2312"/>
      <w:sz w:val="28"/>
    </w:rPr>
  </w:style>
  <w:style w:type="paragraph" w:styleId="11">
    <w:name w:val="toc 2"/>
    <w:basedOn w:val="1"/>
    <w:next w:val="1"/>
    <w:unhideWhenUsed/>
    <w:qFormat/>
    <w:uiPriority w:val="39"/>
    <w:rPr>
      <w:rFonts w:eastAsia="仿宋_GB2312"/>
      <w:sz w:val="2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0"/>
    <w:rPr>
      <w:b/>
      <w:bCs/>
    </w:rPr>
  </w:style>
  <w:style w:type="character" w:styleId="17">
    <w:name w:val="Hyperlink"/>
    <w:basedOn w:val="15"/>
    <w:unhideWhenUsed/>
    <w:qFormat/>
    <w:uiPriority w:val="99"/>
    <w:rPr>
      <w:color w:val="0563C1" w:themeColor="hyperlink"/>
      <w:u w:val="single"/>
      <w14:textFill>
        <w14:solidFill>
          <w14:schemeClr w14:val="hlink"/>
        </w14:solidFill>
      </w14:textFill>
    </w:rPr>
  </w:style>
  <w:style w:type="character" w:styleId="18">
    <w:name w:val="annotation reference"/>
    <w:basedOn w:val="15"/>
    <w:semiHidden/>
    <w:unhideWhenUsed/>
    <w:qFormat/>
    <w:uiPriority w:val="99"/>
    <w:rPr>
      <w:sz w:val="21"/>
      <w:szCs w:val="21"/>
    </w:rPr>
  </w:style>
  <w:style w:type="character" w:customStyle="1" w:styleId="19">
    <w:name w:val="标题 1 Char"/>
    <w:basedOn w:val="15"/>
    <w:link w:val="2"/>
    <w:qFormat/>
    <w:uiPriority w:val="9"/>
    <w:rPr>
      <w:rFonts w:ascii="Times New Roman" w:hAnsi="Times New Roman" w:eastAsia="黑体" w:cs="Arial"/>
      <w:b/>
      <w:bCs/>
      <w:kern w:val="44"/>
      <w:sz w:val="28"/>
      <w:szCs w:val="44"/>
    </w:rPr>
  </w:style>
  <w:style w:type="paragraph" w:styleId="20">
    <w:name w:val="List Paragraph"/>
    <w:basedOn w:val="1"/>
    <w:qFormat/>
    <w:uiPriority w:val="34"/>
    <w:pPr>
      <w:ind w:firstLine="420" w:firstLineChars="200"/>
    </w:pPr>
  </w:style>
  <w:style w:type="character" w:customStyle="1" w:styleId="21">
    <w:name w:val="页眉 Char"/>
    <w:basedOn w:val="15"/>
    <w:link w:val="9"/>
    <w:qFormat/>
    <w:uiPriority w:val="99"/>
    <w:rPr>
      <w:sz w:val="18"/>
      <w:szCs w:val="18"/>
    </w:rPr>
  </w:style>
  <w:style w:type="character" w:customStyle="1" w:styleId="22">
    <w:name w:val="页脚 Char"/>
    <w:basedOn w:val="15"/>
    <w:link w:val="8"/>
    <w:qFormat/>
    <w:uiPriority w:val="99"/>
    <w:rPr>
      <w:sz w:val="18"/>
      <w:szCs w:val="18"/>
    </w:rPr>
  </w:style>
  <w:style w:type="character" w:customStyle="1" w:styleId="23">
    <w:name w:val="批注框文本 Char"/>
    <w:basedOn w:val="15"/>
    <w:link w:val="7"/>
    <w:semiHidden/>
    <w:qFormat/>
    <w:uiPriority w:val="99"/>
    <w:rPr>
      <w:sz w:val="18"/>
      <w:szCs w:val="18"/>
    </w:rPr>
  </w:style>
  <w:style w:type="paragraph" w:customStyle="1" w:styleId="24">
    <w:name w:val="标题1"/>
    <w:basedOn w:val="2"/>
    <w:qFormat/>
    <w:uiPriority w:val="0"/>
    <w:pPr>
      <w:spacing w:before="120" w:after="120" w:line="500" w:lineRule="exact"/>
      <w:ind w:firstLine="200" w:firstLineChars="200"/>
    </w:pPr>
    <w:rPr>
      <w:rFonts w:cs="Times New Roman"/>
      <w:sz w:val="32"/>
      <w:szCs w:val="32"/>
    </w:rPr>
  </w:style>
  <w:style w:type="character" w:customStyle="1" w:styleId="25">
    <w:name w:val="标题 2 Char"/>
    <w:basedOn w:val="15"/>
    <w:link w:val="3"/>
    <w:qFormat/>
    <w:uiPriority w:val="9"/>
    <w:rPr>
      <w:rFonts w:asciiTheme="majorHAnsi" w:hAnsiTheme="majorHAnsi" w:eastAsiaTheme="majorEastAsia" w:cstheme="majorBidi"/>
      <w:b/>
      <w:bCs/>
      <w:sz w:val="32"/>
      <w:szCs w:val="32"/>
    </w:rPr>
  </w:style>
  <w:style w:type="paragraph" w:customStyle="1" w:styleId="26">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8">
    <w:name w:val="闻政正文 Char"/>
    <w:link w:val="29"/>
    <w:qFormat/>
    <w:uiPriority w:val="0"/>
    <w:rPr>
      <w:rFonts w:ascii="Times New Roman" w:hAnsi="Times New Roman" w:eastAsia="仿宋_GB2312" w:cs="Times New Roman"/>
      <w:sz w:val="28"/>
      <w:szCs w:val="28"/>
    </w:rPr>
  </w:style>
  <w:style w:type="paragraph" w:customStyle="1" w:styleId="29">
    <w:name w:val="闻政正文"/>
    <w:basedOn w:val="1"/>
    <w:link w:val="28"/>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30">
    <w:name w:val="闻政表 Char"/>
    <w:link w:val="31"/>
    <w:qFormat/>
    <w:uiPriority w:val="0"/>
    <w:rPr>
      <w:rFonts w:ascii="Times New Roman" w:hAnsi="Times New Roman" w:eastAsia="仿宋_GB2312" w:cs="Times New Roman"/>
      <w:b/>
      <w:sz w:val="24"/>
      <w:szCs w:val="28"/>
    </w:rPr>
  </w:style>
  <w:style w:type="paragraph" w:customStyle="1" w:styleId="31">
    <w:name w:val="闻政表"/>
    <w:basedOn w:val="1"/>
    <w:link w:val="30"/>
    <w:qFormat/>
    <w:uiPriority w:val="0"/>
    <w:pPr>
      <w:spacing w:before="60" w:after="60"/>
      <w:jc w:val="center"/>
    </w:pPr>
    <w:rPr>
      <w:rFonts w:ascii="Times New Roman" w:hAnsi="Times New Roman" w:eastAsia="仿宋_GB2312" w:cs="Times New Roman"/>
      <w:b/>
      <w:sz w:val="24"/>
      <w:szCs w:val="28"/>
    </w:rPr>
  </w:style>
  <w:style w:type="paragraph" w:customStyle="1" w:styleId="32">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3">
    <w:name w:val="闻政标题3 Char"/>
    <w:link w:val="34"/>
    <w:qFormat/>
    <w:uiPriority w:val="0"/>
    <w:rPr>
      <w:rFonts w:ascii="黑体" w:hAnsi="黑体" w:eastAsia="黑体" w:cs="Times New Roman"/>
      <w:bCs/>
      <w:sz w:val="32"/>
      <w:szCs w:val="32"/>
    </w:rPr>
  </w:style>
  <w:style w:type="paragraph" w:customStyle="1" w:styleId="34">
    <w:name w:val="闻政标题3"/>
    <w:basedOn w:val="4"/>
    <w:link w:val="33"/>
    <w:qFormat/>
    <w:uiPriority w:val="99"/>
    <w:pPr>
      <w:spacing w:before="120" w:after="60" w:line="500" w:lineRule="exact"/>
      <w:jc w:val="left"/>
      <w:outlineLvl w:val="0"/>
    </w:pPr>
    <w:rPr>
      <w:rFonts w:ascii="黑体" w:hAnsi="黑体" w:eastAsia="黑体" w:cs="Times New Roman"/>
      <w:b w:val="0"/>
    </w:rPr>
  </w:style>
  <w:style w:type="character" w:customStyle="1" w:styleId="35">
    <w:name w:val="标题 3 Char"/>
    <w:basedOn w:val="15"/>
    <w:link w:val="4"/>
    <w:semiHidden/>
    <w:qFormat/>
    <w:uiPriority w:val="9"/>
    <w:rPr>
      <w:b/>
      <w:bCs/>
      <w:sz w:val="32"/>
      <w:szCs w:val="32"/>
    </w:rPr>
  </w:style>
  <w:style w:type="paragraph" w:customStyle="1" w:styleId="36">
    <w:name w:val="Body text|1"/>
    <w:basedOn w:val="1"/>
    <w:link w:val="37"/>
    <w:qFormat/>
    <w:uiPriority w:val="0"/>
    <w:pPr>
      <w:spacing w:after="40" w:line="334" w:lineRule="auto"/>
    </w:pPr>
    <w:rPr>
      <w:rFonts w:ascii="MingLiU" w:hAnsi="MingLiU" w:eastAsia="MingLiU" w:cs="MingLiU"/>
      <w:sz w:val="20"/>
      <w:szCs w:val="20"/>
      <w:lang w:val="zh-TW" w:eastAsia="zh-TW" w:bidi="zh-TW"/>
    </w:rPr>
  </w:style>
  <w:style w:type="character" w:customStyle="1" w:styleId="37">
    <w:name w:val="Body text|1_"/>
    <w:basedOn w:val="15"/>
    <w:link w:val="36"/>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A53F70-D404-4A18-9143-D8E8ED516FC2}">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12</Pages>
  <Words>726</Words>
  <Characters>4142</Characters>
  <Lines>34</Lines>
  <Paragraphs>9</Paragraphs>
  <TotalTime>0</TotalTime>
  <ScaleCrop>false</ScaleCrop>
  <LinksUpToDate>false</LinksUpToDate>
  <CharactersWithSpaces>4859</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ptph</cp:lastModifiedBy>
  <dcterms:modified xsi:type="dcterms:W3CDTF">2020-05-31T08:39:08Z</dcterms:modified>
  <dc:title>新疆普天鹏华商务信息咨询有限公司</dc:title>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