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hint="eastAsia"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喀什地区叶城县第二次全国污染源普查工作项目支出绩效评价报告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宋体" w:eastAsia="仿宋_GB2312" w:cs="宋体"/>
          <w:kern w:val="0"/>
          <w:sz w:val="36"/>
          <w:szCs w:val="36"/>
        </w:rPr>
      </w:pPr>
      <w:r>
        <w:rPr>
          <w:rFonts w:hint="eastAsia" w:ascii="仿宋_GB2312" w:hAnsi="仿宋" w:eastAsia="仿宋_GB2312" w:cs="Times New Roman"/>
          <w:spacing w:val="-2"/>
          <w:sz w:val="36"/>
          <w:szCs w:val="36"/>
        </w:rPr>
        <w:t>项目名称：叶城县</w:t>
      </w:r>
      <w:r>
        <w:rPr>
          <w:rFonts w:hint="eastAsia" w:ascii="仿宋_GB2312" w:hAnsi="宋体" w:eastAsia="仿宋_GB2312" w:cs="宋体"/>
          <w:kern w:val="0"/>
          <w:sz w:val="36"/>
          <w:szCs w:val="36"/>
        </w:rPr>
        <w:t>第二次全国污染源普查工作项目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实施单位：叶城县生态环境局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评价部门：叶城县生态环境局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rPr>
          <w:rFonts w:ascii="方正小标宋简体" w:hAnsi="仿宋_GB2312" w:eastAsia="方正小标宋简体" w:cs="仿宋_GB2312"/>
          <w:color w:val="FF0000"/>
          <w:kern w:val="0"/>
          <w:sz w:val="44"/>
          <w:szCs w:val="44"/>
          <w:shd w:val="clear" w:color="auto" w:fill="FFFFFF"/>
        </w:rPr>
      </w:pPr>
    </w:p>
    <w:p>
      <w:pPr>
        <w:pStyle w:val="24"/>
        <w:numPr>
          <w:ilvl w:val="0"/>
          <w:numId w:val="2"/>
        </w:numPr>
        <w:ind w:firstLineChars="0"/>
      </w:pPr>
      <w:r>
        <w:rPr>
          <w:rFonts w:hint="eastAsia"/>
        </w:rPr>
        <w:t>基本情况</w:t>
      </w:r>
    </w:p>
    <w:p>
      <w:pPr>
        <w:pStyle w:val="26"/>
        <w:ind w:left="0" w:firstLine="643" w:firstLineChars="200"/>
      </w:pPr>
      <w:bookmarkStart w:id="0" w:name="_Toc26401549"/>
      <w:r>
        <w:rPr>
          <w:rFonts w:hint="eastAsia"/>
        </w:rPr>
        <w:t>项目概况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根据自治区办公厅《第二次全国污染源普查实施方案的通知》（新政办发【2018】23号）、喀什地区行政公署办公室《关于印发喀什地区第二次全国污染源普查实施方案的通知》（喀署办发【2018】5号）、叶城县人民政府办公室《关于印发&lt;叶城县第二次全国污染源普查实施方案&gt;的通知》（叶政办发【2018】21号），摸清我县各类污染源基本情况，了解污染源数量、结构和分布状况，掌握我县区域、流域、行业污染物产生、排放和处理情况，建立健全我先污染源档案、污染源基础信息数据库和环境统计平台。</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第二次全国污染源普查，是根据《全国污染源普查条例》规定，每10年开展一次全国污染源普查工作的要求， 2018年为全面普查阶段，2019年为总结发布阶段，摸清我县各类污染源基本情况，了解污染源数量、结构和分布状况，掌握我县区域、流域、行业污染物产生、排放和处理情况，建立健全我县污染源档案、污染源基础信息数据库和环境统计平台。由于叶城县生态环境局无普查清查人员，经县人民政府批准，同意采购第三方普查服务。</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项目的实施情况：本项目于2018年10月16日经县财经领导小组会议，同意实施该项目，叶城县生态环境局了成立项目领导小组，明确了责任分工，项目由生态环境局局长王志刚负总责，陈朝亮具体负责项目实施。该项目编制了实施方案，项目采用询价采购，项目技术供应方为喀什永辰</w:t>
      </w:r>
      <w:r>
        <w:rPr>
          <w:rFonts w:hint="eastAsia" w:ascii="仿宋_GB2312" w:hAnsi="仿宋" w:eastAsia="仿宋_GB2312" w:cs="Times New Roman"/>
          <w:sz w:val="32"/>
          <w:szCs w:val="32"/>
          <w:lang w:eastAsia="zh-CN"/>
        </w:rPr>
        <w:t>ab</w:t>
      </w:r>
      <w:r>
        <w:rPr>
          <w:rFonts w:hint="eastAsia" w:ascii="仿宋_GB2312" w:hAnsi="仿宋" w:eastAsia="仿宋_GB2312" w:cs="Times New Roman"/>
          <w:sz w:val="32"/>
          <w:szCs w:val="32"/>
        </w:rPr>
        <w:t>科技有限公司。并签订了项目合同，于2019年</w:t>
      </w:r>
      <w:bookmarkStart w:id="9" w:name="_GoBack"/>
      <w:bookmarkEnd w:id="9"/>
      <w:r>
        <w:rPr>
          <w:rFonts w:hint="eastAsia" w:ascii="仿宋_GB2312" w:hAnsi="仿宋" w:eastAsia="仿宋_GB2312" w:cs="Times New Roman"/>
          <w:sz w:val="32"/>
          <w:szCs w:val="32"/>
        </w:rPr>
        <w:t>11月20日进行了验收并合格。</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宋体"/>
          <w:sz w:val="32"/>
          <w:szCs w:val="32"/>
        </w:rPr>
        <w:t>3.</w:t>
      </w:r>
      <w:r>
        <w:rPr>
          <w:rFonts w:hint="eastAsia" w:ascii="仿宋_GB2312" w:hAnsi="仿宋" w:eastAsia="仿宋_GB2312" w:cs="Times New Roman"/>
          <w:sz w:val="32"/>
          <w:szCs w:val="32"/>
        </w:rPr>
        <w:t>项目负责人为陈朝亮，主要职责为负责拟定全县污染源普查工作实施方案，组织普查工作培训，对普查数据进行汇总、分析，组织普查工作的各级验收，狠抓供应方的普查服务质量、数据审核与考核任务，并监督经费使用情况。</w:t>
      </w:r>
    </w:p>
    <w:p>
      <w:pPr>
        <w:pStyle w:val="26"/>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1" w:name="_Toc26401550"/>
      <w:r>
        <w:rPr>
          <w:rFonts w:hint="eastAsia"/>
        </w:rPr>
        <w:t>资金</w:t>
      </w:r>
      <w:bookmarkEnd w:id="1"/>
      <w:r>
        <w:rPr>
          <w:rFonts w:hint="eastAsia"/>
        </w:rPr>
        <w:t>投入和使用情况</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Style w:val="16"/>
          <w:rFonts w:ascii="楷体_GB2312" w:hAnsi="楷体" w:eastAsia="楷体_GB2312"/>
          <w:spacing w:val="-4"/>
          <w:sz w:val="32"/>
          <w:szCs w:val="32"/>
        </w:rPr>
      </w:pPr>
      <w:r>
        <w:rPr>
          <w:rFonts w:hint="eastAsia" w:ascii="仿宋_GB2312" w:hAnsi="仿宋" w:eastAsia="仿宋_GB2312" w:cs="宋体"/>
          <w:sz w:val="32"/>
          <w:szCs w:val="32"/>
        </w:rPr>
        <w:t>1、</w:t>
      </w:r>
      <w:r>
        <w:rPr>
          <w:rStyle w:val="16"/>
          <w:rFonts w:hint="eastAsia" w:ascii="楷体_GB2312" w:hAnsi="楷体" w:eastAsia="楷体_GB2312"/>
          <w:spacing w:val="-4"/>
          <w:sz w:val="32"/>
          <w:szCs w:val="32"/>
        </w:rPr>
        <w:t>资金到位情况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叶城县第二次全国污染源普查工作预总额为17万元，其中财政资金17万元，自筹资金0万元，2019年实际到位资金17万元。用于我县工业源193家，加油站38家，集中式3家污染源的普查清查、入户调查、质量控制抽查、质量评估、资料录入会审、污染源监测、硬件设备配备、培训、技术报告及评估报告编制及其他等。</w:t>
      </w:r>
    </w:p>
    <w:p>
      <w:pPr>
        <w:keepNext w:val="0"/>
        <w:keepLines w:val="0"/>
        <w:pageBreakBefore w:val="0"/>
        <w:widowControl w:val="0"/>
        <w:kinsoku/>
        <w:wordWrap/>
        <w:overflowPunct/>
        <w:topLinePunct w:val="0"/>
        <w:autoSpaceDE/>
        <w:autoSpaceDN/>
        <w:bidi w:val="0"/>
        <w:spacing w:line="560" w:lineRule="exact"/>
        <w:ind w:left="0" w:leftChars="0" w:firstLine="627" w:firstLineChars="200"/>
        <w:textAlignment w:val="auto"/>
        <w:rPr>
          <w:rStyle w:val="16"/>
          <w:rFonts w:ascii="楷体_GB2312" w:hAnsi="楷体" w:eastAsia="楷体_GB2312"/>
          <w:spacing w:val="-4"/>
          <w:sz w:val="32"/>
          <w:szCs w:val="32"/>
        </w:rPr>
      </w:pPr>
      <w:r>
        <w:rPr>
          <w:rStyle w:val="16"/>
          <w:rFonts w:hint="eastAsia" w:ascii="楷体_GB2312" w:hAnsi="楷体" w:eastAsia="楷体_GB2312"/>
          <w:spacing w:val="-4"/>
          <w:sz w:val="32"/>
          <w:szCs w:val="32"/>
        </w:rPr>
        <w:t>2、资金执行的情况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根据县财经领导小组委员会研究决定，到位专项资金17万元，实际支付资金17万元，预算执行率100%。项目资金主要用于普查清查费、入户调查费、质量控制抽查费、质量评估费、资料录入会审费、技术报告及评估报告编制及其他费用，硬件设备配备、培训费等17万元，已全部支付。</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根据中央和自治区项目资金管理办法的要求，叶城县生态环境局严格按照项目资金规定的专项资金支持的项目条件和范围要求，严格按照有关规定使用管理项目资金。本项目经济分类主要用于委托业务费，资金额是17万元。</w:t>
      </w:r>
    </w:p>
    <w:p>
      <w:pPr>
        <w:keepNext w:val="0"/>
        <w:keepLines w:val="0"/>
        <w:pageBreakBefore w:val="0"/>
        <w:widowControl w:val="0"/>
        <w:kinsoku/>
        <w:wordWrap/>
        <w:overflowPunct/>
        <w:topLinePunct w:val="0"/>
        <w:autoSpaceDE/>
        <w:autoSpaceDN/>
        <w:bidi w:val="0"/>
        <w:spacing w:line="560" w:lineRule="exact"/>
        <w:ind w:left="0" w:leftChars="0" w:firstLine="627" w:firstLineChars="200"/>
        <w:textAlignment w:val="auto"/>
        <w:rPr>
          <w:rStyle w:val="16"/>
          <w:rFonts w:ascii="楷体_GB2312" w:hAnsi="楷体" w:eastAsia="楷体_GB2312"/>
          <w:spacing w:val="-4"/>
          <w:sz w:val="32"/>
          <w:szCs w:val="32"/>
        </w:rPr>
      </w:pPr>
      <w:r>
        <w:rPr>
          <w:rStyle w:val="16"/>
          <w:rFonts w:hint="eastAsia" w:ascii="楷体_GB2312" w:hAnsi="楷体" w:eastAsia="楷体_GB2312"/>
          <w:spacing w:val="-4"/>
          <w:sz w:val="32"/>
          <w:szCs w:val="32"/>
        </w:rPr>
        <w:t>3、资金管理的情况分析</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本项目资金严格按照自治区项目资金管理办法和</w:t>
      </w:r>
      <w:r>
        <w:rPr>
          <w:rFonts w:hint="eastAsia" w:ascii="仿宋_GB2312" w:hAnsi="仿宋" w:eastAsia="仿宋_GB2312" w:cs="Times New Roman"/>
          <w:sz w:val="32"/>
          <w:szCs w:val="32"/>
          <w:lang w:val="en-US" w:eastAsia="zh-CN"/>
        </w:rPr>
        <w:t>县</w:t>
      </w:r>
      <w:r>
        <w:rPr>
          <w:rFonts w:hint="eastAsia" w:ascii="仿宋_GB2312" w:hAnsi="仿宋" w:eastAsia="仿宋_GB2312" w:cs="Times New Roman"/>
          <w:sz w:val="32"/>
          <w:szCs w:val="32"/>
        </w:rPr>
        <w:t>财政资金管理制度支付资金根据资金使用方案，严格按照审批程序，经县财政统一监管资金使用规范,资金的支付有完整的审批程序和手续符合制度要求，不存在截流、挤占、挪用项目资金、虚列支出等情况,资金管理、费用支出制度健全，财务执行情况好，项目专项资金管理好。</w:t>
      </w:r>
    </w:p>
    <w:p>
      <w:pPr>
        <w:pStyle w:val="26"/>
        <w:keepNext w:val="0"/>
        <w:keepLines w:val="0"/>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2" w:name="_Toc26401551"/>
      <w:r>
        <w:rPr>
          <w:rFonts w:hint="eastAsia"/>
        </w:rPr>
        <w:t>绩效目标</w:t>
      </w:r>
      <w:bookmarkEnd w:id="2"/>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总体目标为：完成叶城县第二次全国污染源普查工作涉及的工业源、集中式、加油站的普查工作，完成数据录入及审核编制报告，建立污染源普查档案。摸清我县各类污染源基本情况，了解污染源数量、结构和分布状况，掌握污染物产生、排放和处理情况。为我县</w:t>
      </w:r>
      <w:r>
        <w:rPr>
          <w:rFonts w:hint="eastAsia" w:ascii="仿宋_GB2312" w:hAnsi="仿宋" w:eastAsia="仿宋_GB2312" w:cs="Times New Roman"/>
          <w:sz w:val="32"/>
          <w:szCs w:val="32"/>
          <w:lang w:eastAsia="zh-CN"/>
        </w:rPr>
        <w:t>abc</w:t>
      </w:r>
      <w:r>
        <w:rPr>
          <w:rFonts w:hint="eastAsia" w:ascii="仿宋_GB2312" w:hAnsi="仿宋" w:eastAsia="仿宋_GB2312" w:cs="Times New Roman"/>
          <w:sz w:val="32"/>
          <w:szCs w:val="32"/>
        </w:rPr>
        <w:t>、经济社会发展提供重要科学决策提供依据。</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Fonts w:hint="eastAsia" w:ascii="黑体" w:hAnsi="黑体" w:eastAsia="黑体" w:cs="黑体"/>
          <w:sz w:val="32"/>
          <w:szCs w:val="32"/>
        </w:rPr>
      </w:pPr>
      <w:r>
        <w:rPr>
          <w:rFonts w:hint="eastAsia" w:ascii="仿宋_GB2312" w:hAnsi="仿宋" w:eastAsia="仿宋_GB2312" w:cs="Times New Roman"/>
          <w:sz w:val="32"/>
          <w:szCs w:val="32"/>
        </w:rPr>
        <w:t>该项目资金的申报、批复和使用符合资金管理相关规定。</w:t>
      </w:r>
      <w:bookmarkStart w:id="3" w:name="_Toc26401552"/>
      <w:r>
        <w:rPr>
          <w:rFonts w:hint="eastAsia" w:ascii="黑体" w:hAnsi="黑体" w:eastAsia="黑体" w:cs="黑体"/>
          <w:kern w:val="0"/>
          <w:sz w:val="32"/>
          <w:szCs w:val="32"/>
          <w:lang w:val="en-US" w:eastAsia="zh-CN"/>
        </w:rPr>
        <w:t>二、</w:t>
      </w:r>
      <w:r>
        <w:rPr>
          <w:rFonts w:hint="eastAsia" w:ascii="黑体" w:hAnsi="黑体" w:eastAsia="黑体" w:cs="黑体"/>
          <w:sz w:val="32"/>
          <w:szCs w:val="32"/>
        </w:rPr>
        <w:t>评价工作简述</w:t>
      </w:r>
      <w:bookmarkEnd w:id="3"/>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leftChars="0" w:firstLine="643" w:firstLineChars="200"/>
        <w:textAlignment w:val="auto"/>
      </w:pPr>
      <w:bookmarkStart w:id="4" w:name="_Toc26401553"/>
      <w:r>
        <w:rPr>
          <w:rFonts w:hint="eastAsia"/>
        </w:rPr>
        <w:t>评价目的</w:t>
      </w:r>
      <w:bookmarkEnd w:id="4"/>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次绩效评价遵循财政部《项目支出绩效评价管理办法》（财预〔2020〕10号）和自治区财政厅《自治区财政支出绩效评价管理暂行办法》（新财预〔2018〕189号）等相关政策文件与规定，旨在进一步通过开展污染源普查调查，完成工业源193家、加油站38家、集中式3家的调查、审核、录入等，全面掌握我县各类污染源数量、行业和地区分布情况，为我县</w:t>
      </w:r>
      <w:r>
        <w:rPr>
          <w:rFonts w:hint="eastAsia" w:ascii="仿宋_GB2312" w:hAnsi="仿宋" w:eastAsia="仿宋_GB2312" w:cs="Times New Roman"/>
          <w:sz w:val="32"/>
          <w:szCs w:val="32"/>
          <w:lang w:eastAsia="zh-CN"/>
        </w:rPr>
        <w:t>abc</w:t>
      </w:r>
      <w:r>
        <w:rPr>
          <w:rFonts w:hint="eastAsia" w:ascii="仿宋_GB2312" w:hAnsi="仿宋" w:eastAsia="仿宋_GB2312" w:cs="Times New Roman"/>
          <w:sz w:val="32"/>
          <w:szCs w:val="32"/>
        </w:rPr>
        <w:t>、经济社会发展提供重要科学决策提供依据。</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通过叶城县第二次全国污染源普查项目支出绩效自评,进一步做实绩效目标,根据项目绩效目标,细化形成多维度绩效指标,将绩效指标细化为数量、质量、时效、成本、经济效益、社会效益、可持续影响、服务对象满意度等内容,保证项目绩效指标设置规范、合理、可衡量。</w:t>
      </w:r>
    </w:p>
    <w:p>
      <w:pPr>
        <w:pStyle w:val="26"/>
        <w:keepNext w:val="0"/>
        <w:keepLines w:val="0"/>
        <w:pageBreakBefore w:val="0"/>
        <w:widowControl w:val="0"/>
        <w:numPr>
          <w:ilvl w:val="0"/>
          <w:numId w:val="3"/>
        </w:numPr>
        <w:kinsoku/>
        <w:wordWrap/>
        <w:overflowPunct/>
        <w:topLinePunct w:val="0"/>
        <w:autoSpaceDE/>
        <w:autoSpaceDN/>
        <w:bidi w:val="0"/>
        <w:spacing w:before="0" w:after="0" w:line="560" w:lineRule="exact"/>
        <w:ind w:left="0" w:leftChars="0" w:firstLine="643" w:firstLineChars="200"/>
        <w:textAlignment w:val="auto"/>
      </w:pPr>
      <w:r>
        <w:rPr>
          <w:rFonts w:hint="eastAsia"/>
        </w:rPr>
        <w:t>本次绩效评价的对象及范围</w:t>
      </w:r>
      <w:bookmarkStart w:id="5" w:name="_Toc26401554"/>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w:t>
      </w:r>
      <w:bookmarkEnd w:id="5"/>
      <w:r>
        <w:rPr>
          <w:rFonts w:hint="eastAsia" w:ascii="仿宋_GB2312" w:hAnsi="仿宋" w:eastAsia="仿宋_GB2312" w:cs="Times New Roman"/>
          <w:sz w:val="32"/>
          <w:szCs w:val="32"/>
        </w:rPr>
        <w:t>项目为上年度延续项目，为保质保量完成提供了强有力的技术支撑，有效地推进了项目工作，项目实施完成后，由本项目相关人员于2019年11月3</w:t>
      </w:r>
      <w:r>
        <w:rPr>
          <w:rFonts w:hint="eastAsia" w:ascii="仿宋_GB2312" w:hAnsi="仿宋" w:eastAsia="仿宋_GB2312" w:cs="Times New Roman"/>
          <w:sz w:val="32"/>
          <w:szCs w:val="32"/>
          <w:lang w:val="en-US" w:eastAsia="zh-CN"/>
        </w:rPr>
        <w:t>0</w:t>
      </w:r>
      <w:r>
        <w:rPr>
          <w:rFonts w:hint="eastAsia" w:ascii="仿宋_GB2312" w:hAnsi="仿宋" w:eastAsia="仿宋_GB2312" w:cs="Times New Roman"/>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完成工业源193家、加油站38家、集中式3家的调查、审核、录入等，全面掌握我县各类污染源数量、行业和地区分布情况，为我县</w:t>
      </w:r>
      <w:r>
        <w:rPr>
          <w:rFonts w:hint="eastAsia" w:ascii="仿宋_GB2312" w:hAnsi="仿宋" w:eastAsia="仿宋_GB2312" w:cs="Times New Roman"/>
          <w:sz w:val="32"/>
          <w:szCs w:val="32"/>
          <w:lang w:eastAsia="zh-CN"/>
        </w:rPr>
        <w:t>abc</w:t>
      </w:r>
      <w:r>
        <w:rPr>
          <w:rFonts w:hint="eastAsia" w:ascii="仿宋_GB2312" w:hAnsi="仿宋" w:eastAsia="仿宋_GB2312" w:cs="Times New Roman"/>
          <w:sz w:val="32"/>
          <w:szCs w:val="32"/>
        </w:rPr>
        <w:t>、经济社会发展提供重要科学决策提供依据。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 xml:space="preserve"> (三)绩效评价遵循的原则包括：</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科</w:t>
      </w:r>
      <w:r>
        <w:rPr>
          <w:rFonts w:hint="eastAsia" w:ascii="仿宋_GB2312" w:hAnsi="仿宋" w:eastAsia="仿宋_GB2312" w:cs="Times New Roman"/>
          <w:b w:val="0"/>
          <w:bCs w:val="0"/>
          <w:kern w:val="2"/>
          <w:sz w:val="32"/>
          <w:szCs w:val="32"/>
          <w:lang w:val="en-US" w:eastAsia="zh-CN" w:bidi="ar-SA"/>
        </w:rPr>
        <w:t>学公正。绩效评价应当运用科学合理的方法，按照规范的程序，对项目绩效进行客观、公正的反映。</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统</w:t>
      </w:r>
      <w:r>
        <w:rPr>
          <w:rFonts w:hint="eastAsia" w:ascii="仿宋_GB2312" w:hAnsi="仿宋" w:eastAsia="仿宋_GB2312" w:cs="Times New Roman"/>
          <w:b w:val="0"/>
          <w:bCs w:val="0"/>
          <w:kern w:val="2"/>
          <w:sz w:val="32"/>
          <w:szCs w:val="32"/>
          <w:lang w:val="en-US" w:eastAsia="zh-CN" w:bidi="ar-SA"/>
        </w:rPr>
        <w:t>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hAnsi="仿宋" w:cs="宋体"/>
          <w:b w:val="0"/>
        </w:rPr>
        <w:t>。</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激励约束。绩效评价结果应与预算安排、政策调整、改进管理实质性挂钩，体现奖优罚劣和激励相容导向，有效要安排、低效要压减、无效要问责。</w:t>
      </w:r>
    </w:p>
    <w:p>
      <w:pPr>
        <w:pStyle w:val="26"/>
        <w:keepNext w:val="0"/>
        <w:keepLines w:val="0"/>
        <w:pageBreakBefore w:val="0"/>
        <w:widowControl w:val="0"/>
        <w:numPr>
          <w:ilvl w:val="1"/>
          <w:numId w:val="4"/>
        </w:numPr>
        <w:kinsoku/>
        <w:wordWrap/>
        <w:overflowPunct/>
        <w:topLinePunct w:val="0"/>
        <w:autoSpaceDE/>
        <w:autoSpaceDN/>
        <w:bidi w:val="0"/>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公开透明。绩效评价结果应依法依规公开，并自觉接受社会监督。</w:t>
      </w:r>
    </w:p>
    <w:p>
      <w:pPr>
        <w:pStyle w:val="26"/>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根据以上原则,绩效评价应遵循如下要求: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bCs/>
          <w:spacing w:val="-4"/>
          <w:sz w:val="32"/>
          <w:szCs w:val="32"/>
        </w:rPr>
        <w:t>（1）</w:t>
      </w:r>
      <w:r>
        <w:rPr>
          <w:rFonts w:hint="eastAsia" w:ascii="仿宋_GB2312" w:hAnsi="仿宋" w:eastAsia="仿宋_GB2312" w:cs="Times New Roman"/>
          <w:b w:val="0"/>
          <w:bCs w:val="0"/>
          <w:kern w:val="2"/>
          <w:sz w:val="32"/>
          <w:szCs w:val="32"/>
          <w:lang w:val="en-US" w:eastAsia="zh-CN" w:bidi="ar-SA"/>
        </w:rPr>
        <w:t>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bCs/>
          <w:spacing w:val="-4"/>
          <w:sz w:val="32"/>
          <w:szCs w:val="32"/>
        </w:rPr>
        <w:t>(2)</w:t>
      </w:r>
      <w:r>
        <w:rPr>
          <w:rFonts w:hint="eastAsia" w:ascii="仿宋_GB2312" w:hAnsi="仿宋" w:eastAsia="仿宋_GB2312" w:cs="Times New Roman"/>
          <w:b w:val="0"/>
          <w:bCs w:val="0"/>
          <w:kern w:val="2"/>
          <w:sz w:val="32"/>
          <w:szCs w:val="32"/>
          <w:lang w:val="en-US" w:eastAsia="zh-CN" w:bidi="ar-SA"/>
        </w:rPr>
        <w:t>保证评价结果的真实性、公正性,提高评价报告的公信力。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rPr>
        <w:t>(3)</w:t>
      </w:r>
      <w:r>
        <w:rPr>
          <w:rFonts w:hint="eastAsia" w:ascii="仿宋_GB2312" w:hAnsi="仿宋" w:eastAsia="仿宋_GB2312" w:cs="Times New Roman"/>
          <w:b w:val="0"/>
          <w:bCs w:val="0"/>
          <w:kern w:val="2"/>
          <w:sz w:val="32"/>
          <w:szCs w:val="32"/>
          <w:lang w:val="en-US" w:eastAsia="zh-CN" w:bidi="ar-SA"/>
        </w:rPr>
        <w:t>绩效评价报告应当简明扼要,除了对绩效评价的过程、结果描述外,还应总结经验,指出问题,并就共性问题提出可操作性改进建议。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Style w:val="26"/>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宋体"/>
          <w:b w:val="0"/>
          <w:bCs w:val="0"/>
          <w:sz w:val="32"/>
          <w:szCs w:val="32"/>
          <w:highlight w:val="none"/>
        </w:rPr>
        <w:t>遵</w:t>
      </w:r>
      <w:r>
        <w:rPr>
          <w:rFonts w:hint="eastAsia" w:ascii="仿宋_GB2312" w:hAnsi="仿宋" w:eastAsia="仿宋_GB2312" w:cs="Times New Roman"/>
          <w:b w:val="0"/>
          <w:bCs w:val="0"/>
          <w:kern w:val="2"/>
          <w:sz w:val="32"/>
          <w:szCs w:val="32"/>
          <w:lang w:val="en-US" w:eastAsia="zh-CN" w:bidi="ar-SA"/>
        </w:rPr>
        <w:t>循“科学性、规范性、客观性和公正性”的绩效评价原则,根据财政部制定的《项目支出绩效评价共性指标体系框架》,结合叶城县第二次全国污染源普查要求，生态环境局实际情况,本项目按照财预﹝2020﹞10号文件制定评价指标体系。</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我单位共性指标2个，决策和过程。二级指标3个，绩效目标、资金管理及组织实施，三级指标3个，绩效指标明确性、资金使用合规性及制度执行有效性。该项目能够按照年初设定的绩效目标，依照法律法规，签定了项目合同书，制定了各项管理制度，做到照章办事，按照制度执行。个性指标数据真实，项目完工及时，质量较高，社会效益明显，群众基本满意。此项目自评得分为93分。</w:t>
      </w:r>
    </w:p>
    <w:p>
      <w:pPr>
        <w:keepNext w:val="0"/>
        <w:keepLines w:val="0"/>
        <w:pageBreakBefore w:val="0"/>
        <w:widowControl w:val="0"/>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sz w:val="32"/>
          <w:szCs w:val="32"/>
        </w:rPr>
      </w:pPr>
      <w:bookmarkStart w:id="6" w:name="_Toc26401555"/>
      <w:r>
        <w:rPr>
          <w:rFonts w:hint="eastAsia" w:ascii="仿宋_GB2312" w:hAnsi="仿宋" w:eastAsia="仿宋_GB2312" w:cs="宋体"/>
          <w:b/>
          <w:bCs/>
          <w:sz w:val="32"/>
          <w:szCs w:val="32"/>
        </w:rPr>
        <w:t>(五)绩效评价方法</w:t>
      </w:r>
      <w:bookmarkEnd w:id="6"/>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本次绩效评价方法的选用坚持简便有效的原则采用问卷调查法和综合分析法。</w:t>
      </w:r>
    </w:p>
    <w:p>
      <w:pPr>
        <w:keepNext w:val="0"/>
        <w:keepLines w:val="0"/>
        <w:pageBreakBefore w:val="0"/>
        <w:widowControl w:val="0"/>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(六)评价标准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项目评价标准采用行业标准，与其他县市相比较，叶城县的污染源普查完成量较大，完成情况良好，在全县范围内共工业源调查、审核、录入有231家，其中，重工业园区和轻工业园区的企业118家，依提木孔乡14家，伯西热克乡13家，铁提乡12家，加依提勒克乡15家，乌夏巴什镇13家，夏合甫乡11家，吐古其乡7家，其余乡镇28家。</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pPr>
      <w:r>
        <w:rPr>
          <w:rFonts w:hint="eastAsia"/>
        </w:rPr>
        <w:t>(七)绩效评价工作过程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outlineLvl w:val="9"/>
        <w:rPr>
          <w:b w:val="0"/>
          <w:bCs w:val="0"/>
        </w:rPr>
      </w:pPr>
      <w:r>
        <w:rPr>
          <w:rFonts w:hint="eastAsia"/>
          <w:b w:val="0"/>
          <w:bCs w:val="0"/>
          <w:lang w:val="en-US" w:eastAsia="zh-CN"/>
        </w:rPr>
        <w:t>1.</w:t>
      </w:r>
      <w:r>
        <w:rPr>
          <w:rFonts w:hint="eastAsia" w:ascii="仿宋_GB2312" w:hAnsi="仿宋" w:eastAsia="仿宋_GB2312" w:cs="Times New Roman"/>
          <w:b w:val="0"/>
          <w:bCs w:val="0"/>
          <w:kern w:val="2"/>
          <w:sz w:val="32"/>
          <w:szCs w:val="32"/>
          <w:lang w:val="en-US" w:eastAsia="zh-CN" w:bidi="ar-SA"/>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2561"/>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9" w:type="dxa"/>
            <w:vAlign w:val="center"/>
          </w:tcPr>
          <w:p>
            <w:pPr>
              <w:pStyle w:val="26"/>
              <w:keepNext w:val="0"/>
              <w:keepLines w:val="0"/>
              <w:numPr>
                <w:ilvl w:val="0"/>
                <w:numId w:val="0"/>
              </w:numPr>
              <w:spacing w:line="240" w:lineRule="atLeast"/>
              <w:jc w:val="center"/>
              <w:rPr>
                <w:b w:val="0"/>
                <w:bCs w:val="0"/>
              </w:rPr>
            </w:pPr>
            <w:r>
              <w:rPr>
                <w:rFonts w:hint="eastAsia"/>
                <w:b w:val="0"/>
                <w:bCs w:val="0"/>
              </w:rPr>
              <w:t>评价人</w:t>
            </w:r>
          </w:p>
        </w:tc>
        <w:tc>
          <w:tcPr>
            <w:tcW w:w="2561" w:type="dxa"/>
            <w:vAlign w:val="center"/>
          </w:tcPr>
          <w:p>
            <w:pPr>
              <w:pStyle w:val="26"/>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6"/>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9" w:type="dxa"/>
            <w:vAlign w:val="center"/>
          </w:tcPr>
          <w:p>
            <w:pPr>
              <w:pStyle w:val="26"/>
              <w:keepNext w:val="0"/>
              <w:keepLines w:val="0"/>
              <w:numPr>
                <w:ilvl w:val="0"/>
                <w:numId w:val="0"/>
              </w:numPr>
              <w:spacing w:line="240" w:lineRule="atLeast"/>
              <w:jc w:val="center"/>
              <w:rPr>
                <w:b w:val="0"/>
                <w:bCs w:val="0"/>
              </w:rPr>
            </w:pPr>
            <w:r>
              <w:rPr>
                <w:rFonts w:hint="eastAsia"/>
                <w:b w:val="0"/>
                <w:bCs w:val="0"/>
              </w:rPr>
              <w:t>依孜比力.依比布拉</w:t>
            </w:r>
          </w:p>
        </w:tc>
        <w:tc>
          <w:tcPr>
            <w:tcW w:w="2561"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6"/>
              <w:keepNext w:val="0"/>
              <w:keepLines w:val="0"/>
              <w:numPr>
                <w:ilvl w:val="0"/>
                <w:numId w:val="0"/>
              </w:numPr>
              <w:spacing w:line="240" w:lineRule="atLeast"/>
              <w:rPr>
                <w:b w:val="0"/>
                <w:bCs w:val="0"/>
              </w:rPr>
            </w:pPr>
            <w:r>
              <w:rPr>
                <w:rFonts w:hint="eastAsia"/>
                <w:b w:val="0"/>
                <w:bCs w:val="0"/>
              </w:rPr>
              <w:t>生态环境局党组书记、副局长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68" w:hRule="atLeast"/>
          <w:jc w:val="center"/>
        </w:trPr>
        <w:tc>
          <w:tcPr>
            <w:tcW w:w="2969" w:type="dxa"/>
            <w:vAlign w:val="center"/>
          </w:tcPr>
          <w:p>
            <w:pPr>
              <w:pStyle w:val="26"/>
              <w:keepNext w:val="0"/>
              <w:keepLines w:val="0"/>
              <w:numPr>
                <w:ilvl w:val="0"/>
                <w:numId w:val="0"/>
              </w:numPr>
              <w:spacing w:line="240" w:lineRule="atLeast"/>
              <w:jc w:val="center"/>
              <w:rPr>
                <w:b w:val="0"/>
                <w:bCs w:val="0"/>
              </w:rPr>
            </w:pPr>
            <w:r>
              <w:rPr>
                <w:rFonts w:hint="eastAsia"/>
                <w:b w:val="0"/>
                <w:bCs w:val="0"/>
              </w:rPr>
              <w:t>王志刚</w:t>
            </w:r>
          </w:p>
        </w:tc>
        <w:tc>
          <w:tcPr>
            <w:tcW w:w="2561" w:type="dxa"/>
            <w:vAlign w:val="center"/>
          </w:tcPr>
          <w:p>
            <w:pPr>
              <w:pStyle w:val="26"/>
              <w:keepNext w:val="0"/>
              <w:keepLines w:val="0"/>
              <w:numPr>
                <w:ilvl w:val="0"/>
                <w:numId w:val="0"/>
              </w:numPr>
              <w:spacing w:line="240" w:lineRule="atLeast"/>
              <w:rPr>
                <w:b w:val="0"/>
                <w:bCs w:val="0"/>
              </w:rPr>
            </w:pPr>
            <w:r>
              <w:rPr>
                <w:rFonts w:hint="eastAsia"/>
                <w:b w:val="0"/>
                <w:bCs w:val="0"/>
              </w:rPr>
              <w:t>评价组副组长</w:t>
            </w:r>
          </w:p>
        </w:tc>
        <w:tc>
          <w:tcPr>
            <w:tcW w:w="2766" w:type="dxa"/>
            <w:vAlign w:val="center"/>
          </w:tcPr>
          <w:p>
            <w:pPr>
              <w:pStyle w:val="26"/>
              <w:keepNext w:val="0"/>
              <w:keepLines w:val="0"/>
              <w:numPr>
                <w:ilvl w:val="0"/>
                <w:numId w:val="0"/>
              </w:numPr>
              <w:spacing w:line="240" w:lineRule="atLeast"/>
              <w:rPr>
                <w:b w:val="0"/>
                <w:bCs w:val="0"/>
              </w:rPr>
            </w:pPr>
            <w:r>
              <w:rPr>
                <w:rFonts w:hint="eastAsia"/>
                <w:b w:val="0"/>
                <w:bCs w:val="0"/>
              </w:rPr>
              <w:t>生态环境局党组副书记、局长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9" w:type="dxa"/>
            <w:vAlign w:val="center"/>
          </w:tcPr>
          <w:p>
            <w:pPr>
              <w:pStyle w:val="26"/>
              <w:keepNext w:val="0"/>
              <w:keepLines w:val="0"/>
              <w:numPr>
                <w:ilvl w:val="0"/>
                <w:numId w:val="0"/>
              </w:numPr>
              <w:spacing w:line="240" w:lineRule="atLeast"/>
              <w:jc w:val="center"/>
              <w:rPr>
                <w:b w:val="0"/>
                <w:bCs w:val="0"/>
              </w:rPr>
            </w:pPr>
            <w:r>
              <w:rPr>
                <w:rFonts w:hint="eastAsia"/>
                <w:b w:val="0"/>
                <w:bCs w:val="0"/>
              </w:rPr>
              <w:t>买买提阿布都拉.吾布力</w:t>
            </w:r>
          </w:p>
        </w:tc>
        <w:tc>
          <w:tcPr>
            <w:tcW w:w="2561"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6"/>
              <w:keepNext w:val="0"/>
              <w:keepLines w:val="0"/>
              <w:numPr>
                <w:ilvl w:val="0"/>
                <w:numId w:val="0"/>
              </w:numPr>
              <w:spacing w:line="240" w:lineRule="atLeast"/>
              <w:ind w:right="-309" w:rightChars="-147"/>
              <w:rPr>
                <w:b w:val="0"/>
                <w:bCs w:val="0"/>
              </w:rPr>
            </w:pPr>
            <w:r>
              <w:rPr>
                <w:rFonts w:hint="eastAsia"/>
                <w:b w:val="0"/>
                <w:bCs w:val="0"/>
              </w:rPr>
              <w:t>生态环境局副局长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9" w:type="dxa"/>
            <w:vAlign w:val="center"/>
          </w:tcPr>
          <w:p>
            <w:pPr>
              <w:pStyle w:val="26"/>
              <w:keepNext w:val="0"/>
              <w:keepLines w:val="0"/>
              <w:numPr>
                <w:ilvl w:val="0"/>
                <w:numId w:val="0"/>
              </w:numPr>
              <w:spacing w:line="240" w:lineRule="atLeast"/>
              <w:jc w:val="center"/>
              <w:rPr>
                <w:b w:val="0"/>
                <w:bCs w:val="0"/>
              </w:rPr>
            </w:pPr>
            <w:r>
              <w:rPr>
                <w:rFonts w:hint="eastAsia"/>
                <w:b w:val="0"/>
                <w:bCs w:val="0"/>
              </w:rPr>
              <w:t>陈朝亮</w:t>
            </w:r>
          </w:p>
        </w:tc>
        <w:tc>
          <w:tcPr>
            <w:tcW w:w="2561"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6"/>
              <w:keepNext w:val="0"/>
              <w:keepLines w:val="0"/>
              <w:numPr>
                <w:ilvl w:val="0"/>
                <w:numId w:val="0"/>
              </w:numPr>
              <w:spacing w:line="240" w:lineRule="atLeast"/>
              <w:rPr>
                <w:b w:val="0"/>
                <w:bCs w:val="0"/>
              </w:rPr>
            </w:pPr>
            <w:r>
              <w:rPr>
                <w:rFonts w:hint="eastAsia"/>
                <w:b w:val="0"/>
                <w:bCs w:val="0"/>
              </w:rPr>
              <w:t>生态环境局干部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9" w:type="dxa"/>
            <w:vAlign w:val="center"/>
          </w:tcPr>
          <w:p>
            <w:pPr>
              <w:pStyle w:val="26"/>
              <w:keepNext w:val="0"/>
              <w:keepLines w:val="0"/>
              <w:numPr>
                <w:ilvl w:val="0"/>
                <w:numId w:val="0"/>
              </w:numPr>
              <w:spacing w:line="240" w:lineRule="atLeast"/>
              <w:jc w:val="center"/>
              <w:rPr>
                <w:b w:val="0"/>
                <w:bCs w:val="0"/>
              </w:rPr>
            </w:pPr>
            <w:r>
              <w:rPr>
                <w:rFonts w:hint="eastAsia"/>
                <w:b w:val="0"/>
                <w:bCs w:val="0"/>
              </w:rPr>
              <w:t>陈丽娟</w:t>
            </w:r>
          </w:p>
        </w:tc>
        <w:tc>
          <w:tcPr>
            <w:tcW w:w="2561"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6"/>
              <w:keepNext w:val="0"/>
              <w:keepLines w:val="0"/>
              <w:numPr>
                <w:ilvl w:val="0"/>
                <w:numId w:val="0"/>
              </w:numPr>
              <w:spacing w:line="240" w:lineRule="atLeast"/>
              <w:rPr>
                <w:b w:val="0"/>
                <w:bCs w:val="0"/>
              </w:rPr>
            </w:pPr>
            <w:r>
              <w:rPr>
                <w:rFonts w:hint="eastAsia"/>
                <w:b w:val="0"/>
                <w:bCs w:val="0"/>
              </w:rPr>
              <w:t>生态环境局干部</w:t>
            </w:r>
          </w:p>
        </w:tc>
      </w:tr>
    </w:tbl>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本次评价通过查阅普查工作资料分析、进村入户调研、与群众开展谈心谈话，群众满意。</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rPr>
      </w:pPr>
      <w:r>
        <w:rPr>
          <w:rFonts w:hint="eastAsia"/>
          <w:b w:val="0"/>
          <w:bCs w:val="0"/>
          <w:lang w:val="en-US" w:eastAsia="zh-CN"/>
        </w:rPr>
        <w:t>2.</w:t>
      </w:r>
      <w:r>
        <w:rPr>
          <w:rFonts w:hint="eastAsia"/>
          <w:b w:val="0"/>
          <w:bCs w:val="0"/>
        </w:rPr>
        <w:t>数据采集方法及过程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本次绩效评价数据以定性和定量两种数据为主,通过实地考察、面对面访谈,问卷调查、填报数据和实地采集数据相结合的方式,形成有效数据。</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rPr>
      </w:pPr>
      <w:r>
        <w:rPr>
          <w:rFonts w:hint="eastAsia"/>
          <w:b w:val="0"/>
          <w:bCs w:val="0"/>
          <w:lang w:val="en-US" w:eastAsia="zh-CN"/>
        </w:rPr>
        <w:t>3.</w:t>
      </w:r>
      <w:r>
        <w:rPr>
          <w:rFonts w:hint="eastAsia"/>
          <w:b w:val="0"/>
          <w:bCs w:val="0"/>
        </w:rPr>
        <w:t>绩效评价实施过程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项目组在前期调研的基础上,完成了项目绩效评价工作方案,明确了评价的目的、方法、指标体系、评价标准、合规性检查方案、访谈方案等。在此之后,项目组严格按照工作方案,经过了数据采集、问卷调查、数据分析和报告撰写等环节,顺利完成了绩效评价工作。</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rPr>
      </w:pPr>
      <w:r>
        <w:rPr>
          <w:rFonts w:hint="eastAsia"/>
          <w:b w:val="0"/>
          <w:bCs w:val="0"/>
          <w:lang w:val="en-US" w:eastAsia="zh-CN"/>
        </w:rPr>
        <w:t>1）.</w:t>
      </w:r>
      <w:r>
        <w:rPr>
          <w:rFonts w:hint="eastAsia"/>
          <w:b w:val="0"/>
          <w:bCs w:val="0"/>
        </w:rPr>
        <w:t>问卷调查</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2019年12月25日-2019年12月26日,项目组对叶城县第二次全国污染源普查工作项目进行了问卷调查。对喀格勒克镇、依提木孔乡、恰尔巴格镇、恰斯米吉提乡等20个镇共发放200份问卷,回收200份问卷,其中有效问卷为200份,有效问卷为100%，再通过问卷分析、整理后,形成社会调查满意度报告。</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w:t>
      </w:r>
      <w:r>
        <w:rPr>
          <w:rFonts w:hint="eastAsia" w:hAnsi="仿宋" w:cs="Times New Roman"/>
          <w:b w:val="0"/>
          <w:bCs w:val="0"/>
          <w:kern w:val="2"/>
          <w:sz w:val="32"/>
          <w:szCs w:val="32"/>
          <w:lang w:val="en-US" w:eastAsia="zh-CN" w:bidi="ar-SA"/>
        </w:rPr>
        <w:t>）</w:t>
      </w:r>
      <w:r>
        <w:rPr>
          <w:rFonts w:hint="eastAsia" w:ascii="仿宋_GB2312" w:hAnsi="仿宋" w:eastAsia="仿宋_GB2312" w:cs="Times New Roman"/>
          <w:b w:val="0"/>
          <w:bCs w:val="0"/>
          <w:kern w:val="2"/>
          <w:sz w:val="32"/>
          <w:szCs w:val="32"/>
          <w:lang w:val="en-US" w:eastAsia="zh-CN" w:bidi="ar-SA"/>
        </w:rPr>
        <w:t>.数据分析及撰写报告</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b w:val="0"/>
          <w:bCs w:val="0"/>
        </w:rPr>
      </w:pPr>
      <w:r>
        <w:rPr>
          <w:rFonts w:hint="eastAsia" w:ascii="仿宋_GB2312" w:hAnsi="仿宋" w:eastAsia="仿宋_GB2312" w:cs="Times New Roman"/>
          <w:b w:val="0"/>
          <w:bCs w:val="0"/>
          <w:kern w:val="2"/>
          <w:sz w:val="32"/>
          <w:szCs w:val="32"/>
          <w:lang w:val="en-US" w:eastAsia="zh-CN" w:bidi="ar-SA"/>
        </w:rPr>
        <w:t>2019年12月25日-2019年12月26</w:t>
      </w:r>
      <w:r>
        <w:rPr>
          <w:rFonts w:hint="eastAsia" w:ascii="仿宋_GB2312" w:hAnsi="仿宋" w:eastAsia="仿宋_GB2312" w:cs="宋体"/>
          <w:sz w:val="32"/>
          <w:szCs w:val="32"/>
          <w:lang w:eastAsia="zh-CN"/>
        </w:rPr>
        <w:t>日</w:t>
      </w:r>
      <w:r>
        <w:rPr>
          <w:rFonts w:hint="eastAsia" w:ascii="仿宋_GB2312" w:hAnsi="仿宋" w:eastAsia="仿宋_GB2312" w:cs="宋体"/>
          <w:b w:val="0"/>
          <w:bCs w:val="0"/>
          <w:sz w:val="32"/>
          <w:szCs w:val="32"/>
          <w:lang w:eastAsia="zh-CN"/>
        </w:rPr>
        <w:t>,项目组根据绩效评价的原理和规范,对采集的数据进行甄别、分析和评分,并提炼结论撰写报告,</w:t>
      </w:r>
      <w:bookmarkStart w:id="7" w:name="_Toc26401558"/>
      <w:r>
        <w:rPr>
          <w:rFonts w:hint="eastAsia" w:ascii="仿宋_GB2312" w:hAnsi="仿宋" w:eastAsia="仿宋_GB2312" w:cs="宋体"/>
          <w:b w:val="0"/>
          <w:bCs w:val="0"/>
          <w:sz w:val="32"/>
          <w:szCs w:val="32"/>
          <w:lang w:eastAsia="zh-CN"/>
        </w:rPr>
        <w:t>完成了</w:t>
      </w:r>
      <w:r>
        <w:rPr>
          <w:rFonts w:hint="eastAsia" w:ascii="仿宋_GB2312" w:hAnsi="仿宋" w:eastAsia="仿宋_GB2312" w:cs="宋体"/>
          <w:b w:val="0"/>
          <w:bCs w:val="0"/>
          <w:sz w:val="32"/>
          <w:szCs w:val="32"/>
          <w:lang w:val="en-US" w:eastAsia="zh-CN"/>
        </w:rPr>
        <w:t>231个企业的调查、审核及录入工作，</w:t>
      </w:r>
      <w:r>
        <w:rPr>
          <w:rFonts w:hint="eastAsia" w:ascii="仿宋_GB2312" w:hAnsi="仿宋" w:eastAsia="仿宋_GB2312" w:cs="宋体"/>
          <w:b w:val="0"/>
          <w:bCs w:val="0"/>
          <w:sz w:val="32"/>
          <w:szCs w:val="32"/>
          <w:lang w:eastAsia="zh-CN"/>
        </w:rPr>
        <w:t>基本摸清各类污染源基本</w:t>
      </w:r>
      <w:r>
        <w:rPr>
          <w:rFonts w:hint="eastAsia" w:ascii="仿宋_GB2312" w:hAnsi="仿宋" w:eastAsia="仿宋_GB2312" w:cs="宋体"/>
          <w:b w:val="0"/>
          <w:bCs w:val="0"/>
          <w:sz w:val="32"/>
          <w:szCs w:val="32"/>
        </w:rPr>
        <w:t>情况</w:t>
      </w:r>
      <w:r>
        <w:rPr>
          <w:rFonts w:hint="eastAsia" w:ascii="仿宋_GB2312" w:hAnsi="仿宋" w:eastAsia="仿宋_GB2312" w:cs="宋体"/>
          <w:b w:val="0"/>
          <w:bCs w:val="0"/>
          <w:sz w:val="32"/>
          <w:szCs w:val="32"/>
          <w:lang w:eastAsia="zh-CN"/>
        </w:rPr>
        <w:t>，但存在漏源的情况，</w:t>
      </w:r>
      <w:r>
        <w:rPr>
          <w:rFonts w:hint="eastAsia" w:ascii="仿宋_GB2312" w:hAnsi="仿宋" w:eastAsia="仿宋_GB2312" w:cs="宋体"/>
          <w:b w:val="0"/>
          <w:bCs w:val="0"/>
          <w:sz w:val="32"/>
          <w:szCs w:val="32"/>
        </w:rPr>
        <w:t>未能</w:t>
      </w:r>
      <w:r>
        <w:rPr>
          <w:rFonts w:hint="eastAsia" w:ascii="仿宋_GB2312" w:hAnsi="仿宋" w:eastAsia="仿宋_GB2312" w:cs="宋体"/>
          <w:b w:val="0"/>
          <w:bCs w:val="0"/>
          <w:sz w:val="32"/>
          <w:szCs w:val="32"/>
          <w:lang w:eastAsia="zh-CN"/>
        </w:rPr>
        <w:t>做到普查十分精准</w:t>
      </w:r>
      <w:r>
        <w:rPr>
          <w:rFonts w:hint="eastAsia" w:ascii="仿宋_GB2312" w:hAnsi="仿宋" w:eastAsia="仿宋_GB2312" w:cs="宋体"/>
          <w:b w:val="0"/>
          <w:bCs w:val="0"/>
          <w:sz w:val="32"/>
          <w:szCs w:val="32"/>
        </w:rPr>
        <w:t>，</w:t>
      </w:r>
      <w:r>
        <w:rPr>
          <w:rFonts w:hint="eastAsia" w:ascii="仿宋_GB2312" w:hAnsi="仿宋" w:eastAsia="仿宋_GB2312" w:cs="宋体"/>
          <w:b w:val="0"/>
          <w:bCs w:val="0"/>
          <w:sz w:val="32"/>
          <w:szCs w:val="32"/>
          <w:lang w:eastAsia="zh-CN"/>
        </w:rPr>
        <w:t>需</w:t>
      </w:r>
      <w:r>
        <w:rPr>
          <w:rFonts w:hint="eastAsia" w:ascii="仿宋_GB2312" w:hAnsi="仿宋" w:eastAsia="仿宋_GB2312" w:cs="宋体"/>
          <w:b w:val="0"/>
          <w:bCs w:val="0"/>
          <w:sz w:val="32"/>
          <w:szCs w:val="32"/>
        </w:rPr>
        <w:t>加强普查清查力度。生态效益</w:t>
      </w:r>
      <w:r>
        <w:rPr>
          <w:rFonts w:hint="eastAsia" w:ascii="仿宋_GB2312" w:hAnsi="仿宋" w:eastAsia="仿宋_GB2312" w:cs="宋体"/>
          <w:b w:val="0"/>
          <w:bCs w:val="0"/>
          <w:sz w:val="32"/>
          <w:szCs w:val="32"/>
          <w:lang w:eastAsia="zh-CN"/>
        </w:rPr>
        <w:t>上，为上级的决策部署，提供了可靠证据需</w:t>
      </w:r>
      <w:r>
        <w:rPr>
          <w:rFonts w:hint="eastAsia" w:ascii="仿宋_GB2312" w:hAnsi="仿宋" w:eastAsia="仿宋_GB2312" w:cs="宋体"/>
          <w:b w:val="0"/>
          <w:bCs w:val="0"/>
          <w:sz w:val="32"/>
          <w:szCs w:val="32"/>
        </w:rPr>
        <w:t>做到全程监测，加大跟踪管理力度。项目实施的可持续影响</w:t>
      </w:r>
      <w:r>
        <w:rPr>
          <w:rFonts w:hint="eastAsia" w:ascii="仿宋_GB2312" w:hAnsi="仿宋" w:eastAsia="仿宋_GB2312" w:cs="宋体"/>
          <w:b w:val="0"/>
          <w:bCs w:val="0"/>
          <w:sz w:val="32"/>
          <w:szCs w:val="32"/>
          <w:lang w:eastAsia="zh-CN"/>
        </w:rPr>
        <w:t>方面，</w:t>
      </w:r>
      <w:r>
        <w:rPr>
          <w:rFonts w:hint="eastAsia" w:ascii="仿宋_GB2312" w:hAnsi="仿宋" w:eastAsia="仿宋_GB2312" w:cs="宋体"/>
          <w:b w:val="0"/>
          <w:bCs w:val="0"/>
          <w:sz w:val="32"/>
          <w:szCs w:val="32"/>
        </w:rPr>
        <w:t>积极推广成果使用，</w:t>
      </w:r>
      <w:r>
        <w:rPr>
          <w:rFonts w:hint="eastAsia" w:ascii="仿宋_GB2312" w:hAnsi="仿宋" w:eastAsia="仿宋_GB2312" w:cs="宋体"/>
          <w:b w:val="0"/>
          <w:bCs w:val="0"/>
          <w:sz w:val="32"/>
          <w:szCs w:val="32"/>
          <w:lang w:eastAsia="zh-CN"/>
        </w:rPr>
        <w:t>充分运用普查成果。</w:t>
      </w:r>
      <w:r>
        <w:rPr>
          <w:rFonts w:hint="eastAsia" w:ascii="仿宋_GB2312" w:hAnsi="仿宋" w:eastAsia="仿宋_GB2312" w:cs="宋体"/>
          <w:b w:val="0"/>
          <w:bCs w:val="0"/>
          <w:sz w:val="32"/>
          <w:szCs w:val="32"/>
        </w:rPr>
        <w:t>经问卷调查，</w:t>
      </w:r>
      <w:r>
        <w:rPr>
          <w:rFonts w:hint="eastAsia" w:ascii="仿宋_GB2312" w:hAnsi="仿宋" w:eastAsia="仿宋_GB2312" w:cs="宋体"/>
          <w:b w:val="0"/>
          <w:bCs w:val="0"/>
          <w:sz w:val="32"/>
          <w:szCs w:val="32"/>
          <w:lang w:eastAsia="zh-CN"/>
        </w:rPr>
        <w:t>由于对群众的宣传不到位，群众的满意度不高，</w:t>
      </w:r>
      <w:r>
        <w:rPr>
          <w:rFonts w:hint="eastAsia" w:ascii="仿宋_GB2312" w:hAnsi="仿宋" w:eastAsia="仿宋_GB2312" w:cs="宋体"/>
          <w:b w:val="0"/>
          <w:bCs w:val="0"/>
          <w:sz w:val="32"/>
          <w:szCs w:val="32"/>
        </w:rPr>
        <w:t>项目受益群众满意度</w:t>
      </w:r>
      <w:r>
        <w:rPr>
          <w:rFonts w:hint="eastAsia" w:ascii="仿宋_GB2312" w:hAnsi="仿宋" w:eastAsia="仿宋_GB2312" w:cs="宋体"/>
          <w:b w:val="0"/>
          <w:bCs w:val="0"/>
          <w:sz w:val="32"/>
          <w:szCs w:val="32"/>
          <w:lang w:eastAsia="zh-CN"/>
        </w:rPr>
        <w:t>仅</w:t>
      </w:r>
      <w:r>
        <w:rPr>
          <w:rFonts w:hint="eastAsia" w:ascii="仿宋_GB2312" w:hAnsi="仿宋" w:eastAsia="仿宋_GB2312" w:cs="宋体"/>
          <w:b w:val="0"/>
          <w:bCs w:val="0"/>
          <w:sz w:val="32"/>
          <w:szCs w:val="32"/>
        </w:rPr>
        <w:t>为78%，部分达到预期目标，</w:t>
      </w:r>
      <w:r>
        <w:rPr>
          <w:rFonts w:hint="eastAsia" w:ascii="仿宋_GB2312" w:hAnsi="仿宋" w:eastAsia="仿宋_GB2312" w:cs="宋体"/>
          <w:b w:val="0"/>
          <w:bCs w:val="0"/>
          <w:sz w:val="32"/>
          <w:szCs w:val="32"/>
          <w:lang w:eastAsia="zh-CN"/>
        </w:rPr>
        <w:t>需</w:t>
      </w:r>
      <w:r>
        <w:rPr>
          <w:rFonts w:hint="eastAsia" w:ascii="仿宋_GB2312" w:hAnsi="仿宋" w:eastAsia="仿宋_GB2312" w:cs="宋体"/>
          <w:b w:val="0"/>
          <w:bCs w:val="0"/>
          <w:sz w:val="32"/>
          <w:szCs w:val="32"/>
        </w:rPr>
        <w:t>加强宣传</w:t>
      </w:r>
      <w:r>
        <w:rPr>
          <w:rFonts w:hint="eastAsia" w:ascii="仿宋_GB2312" w:hAnsi="仿宋" w:eastAsia="仿宋_GB2312" w:cs="宋体"/>
          <w:b w:val="0"/>
          <w:bCs w:val="0"/>
          <w:sz w:val="32"/>
          <w:szCs w:val="32"/>
          <w:lang w:eastAsia="zh-CN"/>
        </w:rPr>
        <w:t>，</w:t>
      </w:r>
      <w:r>
        <w:rPr>
          <w:rFonts w:hint="eastAsia" w:ascii="仿宋_GB2312" w:hAnsi="仿宋" w:eastAsia="仿宋_GB2312" w:cs="宋体"/>
          <w:b w:val="0"/>
          <w:bCs w:val="0"/>
          <w:sz w:val="32"/>
          <w:szCs w:val="32"/>
        </w:rPr>
        <w:t>提高</w:t>
      </w:r>
      <w:r>
        <w:rPr>
          <w:rFonts w:hint="eastAsia" w:ascii="仿宋_GB2312" w:hAnsi="仿宋" w:eastAsia="仿宋_GB2312" w:cs="宋体"/>
          <w:b w:val="0"/>
          <w:bCs w:val="0"/>
          <w:sz w:val="32"/>
          <w:szCs w:val="32"/>
          <w:lang w:eastAsia="zh-CN"/>
        </w:rPr>
        <w:t>群众</w:t>
      </w:r>
      <w:r>
        <w:rPr>
          <w:rFonts w:hint="eastAsia" w:ascii="仿宋_GB2312" w:hAnsi="仿宋" w:eastAsia="仿宋_GB2312" w:cs="宋体"/>
          <w:b w:val="0"/>
          <w:bCs w:val="0"/>
          <w:sz w:val="32"/>
          <w:szCs w:val="32"/>
        </w:rPr>
        <w:t>满意度。</w:t>
      </w:r>
    </w:p>
    <w:p>
      <w:pPr>
        <w:pStyle w:val="26"/>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3" w:firstLineChars="200"/>
        <w:textAlignment w:val="auto"/>
        <w:outlineLvl w:val="9"/>
        <w:rPr>
          <w:b w:val="0"/>
          <w:bCs w:val="0"/>
        </w:rPr>
      </w:pPr>
      <w:r>
        <w:rPr>
          <w:rFonts w:hint="eastAsia" w:ascii="Times New Roman" w:hAnsi="Times New Roman" w:eastAsia="黑体" w:cs="Times New Roman"/>
          <w:b/>
          <w:bCs/>
          <w:kern w:val="44"/>
          <w:sz w:val="32"/>
          <w:szCs w:val="32"/>
          <w:lang w:val="en-US" w:eastAsia="zh-CN" w:bidi="ar-SA"/>
        </w:rPr>
        <w:t>三、综合评价情况及评价结论</w:t>
      </w:r>
    </w:p>
    <w:p>
      <w:pPr>
        <w:pStyle w:val="24"/>
        <w:keepNext w:val="0"/>
        <w:keepLines w:val="0"/>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经评价组通过实地调研、资料分析等方式，采用综合分析法、成本效益分析法等对项目的决策、管理、绩效进行的综合评价分析，项目得分为9</w:t>
      </w:r>
      <w:r>
        <w:rPr>
          <w:rFonts w:hint="eastAsia" w:ascii="仿宋_GB2312" w:eastAsia="仿宋_GB2312" w:hAnsiTheme="majorHAnsi"/>
          <w:b w:val="0"/>
          <w:bCs w:val="0"/>
          <w:kern w:val="2"/>
          <w:lang w:val="en-US" w:eastAsia="zh-CN"/>
        </w:rPr>
        <w:t>8</w:t>
      </w:r>
      <w:r>
        <w:rPr>
          <w:rFonts w:hint="eastAsia" w:ascii="仿宋_GB2312" w:eastAsia="仿宋_GB2312" w:hAnsiTheme="majorHAnsi"/>
          <w:b w:val="0"/>
          <w:bCs w:val="0"/>
          <w:kern w:val="2"/>
        </w:rPr>
        <w:t>分，评价结果为优。</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firstLine="643" w:firstLineChars="200"/>
        <w:textAlignment w:val="auto"/>
      </w:pPr>
      <w:r>
        <w:rPr>
          <w:rFonts w:hint="eastAsia"/>
          <w:lang w:val="en-US" w:eastAsia="zh-CN"/>
        </w:rPr>
        <w:t>四、</w:t>
      </w:r>
      <w:r>
        <w:rPr>
          <w:rFonts w:hint="eastAsia"/>
        </w:rPr>
        <w:t>绩效评价指标分析</w:t>
      </w:r>
      <w:bookmarkEnd w:id="7"/>
    </w:p>
    <w:p>
      <w:pPr>
        <w:pStyle w:val="20"/>
        <w:keepNext w:val="0"/>
        <w:keepLines w:val="0"/>
        <w:pageBreakBefore w:val="0"/>
        <w:widowControl w:val="0"/>
        <w:numPr>
          <w:ilvl w:val="0"/>
          <w:numId w:val="5"/>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4"/>
        <w:keepNext w:val="0"/>
        <w:keepLines w:val="0"/>
        <w:pageBreakBefore w:val="0"/>
        <w:widowControl w:val="0"/>
        <w:kinsoku/>
        <w:wordWrap/>
        <w:overflowPunct/>
        <w:topLinePunct w:val="0"/>
        <w:autoSpaceDE/>
        <w:autoSpaceDN/>
        <w:bidi w:val="0"/>
        <w:spacing w:before="0" w:after="0" w:line="560" w:lineRule="exact"/>
        <w:ind w:left="0" w:firstLine="640" w:firstLineChars="200"/>
        <w:textAlignment w:val="auto"/>
        <w:rPr>
          <w:rFonts w:hint="eastAsia" w:ascii="仿宋_GB2312" w:eastAsia="仿宋_GB2312" w:hAnsiTheme="majorHAnsi"/>
          <w:b w:val="0"/>
          <w:bCs w:val="0"/>
          <w:kern w:val="2"/>
        </w:rPr>
      </w:pPr>
      <w:r>
        <w:rPr>
          <w:rFonts w:hint="eastAsia" w:ascii="仿宋_GB2312" w:eastAsia="仿宋_GB2312" w:hAnsiTheme="majorHAnsi"/>
          <w:b w:val="0"/>
          <w:bCs w:val="0"/>
          <w:kern w:val="2"/>
        </w:rPr>
        <w:t>本项目的符合相关法规政策及单位职责，依据充分；项目按照规定的程序申请设立；审批文件、材料符合相关要求。项目根据相关文件要求设置了绩效目标，项目绩效目标基本合理，预算确定的项目投资额或资金量相匹配，项目目标任务数与计划数相对应。</w:t>
      </w:r>
    </w:p>
    <w:p>
      <w:pPr>
        <w:pStyle w:val="20"/>
        <w:keepNext w:val="0"/>
        <w:keepLines w:val="0"/>
        <w:pageBreakBefore w:val="0"/>
        <w:widowControl w:val="0"/>
        <w:numPr>
          <w:ilvl w:val="0"/>
          <w:numId w:val="5"/>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按照完整的审批程序和手续，符合项目预算批复或合同规定的用途；无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在项目组织实施方面，叶城县生态环境局制定了财务和业务管理制度，项目实施遵守相关法律法规和相关管理规定。</w:t>
      </w:r>
    </w:p>
    <w:p>
      <w:pPr>
        <w:pStyle w:val="20"/>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在全县范围内共工业源调查、审核、录入有231家，其中，重工业园区和轻工业园区的企业118家，依提木孔乡14家，伯西热克乡13家，铁提乡12家，加依提勒克乡15家，乌夏巴什镇13家，夏合甫乡11家，吐古其乡7家，其余乡镇28家。完成值100%</w:t>
      </w:r>
      <w:bookmarkStart w:id="8" w:name="_Hlk506190"/>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该项目</w:t>
      </w:r>
      <w:bookmarkEnd w:id="8"/>
      <w:r>
        <w:rPr>
          <w:rFonts w:hint="eastAsia" w:ascii="仿宋_GB2312" w:hAnsi="仿宋" w:eastAsia="仿宋_GB2312" w:cs="宋体"/>
          <w:sz w:val="32"/>
          <w:szCs w:val="32"/>
        </w:rPr>
        <w:t>完成工业源（调查、审核、录入等）193家，实际完成值193家，加油站（调查、审核、录入等）38家</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该项目严格按照质量指标预期指标值的要求，数据真实有效，为每季度质量评估费用4.25万元/季度，实际完成值4.25万元/季度，指标完成状况100%。</w:t>
      </w:r>
    </w:p>
    <w:tbl>
      <w:tblPr>
        <w:tblStyle w:val="13"/>
        <w:tblW w:w="8396" w:type="dxa"/>
        <w:tblInd w:w="0" w:type="dxa"/>
        <w:shd w:val="clear" w:color="auto" w:fill="auto"/>
        <w:tblLayout w:type="fixed"/>
        <w:tblCellMar>
          <w:top w:w="0" w:type="dxa"/>
          <w:left w:w="0" w:type="dxa"/>
          <w:bottom w:w="0" w:type="dxa"/>
          <w:right w:w="0" w:type="dxa"/>
        </w:tblCellMar>
      </w:tblPr>
      <w:tblGrid>
        <w:gridCol w:w="860"/>
        <w:gridCol w:w="1312"/>
        <w:gridCol w:w="2929"/>
        <w:gridCol w:w="1573"/>
        <w:gridCol w:w="1722"/>
      </w:tblGrid>
      <w:tr>
        <w:tblPrEx>
          <w:shd w:val="clear" w:color="auto" w:fill="auto"/>
          <w:tblCellMar>
            <w:top w:w="0" w:type="dxa"/>
            <w:left w:w="0" w:type="dxa"/>
            <w:bottom w:w="0" w:type="dxa"/>
            <w:right w:w="0" w:type="dxa"/>
          </w:tblCellMar>
        </w:tblPrEx>
        <w:trPr>
          <w:trHeight w:val="499"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完成工业源（调查、审核、录入等）数量（家）</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w:t>
            </w:r>
          </w:p>
        </w:tc>
      </w:tr>
      <w:tr>
        <w:tblPrEx>
          <w:tblCellMar>
            <w:top w:w="0" w:type="dxa"/>
            <w:left w:w="0" w:type="dxa"/>
            <w:bottom w:w="0" w:type="dxa"/>
            <w:right w:w="0" w:type="dxa"/>
          </w:tblCellMar>
        </w:tblPrEx>
        <w:trPr>
          <w:trHeight w:val="49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加油站（调查、审核、录入等）数量（家）</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r>
      <w:tr>
        <w:tblPrEx>
          <w:tblCellMar>
            <w:top w:w="0" w:type="dxa"/>
            <w:left w:w="0" w:type="dxa"/>
            <w:bottom w:w="0" w:type="dxa"/>
            <w:right w:w="0" w:type="dxa"/>
          </w:tblCellMar>
        </w:tblPrEx>
        <w:trPr>
          <w:trHeight w:val="49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数据真实有效性（%）</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项目完工及时率（%）</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质量评估（万元/季）</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4.25</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4.25</w:t>
            </w:r>
          </w:p>
        </w:tc>
      </w:tr>
    </w:tbl>
    <w:p>
      <w:pPr>
        <w:pStyle w:val="20"/>
        <w:keepNext w:val="0"/>
        <w:keepLines w:val="0"/>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ascii="仿宋_GB2312" w:hAnsi="仿宋" w:eastAsia="仿宋_GB2312" w:cs="仿宋"/>
          <w:spacing w:val="-4"/>
          <w:sz w:val="32"/>
          <w:szCs w:val="32"/>
          <w:highlight w:val="none"/>
        </w:rPr>
      </w:pPr>
      <w:r>
        <w:rPr>
          <w:rFonts w:hint="eastAsia" w:ascii="仿宋_GB2312" w:hAnsi="仿宋" w:eastAsia="仿宋_GB2312" w:cs="宋体"/>
          <w:b/>
          <w:bCs/>
          <w:sz w:val="32"/>
          <w:szCs w:val="32"/>
          <w:highlight w:val="none"/>
          <w:lang w:eastAsia="zh-CN"/>
        </w:rPr>
        <w:t>（四）</w:t>
      </w:r>
      <w:r>
        <w:rPr>
          <w:rFonts w:hint="eastAsia" w:ascii="仿宋_GB2312" w:hAnsi="仿宋" w:eastAsia="仿宋_GB2312" w:cs="宋体"/>
          <w:b/>
          <w:bCs/>
          <w:sz w:val="32"/>
          <w:szCs w:val="32"/>
          <w:highlight w:val="none"/>
        </w:rPr>
        <w:t>项目效益情况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eastAsia="zh-CN"/>
        </w:rPr>
        <w:t>该</w:t>
      </w:r>
      <w:r>
        <w:rPr>
          <w:rFonts w:hint="eastAsia" w:ascii="仿宋_GB2312" w:hAnsi="仿宋" w:eastAsia="仿宋_GB2312" w:cs="宋体"/>
          <w:sz w:val="32"/>
          <w:szCs w:val="32"/>
        </w:rPr>
        <w:t>项目</w:t>
      </w:r>
      <w:r>
        <w:rPr>
          <w:rFonts w:hint="eastAsia" w:ascii="仿宋_GB2312" w:hAnsi="仿宋" w:eastAsia="仿宋_GB2312" w:cs="宋体"/>
          <w:sz w:val="32"/>
          <w:szCs w:val="32"/>
          <w:lang w:eastAsia="zh-CN"/>
        </w:rPr>
        <w:t>无经济收益，</w:t>
      </w:r>
      <w:r>
        <w:rPr>
          <w:rFonts w:hint="eastAsia" w:ascii="仿宋_GB2312" w:hAnsi="仿宋" w:eastAsia="仿宋_GB2312" w:cs="宋体"/>
          <w:sz w:val="32"/>
          <w:szCs w:val="32"/>
        </w:rPr>
        <w:t>社会效益</w:t>
      </w:r>
      <w:r>
        <w:rPr>
          <w:rFonts w:hint="eastAsia" w:ascii="仿宋_GB2312" w:hAnsi="仿宋" w:eastAsia="仿宋_GB2312" w:cs="宋体"/>
          <w:sz w:val="32"/>
          <w:szCs w:val="32"/>
          <w:lang w:eastAsia="zh-CN"/>
        </w:rPr>
        <w:t>方面，完成了</w:t>
      </w:r>
      <w:r>
        <w:rPr>
          <w:rFonts w:hint="eastAsia" w:ascii="仿宋_GB2312" w:hAnsi="仿宋" w:eastAsia="仿宋_GB2312" w:cs="宋体"/>
          <w:sz w:val="32"/>
          <w:szCs w:val="32"/>
          <w:lang w:val="en-US" w:eastAsia="zh-CN"/>
        </w:rPr>
        <w:t>231个企业的调查、审核及录入工作，</w:t>
      </w:r>
      <w:r>
        <w:rPr>
          <w:rFonts w:hint="eastAsia" w:ascii="仿宋_GB2312" w:hAnsi="仿宋" w:eastAsia="仿宋_GB2312" w:cs="宋体"/>
          <w:sz w:val="32"/>
          <w:szCs w:val="32"/>
          <w:lang w:eastAsia="zh-CN"/>
        </w:rPr>
        <w:t>基本</w:t>
      </w:r>
      <w:r>
        <w:rPr>
          <w:rFonts w:hint="eastAsia" w:ascii="仿宋_GB2312" w:hAnsi="仿宋" w:eastAsia="仿宋_GB2312" w:cs="宋体"/>
          <w:sz w:val="32"/>
          <w:szCs w:val="32"/>
        </w:rPr>
        <w:t>摸清各类污染源基本情况</w:t>
      </w:r>
      <w:r>
        <w:rPr>
          <w:rFonts w:hint="eastAsia" w:ascii="仿宋_GB2312" w:hAnsi="仿宋" w:eastAsia="仿宋_GB2312" w:cs="宋体"/>
          <w:sz w:val="32"/>
          <w:szCs w:val="32"/>
          <w:lang w:eastAsia="zh-CN"/>
        </w:rPr>
        <w:t>，但存在漏源的情况，</w:t>
      </w:r>
      <w:r>
        <w:rPr>
          <w:rFonts w:hint="eastAsia" w:ascii="仿宋_GB2312" w:hAnsi="仿宋" w:eastAsia="仿宋_GB2312" w:cs="宋体"/>
          <w:sz w:val="32"/>
          <w:szCs w:val="32"/>
        </w:rPr>
        <w:t>未能</w:t>
      </w:r>
      <w:r>
        <w:rPr>
          <w:rFonts w:hint="eastAsia" w:ascii="仿宋_GB2312" w:hAnsi="仿宋" w:eastAsia="仿宋_GB2312" w:cs="宋体"/>
          <w:sz w:val="32"/>
          <w:szCs w:val="32"/>
          <w:lang w:eastAsia="zh-CN"/>
        </w:rPr>
        <w:t>做到普查十分精准</w:t>
      </w:r>
      <w:r>
        <w:rPr>
          <w:rFonts w:hint="eastAsia" w:ascii="仿宋_GB2312" w:hAnsi="仿宋" w:eastAsia="仿宋_GB2312" w:cs="宋体"/>
          <w:sz w:val="32"/>
          <w:szCs w:val="32"/>
        </w:rPr>
        <w:t>，</w:t>
      </w:r>
      <w:r>
        <w:rPr>
          <w:rFonts w:hint="eastAsia" w:ascii="仿宋_GB2312" w:hAnsi="仿宋" w:eastAsia="仿宋_GB2312" w:cs="宋体"/>
          <w:sz w:val="32"/>
          <w:szCs w:val="32"/>
          <w:lang w:eastAsia="zh-CN"/>
        </w:rPr>
        <w:t>需</w:t>
      </w:r>
      <w:r>
        <w:rPr>
          <w:rFonts w:hint="eastAsia" w:ascii="仿宋_GB2312" w:hAnsi="仿宋" w:eastAsia="仿宋_GB2312" w:cs="宋体"/>
          <w:sz w:val="32"/>
          <w:szCs w:val="32"/>
        </w:rPr>
        <w:t>加强普查清查力度。生态效益</w:t>
      </w:r>
      <w:r>
        <w:rPr>
          <w:rFonts w:hint="eastAsia" w:ascii="仿宋_GB2312" w:hAnsi="仿宋" w:eastAsia="仿宋_GB2312" w:cs="宋体"/>
          <w:sz w:val="32"/>
          <w:szCs w:val="32"/>
          <w:lang w:eastAsia="zh-CN"/>
        </w:rPr>
        <w:t>上，为上级的决策部署，提供了可靠证据需</w:t>
      </w:r>
      <w:r>
        <w:rPr>
          <w:rFonts w:hint="eastAsia" w:ascii="仿宋_GB2312" w:hAnsi="仿宋" w:eastAsia="仿宋_GB2312" w:cs="宋体"/>
          <w:sz w:val="32"/>
          <w:szCs w:val="32"/>
        </w:rPr>
        <w:t>做到全程监测，加大跟踪管理力度。项目实施的可持续影响</w:t>
      </w:r>
      <w:r>
        <w:rPr>
          <w:rFonts w:hint="eastAsia" w:ascii="仿宋_GB2312" w:hAnsi="仿宋" w:eastAsia="仿宋_GB2312" w:cs="宋体"/>
          <w:sz w:val="32"/>
          <w:szCs w:val="32"/>
          <w:lang w:eastAsia="zh-CN"/>
        </w:rPr>
        <w:t>方面，</w:t>
      </w:r>
      <w:r>
        <w:rPr>
          <w:rFonts w:hint="eastAsia" w:ascii="仿宋_GB2312" w:hAnsi="仿宋" w:eastAsia="仿宋_GB2312" w:cs="宋体"/>
          <w:sz w:val="32"/>
          <w:szCs w:val="32"/>
        </w:rPr>
        <w:t>积极推广成果使用，</w:t>
      </w:r>
      <w:r>
        <w:rPr>
          <w:rFonts w:hint="eastAsia" w:ascii="仿宋_GB2312" w:hAnsi="仿宋" w:eastAsia="仿宋_GB2312" w:cs="宋体"/>
          <w:sz w:val="32"/>
          <w:szCs w:val="32"/>
          <w:lang w:eastAsia="zh-CN"/>
        </w:rPr>
        <w:t>充分运用普查成果。</w:t>
      </w:r>
      <w:r>
        <w:rPr>
          <w:rFonts w:hint="eastAsia" w:ascii="仿宋_GB2312" w:hAnsi="仿宋" w:eastAsia="仿宋_GB2312" w:cs="宋体"/>
          <w:sz w:val="32"/>
          <w:szCs w:val="32"/>
        </w:rPr>
        <w:t>经问卷调查，</w:t>
      </w:r>
      <w:r>
        <w:rPr>
          <w:rFonts w:hint="eastAsia" w:ascii="仿宋_GB2312" w:hAnsi="仿宋" w:eastAsia="仿宋_GB2312" w:cs="宋体"/>
          <w:sz w:val="32"/>
          <w:szCs w:val="32"/>
          <w:lang w:eastAsia="zh-CN"/>
        </w:rPr>
        <w:t>由于对群众的宣传不到位，群众的满意度不高，</w:t>
      </w:r>
      <w:r>
        <w:rPr>
          <w:rFonts w:hint="eastAsia" w:ascii="仿宋_GB2312" w:hAnsi="仿宋" w:eastAsia="仿宋_GB2312" w:cs="宋体"/>
          <w:sz w:val="32"/>
          <w:szCs w:val="32"/>
        </w:rPr>
        <w:t>项目受益群众满意度</w:t>
      </w:r>
      <w:r>
        <w:rPr>
          <w:rFonts w:hint="eastAsia" w:ascii="仿宋_GB2312" w:hAnsi="仿宋" w:eastAsia="仿宋_GB2312" w:cs="宋体"/>
          <w:sz w:val="32"/>
          <w:szCs w:val="32"/>
          <w:lang w:eastAsia="zh-CN"/>
        </w:rPr>
        <w:t>仅</w:t>
      </w:r>
      <w:r>
        <w:rPr>
          <w:rFonts w:hint="eastAsia" w:ascii="仿宋_GB2312" w:hAnsi="仿宋" w:eastAsia="仿宋_GB2312" w:cs="宋体"/>
          <w:sz w:val="32"/>
          <w:szCs w:val="32"/>
        </w:rPr>
        <w:t>为</w:t>
      </w:r>
      <w:r>
        <w:rPr>
          <w:rFonts w:hint="eastAsia" w:ascii="仿宋_GB2312" w:hAnsi="仿宋" w:eastAsia="仿宋_GB2312" w:cs="宋体"/>
          <w:sz w:val="32"/>
          <w:szCs w:val="32"/>
          <w:lang w:val="en-US" w:eastAsia="zh-CN"/>
        </w:rPr>
        <w:t>96</w:t>
      </w:r>
      <w:r>
        <w:rPr>
          <w:rFonts w:hint="eastAsia" w:ascii="仿宋_GB2312" w:hAnsi="仿宋" w:eastAsia="仿宋_GB2312" w:cs="宋体"/>
          <w:sz w:val="32"/>
          <w:szCs w:val="32"/>
        </w:rPr>
        <w:t>%，部分达到预期目标，</w:t>
      </w:r>
      <w:r>
        <w:rPr>
          <w:rFonts w:hint="eastAsia" w:ascii="仿宋_GB2312" w:hAnsi="仿宋" w:eastAsia="仿宋_GB2312" w:cs="宋体"/>
          <w:sz w:val="32"/>
          <w:szCs w:val="32"/>
          <w:lang w:eastAsia="zh-CN"/>
        </w:rPr>
        <w:t>需</w:t>
      </w:r>
      <w:r>
        <w:rPr>
          <w:rFonts w:hint="eastAsia" w:ascii="仿宋_GB2312" w:hAnsi="仿宋" w:eastAsia="仿宋_GB2312" w:cs="宋体"/>
          <w:sz w:val="32"/>
          <w:szCs w:val="32"/>
        </w:rPr>
        <w:t>加强宣传</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提高</w:t>
      </w:r>
      <w:r>
        <w:rPr>
          <w:rFonts w:hint="eastAsia" w:ascii="仿宋_GB2312" w:hAnsi="仿宋" w:eastAsia="仿宋_GB2312" w:cs="宋体"/>
          <w:sz w:val="32"/>
          <w:szCs w:val="32"/>
          <w:lang w:eastAsia="zh-CN"/>
        </w:rPr>
        <w:t>群众</w:t>
      </w:r>
      <w:r>
        <w:rPr>
          <w:rFonts w:hint="eastAsia" w:ascii="仿宋_GB2312" w:hAnsi="仿宋" w:eastAsia="仿宋_GB2312" w:cs="宋体"/>
          <w:sz w:val="32"/>
          <w:szCs w:val="32"/>
        </w:rPr>
        <w:t>满意度。</w:t>
      </w:r>
    </w:p>
    <w:tbl>
      <w:tblPr>
        <w:tblStyle w:val="13"/>
        <w:tblW w:w="8396" w:type="dxa"/>
        <w:tblInd w:w="0" w:type="dxa"/>
        <w:shd w:val="clear" w:color="auto" w:fill="auto"/>
        <w:tblLayout w:type="fixed"/>
        <w:tblCellMar>
          <w:top w:w="0" w:type="dxa"/>
          <w:left w:w="0" w:type="dxa"/>
          <w:bottom w:w="0" w:type="dxa"/>
          <w:right w:w="0" w:type="dxa"/>
        </w:tblCellMar>
      </w:tblPr>
      <w:tblGrid>
        <w:gridCol w:w="860"/>
        <w:gridCol w:w="1312"/>
        <w:gridCol w:w="2929"/>
        <w:gridCol w:w="1573"/>
        <w:gridCol w:w="1722"/>
      </w:tblGrid>
      <w:tr>
        <w:tblPrEx>
          <w:shd w:val="clear" w:color="auto" w:fill="auto"/>
          <w:tblCellMar>
            <w:top w:w="0" w:type="dxa"/>
            <w:left w:w="0" w:type="dxa"/>
            <w:bottom w:w="0" w:type="dxa"/>
            <w:right w:w="0" w:type="dxa"/>
          </w:tblCellMar>
        </w:tblPrEx>
        <w:trPr>
          <w:trHeight w:val="499"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9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摸清各类污染源基本情况（%）</w:t>
            </w:r>
          </w:p>
        </w:tc>
        <w:tc>
          <w:tcPr>
            <w:tcW w:w="1573"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CellMar>
            <w:top w:w="0" w:type="dxa"/>
            <w:left w:w="0" w:type="dxa"/>
            <w:bottom w:w="0" w:type="dxa"/>
            <w:right w:w="0" w:type="dxa"/>
          </w:tblCellMar>
        </w:tblPrEx>
        <w:trPr>
          <w:trHeight w:val="49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做到环境质量的全程监测（%）</w:t>
            </w:r>
          </w:p>
        </w:tc>
        <w:tc>
          <w:tcPr>
            <w:tcW w:w="1573"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r>
        <w:tblPrEx>
          <w:tblCellMar>
            <w:top w:w="0" w:type="dxa"/>
            <w:left w:w="0" w:type="dxa"/>
            <w:bottom w:w="0" w:type="dxa"/>
            <w:right w:w="0" w:type="dxa"/>
          </w:tblCellMar>
        </w:tblPrEx>
        <w:trPr>
          <w:trHeight w:val="499"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积极推广成果使用（年）</w:t>
            </w:r>
          </w:p>
        </w:tc>
        <w:tc>
          <w:tcPr>
            <w:tcW w:w="1573"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499" w:hRule="atLeast"/>
        </w:trPr>
        <w:tc>
          <w:tcPr>
            <w:tcW w:w="86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环境监测管理人员满意度（%）</w:t>
            </w:r>
          </w:p>
        </w:tc>
        <w:tc>
          <w:tcPr>
            <w:tcW w:w="1573"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r>
    </w:tbl>
    <w:p>
      <w:pPr>
        <w:pStyle w:val="24"/>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五、主要经验及做法、存在的问题及原因分析</w:t>
      </w:r>
    </w:p>
    <w:p>
      <w:pPr>
        <w:pStyle w:val="26"/>
        <w:keepNext w:val="0"/>
        <w:keepLines w:val="0"/>
        <w:pageBreakBefore w:val="0"/>
        <w:widowControl w:val="0"/>
        <w:numPr>
          <w:ilvl w:val="0"/>
          <w:numId w:val="6"/>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成立了以常务副县长为组长，各相关部门领导为成员的《叶城县第二次全国污染源普查工作领导小组》，领导小组每月召开一次会议，听取普查工作进度汇报，协调解决普查工作中的问题。建立健全县、乡村三级普查网络。普查指导员和清查员分片到乡，使普查工作全面同时开展。工作中注重广泛宣传，并在普查中直接向普查对象讲解文物普查知识，创造了良好的工作氛围。普查过程中管理制度完善、责任落实到位，跟踪考核机制完善且运行有效，在项目实施过程中创新管理办法，摸清了我县各类污染源基本情况，了解了污染源数量、结构和分布状况，掌握污染物产生、排放和处理情况，为我县</w:t>
      </w:r>
      <w:r>
        <w:rPr>
          <w:rFonts w:hint="eastAsia" w:ascii="仿宋_GB2312" w:hAnsi="仿宋" w:eastAsia="仿宋_GB2312" w:cs="宋体"/>
          <w:sz w:val="32"/>
          <w:szCs w:val="32"/>
          <w:lang w:eastAsia="zh-CN"/>
        </w:rPr>
        <w:t>abc</w:t>
      </w:r>
      <w:r>
        <w:rPr>
          <w:rFonts w:hint="eastAsia" w:ascii="仿宋_GB2312" w:hAnsi="仿宋" w:eastAsia="仿宋_GB2312" w:cs="宋体"/>
          <w:sz w:val="32"/>
          <w:szCs w:val="32"/>
        </w:rPr>
        <w:t>、经济社会发展提供重要科学决策提供依据，取得了良好的效果。</w:t>
      </w:r>
    </w:p>
    <w:p>
      <w:pPr>
        <w:pStyle w:val="26"/>
        <w:keepNext w:val="0"/>
        <w:keepLines w:val="0"/>
        <w:pageBreakBefore w:val="0"/>
        <w:widowControl w:val="0"/>
        <w:numPr>
          <w:ilvl w:val="0"/>
          <w:numId w:val="6"/>
        </w:numPr>
        <w:kinsoku/>
        <w:wordWrap/>
        <w:overflowPunct/>
        <w:topLinePunct w:val="0"/>
        <w:autoSpaceDE/>
        <w:autoSpaceDN/>
        <w:bidi w:val="0"/>
        <w:spacing w:before="0" w:after="0" w:line="560" w:lineRule="exact"/>
        <w:ind w:left="0" w:firstLine="643" w:firstLineChars="200"/>
        <w:textAlignment w:val="auto"/>
      </w:pPr>
      <w:r>
        <w:rPr>
          <w:rFonts w:hint="eastAsia"/>
        </w:rPr>
        <w:t>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firstLine="420" w:firstLineChars="200"/>
        <w:textAlignment w:val="auto"/>
        <w:rPr>
          <w:rFonts w:hint="eastAsia" w:ascii="仿宋_GB2312" w:hAnsi="仿宋" w:eastAsia="仿宋_GB2312" w:cs="宋体"/>
          <w:sz w:val="32"/>
          <w:szCs w:val="32"/>
        </w:rPr>
      </w:pPr>
      <w:r>
        <w:rPr>
          <w:rFonts w:hint="eastAsia"/>
        </w:rPr>
        <w:t xml:space="preserve"> </w:t>
      </w:r>
      <w:r>
        <w:t xml:space="preserve"> </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1、</w:t>
      </w:r>
      <w:r>
        <w:rPr>
          <w:rFonts w:hint="eastAsia" w:ascii="仿宋_GB2312" w:hAnsi="仿宋" w:eastAsia="仿宋_GB2312" w:cs="宋体"/>
          <w:sz w:val="32"/>
          <w:szCs w:val="32"/>
        </w:rPr>
        <w:t>污染源普查宣传力度不够，深度不足，在普查过程中发现有个别普查对象对开展第二次全国污染源普查工作的情况知之甚少，造成普查对象压力大，大多数存在排污的对象都不愿意配合普查，提供的普查数据不是十分准确。</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原因分析：在第二次全国污染源普查准备阶段，我局印制了3000余份宣传单及致全县普查对象的一封信等宣传材料下发到乡镇、村及企业单位，但受普查经费等方面的限制，宣传力度、深度不足，未达到预期的普查氛围效果。</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Fonts w:hint="eastAsia" w:ascii="仿宋_GB2312" w:hAnsi="仿宋" w:eastAsia="仿宋_GB2312" w:cs="宋体"/>
          <w:sz w:val="32"/>
          <w:szCs w:val="32"/>
        </w:rPr>
      </w:pPr>
      <w:r>
        <w:rPr>
          <w:rFonts w:hint="eastAsia" w:ascii="仿宋_GB2312" w:hAnsi="仿宋" w:eastAsia="仿宋_GB2312"/>
          <w:bCs/>
          <w:spacing w:val="-4"/>
          <w:sz w:val="32"/>
          <w:szCs w:val="32"/>
        </w:rPr>
        <w:t>2、</w:t>
      </w:r>
      <w:r>
        <w:rPr>
          <w:rFonts w:hint="eastAsia" w:ascii="仿宋_GB2312" w:hAnsi="仿宋" w:eastAsia="仿宋_GB2312" w:cs="宋体"/>
          <w:sz w:val="32"/>
          <w:szCs w:val="32"/>
        </w:rPr>
        <w:t>普查培训效果欠佳，普查人员主动性、积极性不高。</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原因分析：普查人员从各级部门、乡镇抽调，对本辖区基本情况比较熟悉，但文化素质和专业背景参差不齐，短时间的集中培训验难以理解和掌握普查表中的各项指标。</w:t>
      </w:r>
    </w:p>
    <w:p>
      <w:pPr>
        <w:pStyle w:val="24"/>
        <w:keepNext w:val="0"/>
        <w:keepLines w:val="0"/>
        <w:pageBreakBefore w:val="0"/>
        <w:widowControl w:val="0"/>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六、有关建议</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420" w:firstLineChars="200"/>
        <w:textAlignment w:val="auto"/>
        <w:rPr>
          <w:rFonts w:hint="eastAsia" w:ascii="仿宋_GB2312" w:hAnsi="仿宋" w:eastAsia="仿宋_GB2312" w:cs="宋体"/>
          <w:sz w:val="32"/>
          <w:szCs w:val="32"/>
          <w:lang w:eastAsia="zh-CN"/>
        </w:rPr>
      </w:pPr>
      <w:r>
        <w:rPr>
          <w:rFonts w:ascii="黑体" w:hAnsi="黑体"/>
        </w:rPr>
        <w:t xml:space="preserve"> </w:t>
      </w:r>
      <w:r>
        <w:rPr>
          <w:rFonts w:ascii="仿宋_GB2312" w:hAnsi="仿宋" w:eastAsia="仿宋_GB2312" w:cs="宋体"/>
        </w:rPr>
        <w:t xml:space="preserve"> </w:t>
      </w: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加大宣传力度</w:t>
      </w:r>
      <w:r>
        <w:rPr>
          <w:rFonts w:hint="eastAsia" w:ascii="仿宋_GB2312" w:hAnsi="仿宋" w:eastAsia="仿宋_GB2312" w:cs="宋体"/>
          <w:sz w:val="32"/>
          <w:szCs w:val="32"/>
          <w:lang w:eastAsia="zh-CN"/>
        </w:rPr>
        <w:t>，充分利用广播电视新闻网站，开设普查专栏，向群众发放宣传单。</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仿宋_GB2312"/>
          <w:sz w:val="32"/>
          <w:szCs w:val="32"/>
          <w:lang w:val="en-US" w:eastAsia="zh-CN"/>
        </w:rPr>
        <w:t>2.</w:t>
      </w:r>
      <w:r>
        <w:rPr>
          <w:rFonts w:hint="eastAsia" w:ascii="仿宋_GB2312" w:hAnsi="仿宋" w:eastAsia="仿宋_GB2312" w:cs="宋体"/>
          <w:sz w:val="32"/>
          <w:szCs w:val="32"/>
          <w:lang w:eastAsia="zh-CN"/>
        </w:rPr>
        <w:t>加大培训力度</w:t>
      </w:r>
      <w:r>
        <w:rPr>
          <w:rFonts w:hint="eastAsia" w:ascii="仿宋_GB2312" w:hAnsi="仿宋" w:eastAsia="仿宋_GB2312" w:cs="宋体"/>
          <w:sz w:val="32"/>
          <w:szCs w:val="32"/>
        </w:rPr>
        <w:t>，</w:t>
      </w:r>
      <w:r>
        <w:rPr>
          <w:rFonts w:hint="eastAsia" w:ascii="仿宋_GB2312" w:hAnsi="仿宋" w:eastAsia="仿宋_GB2312" w:cs="宋体"/>
          <w:sz w:val="32"/>
          <w:szCs w:val="32"/>
          <w:lang w:eastAsia="zh-CN"/>
        </w:rPr>
        <w:t>组织各乡镇普查员进行细统培训，提高普查水平。</w:t>
      </w:r>
    </w:p>
    <w:p>
      <w:pPr>
        <w:pStyle w:val="24"/>
        <w:keepNext w:val="0"/>
        <w:keepLines w:val="0"/>
        <w:pageBreakBefore w:val="0"/>
        <w:widowControl w:val="0"/>
        <w:kinsoku/>
        <w:wordWrap/>
        <w:overflowPunct/>
        <w:topLinePunct w:val="0"/>
        <w:autoSpaceDE/>
        <w:autoSpaceDN/>
        <w:bidi w:val="0"/>
        <w:spacing w:before="0" w:line="560" w:lineRule="exact"/>
        <w:ind w:left="0" w:firstLine="643" w:firstLineChars="200"/>
        <w:textAlignment w:val="auto"/>
        <w:rPr>
          <w:rFonts w:ascii="黑体" w:hAnsi="黑体"/>
        </w:rPr>
      </w:pPr>
      <w:r>
        <w:rPr>
          <w:rFonts w:hint="eastAsia" w:ascii="黑体" w:hAnsi="黑体"/>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宋体"/>
          <w:sz w:val="32"/>
          <w:szCs w:val="32"/>
        </w:rPr>
        <w:t>无其他需要说明的问题</w:t>
      </w:r>
      <w:r>
        <w:rPr>
          <w:rFonts w:hint="eastAsia" w:ascii="仿宋_GB2312" w:hAnsi="仿宋" w:eastAsia="仿宋_GB2312" w:cs="宋体"/>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附件1：喀什地区叶城县第二次全国污染源普查项目支出绩效目标申报表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附件2：喀什地区叶城县第二次全国污染源普查项目支出绩效自评表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rPr>
        <w:t>叶城县第二次全国污染源普查项目</w:t>
      </w:r>
      <w:r>
        <w:rPr>
          <w:rFonts w:hint="eastAsia" w:ascii="仿宋_GB2312" w:hAnsi="仿宋" w:eastAsia="仿宋_GB2312" w:cs="宋体"/>
          <w:sz w:val="32"/>
          <w:szCs w:val="32"/>
          <w:lang w:bidi="ar"/>
        </w:rPr>
        <w:t>支出绩效评价指标体系</w:t>
      </w:r>
    </w:p>
    <w:p>
      <w:pPr>
        <w:ind w:firstLine="640" w:firstLineChars="200"/>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553" w:right="1740" w:bottom="178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757463D"/>
    <w:multiLevelType w:val="multilevel"/>
    <w:tmpl w:val="6757463D"/>
    <w:lvl w:ilvl="0" w:tentative="0">
      <w:start w:val="1"/>
      <w:numFmt w:val="chineseCountingThousand"/>
      <w:lvlText w:val="%1、"/>
      <w:lvlJc w:val="left"/>
      <w:pPr>
        <w:ind w:left="141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4"/>
  </w:num>
  <w:num w:numId="3">
    <w:abstractNumId w:val="2"/>
  </w:num>
  <w:num w:numId="4">
    <w:abstractNumId w:val="0"/>
  </w:num>
  <w:num w:numId="5">
    <w:abstractNumId w:val="3"/>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46DCF"/>
    <w:rsid w:val="000658AD"/>
    <w:rsid w:val="000E0C7B"/>
    <w:rsid w:val="000F2007"/>
    <w:rsid w:val="00100A64"/>
    <w:rsid w:val="00100AA9"/>
    <w:rsid w:val="00102353"/>
    <w:rsid w:val="001143D6"/>
    <w:rsid w:val="0012798F"/>
    <w:rsid w:val="00127F2E"/>
    <w:rsid w:val="00131D90"/>
    <w:rsid w:val="001323C1"/>
    <w:rsid w:val="00132553"/>
    <w:rsid w:val="00133770"/>
    <w:rsid w:val="00151AF1"/>
    <w:rsid w:val="00160ED6"/>
    <w:rsid w:val="00174F3A"/>
    <w:rsid w:val="0018169D"/>
    <w:rsid w:val="00193649"/>
    <w:rsid w:val="0019720C"/>
    <w:rsid w:val="001A1902"/>
    <w:rsid w:val="001A4FFA"/>
    <w:rsid w:val="001B5B44"/>
    <w:rsid w:val="001B793B"/>
    <w:rsid w:val="001D5FF2"/>
    <w:rsid w:val="001D6F2E"/>
    <w:rsid w:val="00203FB6"/>
    <w:rsid w:val="002222AB"/>
    <w:rsid w:val="00233ECE"/>
    <w:rsid w:val="00273BA6"/>
    <w:rsid w:val="00283F0C"/>
    <w:rsid w:val="002A1BF4"/>
    <w:rsid w:val="002B3A72"/>
    <w:rsid w:val="002B68E5"/>
    <w:rsid w:val="002C6231"/>
    <w:rsid w:val="002F5952"/>
    <w:rsid w:val="002F7CDC"/>
    <w:rsid w:val="003139BC"/>
    <w:rsid w:val="00315D94"/>
    <w:rsid w:val="00324E56"/>
    <w:rsid w:val="00331AF1"/>
    <w:rsid w:val="003468D7"/>
    <w:rsid w:val="00354992"/>
    <w:rsid w:val="00363E52"/>
    <w:rsid w:val="00370A4B"/>
    <w:rsid w:val="00381593"/>
    <w:rsid w:val="003820D0"/>
    <w:rsid w:val="00382736"/>
    <w:rsid w:val="003A04D1"/>
    <w:rsid w:val="003A1CEF"/>
    <w:rsid w:val="003C327E"/>
    <w:rsid w:val="003C4B3D"/>
    <w:rsid w:val="003C6E7F"/>
    <w:rsid w:val="003E0E95"/>
    <w:rsid w:val="003F1C70"/>
    <w:rsid w:val="003F2E47"/>
    <w:rsid w:val="00403544"/>
    <w:rsid w:val="00405F68"/>
    <w:rsid w:val="004115AA"/>
    <w:rsid w:val="00434C92"/>
    <w:rsid w:val="00443C47"/>
    <w:rsid w:val="004441DB"/>
    <w:rsid w:val="004452E8"/>
    <w:rsid w:val="00452560"/>
    <w:rsid w:val="00467DBB"/>
    <w:rsid w:val="004710DF"/>
    <w:rsid w:val="004779D9"/>
    <w:rsid w:val="004826B0"/>
    <w:rsid w:val="00496C43"/>
    <w:rsid w:val="004A0181"/>
    <w:rsid w:val="004A0587"/>
    <w:rsid w:val="004C4B82"/>
    <w:rsid w:val="004C56AB"/>
    <w:rsid w:val="004D088E"/>
    <w:rsid w:val="004D4F06"/>
    <w:rsid w:val="004F009A"/>
    <w:rsid w:val="00500A6A"/>
    <w:rsid w:val="005225F1"/>
    <w:rsid w:val="00531253"/>
    <w:rsid w:val="00540B36"/>
    <w:rsid w:val="00563E06"/>
    <w:rsid w:val="00574384"/>
    <w:rsid w:val="0058554B"/>
    <w:rsid w:val="00596DDF"/>
    <w:rsid w:val="005B6EAB"/>
    <w:rsid w:val="005C2744"/>
    <w:rsid w:val="005C5F94"/>
    <w:rsid w:val="005D08F5"/>
    <w:rsid w:val="005D2F10"/>
    <w:rsid w:val="005D69CD"/>
    <w:rsid w:val="005D7AC7"/>
    <w:rsid w:val="006122E0"/>
    <w:rsid w:val="00617957"/>
    <w:rsid w:val="00630E69"/>
    <w:rsid w:val="0063479E"/>
    <w:rsid w:val="006362B2"/>
    <w:rsid w:val="00640F90"/>
    <w:rsid w:val="006530CC"/>
    <w:rsid w:val="0065420A"/>
    <w:rsid w:val="00672F1E"/>
    <w:rsid w:val="00673051"/>
    <w:rsid w:val="00673E93"/>
    <w:rsid w:val="006775FA"/>
    <w:rsid w:val="006869EC"/>
    <w:rsid w:val="00694A44"/>
    <w:rsid w:val="006A719B"/>
    <w:rsid w:val="006B1479"/>
    <w:rsid w:val="006B2371"/>
    <w:rsid w:val="006C4684"/>
    <w:rsid w:val="006C7176"/>
    <w:rsid w:val="006D0AA4"/>
    <w:rsid w:val="006D3364"/>
    <w:rsid w:val="006F2513"/>
    <w:rsid w:val="006F5C62"/>
    <w:rsid w:val="006F64CB"/>
    <w:rsid w:val="0070586C"/>
    <w:rsid w:val="0071759F"/>
    <w:rsid w:val="00723E23"/>
    <w:rsid w:val="007253B3"/>
    <w:rsid w:val="00731D46"/>
    <w:rsid w:val="00734BAD"/>
    <w:rsid w:val="00752C57"/>
    <w:rsid w:val="00760CC4"/>
    <w:rsid w:val="00773CDF"/>
    <w:rsid w:val="00781733"/>
    <w:rsid w:val="007A6483"/>
    <w:rsid w:val="007C5CF9"/>
    <w:rsid w:val="007D2BF8"/>
    <w:rsid w:val="007D340B"/>
    <w:rsid w:val="007E6392"/>
    <w:rsid w:val="007E77C5"/>
    <w:rsid w:val="007F3C25"/>
    <w:rsid w:val="00810072"/>
    <w:rsid w:val="00811F2D"/>
    <w:rsid w:val="00815938"/>
    <w:rsid w:val="008226BA"/>
    <w:rsid w:val="00827DA6"/>
    <w:rsid w:val="00835103"/>
    <w:rsid w:val="00835CC7"/>
    <w:rsid w:val="00854416"/>
    <w:rsid w:val="00860DAD"/>
    <w:rsid w:val="00866F54"/>
    <w:rsid w:val="00883FF2"/>
    <w:rsid w:val="0089293E"/>
    <w:rsid w:val="00893E6C"/>
    <w:rsid w:val="00897863"/>
    <w:rsid w:val="008D4B74"/>
    <w:rsid w:val="008D7BC7"/>
    <w:rsid w:val="008F55BE"/>
    <w:rsid w:val="0090104C"/>
    <w:rsid w:val="009369E6"/>
    <w:rsid w:val="00982B10"/>
    <w:rsid w:val="009A4385"/>
    <w:rsid w:val="009B3E9E"/>
    <w:rsid w:val="009C0267"/>
    <w:rsid w:val="009C54D5"/>
    <w:rsid w:val="009E0A12"/>
    <w:rsid w:val="009E5354"/>
    <w:rsid w:val="00A02630"/>
    <w:rsid w:val="00A10F1E"/>
    <w:rsid w:val="00A12A0C"/>
    <w:rsid w:val="00A302F9"/>
    <w:rsid w:val="00A365D5"/>
    <w:rsid w:val="00A41DB8"/>
    <w:rsid w:val="00A43094"/>
    <w:rsid w:val="00A53361"/>
    <w:rsid w:val="00A5786D"/>
    <w:rsid w:val="00A60191"/>
    <w:rsid w:val="00A66391"/>
    <w:rsid w:val="00A81609"/>
    <w:rsid w:val="00A82408"/>
    <w:rsid w:val="00A85237"/>
    <w:rsid w:val="00A87406"/>
    <w:rsid w:val="00AA6AD1"/>
    <w:rsid w:val="00AB07C5"/>
    <w:rsid w:val="00AD108F"/>
    <w:rsid w:val="00AE1FDF"/>
    <w:rsid w:val="00AE3042"/>
    <w:rsid w:val="00B03B29"/>
    <w:rsid w:val="00B16C8F"/>
    <w:rsid w:val="00B32FA4"/>
    <w:rsid w:val="00B36F46"/>
    <w:rsid w:val="00B47B13"/>
    <w:rsid w:val="00B53BE4"/>
    <w:rsid w:val="00B6063F"/>
    <w:rsid w:val="00B75C12"/>
    <w:rsid w:val="00B811B8"/>
    <w:rsid w:val="00B9042A"/>
    <w:rsid w:val="00BA0855"/>
    <w:rsid w:val="00BA65AD"/>
    <w:rsid w:val="00BB5328"/>
    <w:rsid w:val="00BC7696"/>
    <w:rsid w:val="00BE5705"/>
    <w:rsid w:val="00C040FC"/>
    <w:rsid w:val="00C12E2C"/>
    <w:rsid w:val="00C2671D"/>
    <w:rsid w:val="00C3103C"/>
    <w:rsid w:val="00C3432C"/>
    <w:rsid w:val="00C350A0"/>
    <w:rsid w:val="00C5410B"/>
    <w:rsid w:val="00C563AA"/>
    <w:rsid w:val="00C71FF0"/>
    <w:rsid w:val="00C77259"/>
    <w:rsid w:val="00C92EA0"/>
    <w:rsid w:val="00C97E2D"/>
    <w:rsid w:val="00CA4357"/>
    <w:rsid w:val="00CE2DB6"/>
    <w:rsid w:val="00D043D7"/>
    <w:rsid w:val="00D10DB9"/>
    <w:rsid w:val="00D117FB"/>
    <w:rsid w:val="00D23C2E"/>
    <w:rsid w:val="00D37D63"/>
    <w:rsid w:val="00D61EC8"/>
    <w:rsid w:val="00D732D6"/>
    <w:rsid w:val="00D87FAD"/>
    <w:rsid w:val="00D93516"/>
    <w:rsid w:val="00DA3D5A"/>
    <w:rsid w:val="00DA7F4C"/>
    <w:rsid w:val="00DC5F94"/>
    <w:rsid w:val="00DE152F"/>
    <w:rsid w:val="00DE293B"/>
    <w:rsid w:val="00E05626"/>
    <w:rsid w:val="00E073C9"/>
    <w:rsid w:val="00E118D9"/>
    <w:rsid w:val="00E11E19"/>
    <w:rsid w:val="00E20953"/>
    <w:rsid w:val="00E25B2F"/>
    <w:rsid w:val="00E373A5"/>
    <w:rsid w:val="00E66A4D"/>
    <w:rsid w:val="00E67808"/>
    <w:rsid w:val="00E72B1C"/>
    <w:rsid w:val="00E96169"/>
    <w:rsid w:val="00EA3BA8"/>
    <w:rsid w:val="00EA4788"/>
    <w:rsid w:val="00EC35D1"/>
    <w:rsid w:val="00ED2204"/>
    <w:rsid w:val="00F0780F"/>
    <w:rsid w:val="00F16D54"/>
    <w:rsid w:val="00F4063B"/>
    <w:rsid w:val="00F6015C"/>
    <w:rsid w:val="00F74C81"/>
    <w:rsid w:val="00F75715"/>
    <w:rsid w:val="00F8199E"/>
    <w:rsid w:val="00F90EE1"/>
    <w:rsid w:val="00F95162"/>
    <w:rsid w:val="00F95AD6"/>
    <w:rsid w:val="00FA79AD"/>
    <w:rsid w:val="00FB2E2F"/>
    <w:rsid w:val="00FD300A"/>
    <w:rsid w:val="00FE4256"/>
    <w:rsid w:val="00FF137F"/>
    <w:rsid w:val="00FF6959"/>
    <w:rsid w:val="00FF6C14"/>
    <w:rsid w:val="01BE6316"/>
    <w:rsid w:val="07AE4845"/>
    <w:rsid w:val="0B0E7F7A"/>
    <w:rsid w:val="157F3875"/>
    <w:rsid w:val="16476648"/>
    <w:rsid w:val="217F35A7"/>
    <w:rsid w:val="24976F69"/>
    <w:rsid w:val="24E73B1F"/>
    <w:rsid w:val="25F96BFD"/>
    <w:rsid w:val="26F03C06"/>
    <w:rsid w:val="2A547683"/>
    <w:rsid w:val="300C4F73"/>
    <w:rsid w:val="306A4501"/>
    <w:rsid w:val="31C366C0"/>
    <w:rsid w:val="33CA34B6"/>
    <w:rsid w:val="34A65730"/>
    <w:rsid w:val="3BC01B4C"/>
    <w:rsid w:val="46C16BC4"/>
    <w:rsid w:val="49D73326"/>
    <w:rsid w:val="501E3BA9"/>
    <w:rsid w:val="509F44DE"/>
    <w:rsid w:val="55945462"/>
    <w:rsid w:val="57964064"/>
    <w:rsid w:val="59630A0F"/>
    <w:rsid w:val="5A781A20"/>
    <w:rsid w:val="5B5C036D"/>
    <w:rsid w:val="5C736B49"/>
    <w:rsid w:val="60C20427"/>
    <w:rsid w:val="60FA1E12"/>
    <w:rsid w:val="62544740"/>
    <w:rsid w:val="667765BF"/>
    <w:rsid w:val="66A036FC"/>
    <w:rsid w:val="68AC0EA3"/>
    <w:rsid w:val="7775238E"/>
    <w:rsid w:val="7A8638D9"/>
    <w:rsid w:val="7E1F7AD6"/>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3"/>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qFormat/>
    <w:uiPriority w:val="9"/>
    <w:rPr>
      <w:rFonts w:ascii="Times New Roman" w:hAnsi="Times New Roman" w:eastAsia="黑体" w:cs="Arial"/>
      <w:b/>
      <w:bCs/>
      <w:kern w:val="44"/>
      <w:sz w:val="28"/>
      <w:szCs w:val="44"/>
    </w:rPr>
  </w:style>
  <w:style w:type="paragraph" w:styleId="20">
    <w:name w:val="List Paragraph"/>
    <w:basedOn w:val="1"/>
    <w:qFormat/>
    <w:uiPriority w:val="34"/>
    <w:pPr>
      <w:ind w:firstLine="420" w:firstLineChars="200"/>
    </w:p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批注框文本 Char"/>
    <w:basedOn w:val="15"/>
    <w:link w:val="7"/>
    <w:semiHidden/>
    <w:qFormat/>
    <w:uiPriority w:val="99"/>
    <w:rPr>
      <w:sz w:val="18"/>
      <w:szCs w:val="18"/>
    </w:rPr>
  </w:style>
  <w:style w:type="paragraph" w:customStyle="1" w:styleId="24">
    <w:name w:val="标题1"/>
    <w:basedOn w:val="2"/>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paragraph" w:customStyle="1" w:styleId="26">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paragraph" w:customStyle="1" w:styleId="32">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5"/>
    <w:link w:val="4"/>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5"/>
    <w:link w:val="36"/>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E31EEB-8A38-4F73-AE58-001E2AA79272}">
  <ds:schemaRefs/>
</ds:datastoreItem>
</file>

<file path=docProps/app.xml><?xml version="1.0" encoding="utf-8"?>
<Properties xmlns="http://schemas.openxmlformats.org/officeDocument/2006/extended-properties" xmlns:vt="http://schemas.openxmlformats.org/officeDocument/2006/docPropsVTypes">
  <Template>Normal</Template>
  <Pages>13</Pages>
  <Words>809</Words>
  <Characters>4612</Characters>
  <Lines>38</Lines>
  <Paragraphs>10</Paragraphs>
  <TotalTime>40</TotalTime>
  <ScaleCrop>false</ScaleCrop>
  <LinksUpToDate>false</LinksUpToDate>
  <CharactersWithSpaces>5411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2023-12-14T03:42:38Z</dcterms:modified>
  <dc:title>新疆普天鹏华商务信息咨询有限公司</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