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新疆喀什地区叶城县住房和城乡建设局2021年度部门决算公开说明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1、承担规范和指导城乡保障性住房建设的责任。拟订全县住房保障相关政策并指导实施。拟订城乡保障性住房规划及政策，会同有关部门做好国家和自治区有关城乡保障性住房资金安排工作，监督各地组织实施。编制住房保障发展规划和年度计划并监督实施。</w:t>
      </w:r>
      <w:r>
        <w:rPr>
          <w:rFonts w:ascii="仿宋_GB2312" w:eastAsia="仿宋_GB2312"/>
          <w:sz w:val="32"/>
          <w:szCs w:val="32"/>
        </w:rPr>
        <w:br w:type="textWrapping"/>
      </w:r>
      <w:r>
        <w:rPr>
          <w:rFonts w:ascii="仿宋_GB2312" w:eastAsia="仿宋_GB2312"/>
          <w:sz w:val="32"/>
          <w:szCs w:val="32"/>
        </w:rPr>
        <w:t>　　2、承担推进住房制度改革的责任。拟订适合县的住房政策，指导住房建设和住房制度改革，拟订全县住房建设规划并指导实施。</w:t>
      </w:r>
      <w:r>
        <w:rPr>
          <w:rFonts w:ascii="仿宋_GB2312" w:eastAsia="仿宋_GB2312"/>
          <w:sz w:val="32"/>
          <w:szCs w:val="32"/>
        </w:rPr>
        <w:br w:type="textWrapping"/>
      </w:r>
      <w:r>
        <w:rPr>
          <w:rFonts w:ascii="仿宋_GB2312" w:eastAsia="仿宋_GB2312"/>
          <w:sz w:val="32"/>
          <w:szCs w:val="32"/>
        </w:rPr>
        <w:t>　　3、承担规范住房和城乡建设（人民防空）管理秩序的责任。拟订全县住房和城乡建设（人民防空）战略、中长期规划并组织实施。提出住房和城乡建设（人民防空）重大问题的建议。制定县级住房和城乡建设（人民防空）规范性文件。</w:t>
      </w:r>
      <w:r>
        <w:rPr>
          <w:rFonts w:ascii="仿宋_GB2312" w:eastAsia="仿宋_GB2312"/>
          <w:sz w:val="32"/>
          <w:szCs w:val="32"/>
        </w:rPr>
        <w:br w:type="textWrapping"/>
      </w:r>
      <w:r>
        <w:rPr>
          <w:rFonts w:ascii="仿宋_GB2312" w:eastAsia="仿宋_GB2312"/>
          <w:sz w:val="32"/>
          <w:szCs w:val="32"/>
        </w:rPr>
        <w:t>　　4、承担建立科学规范的住房和城乡建设地方标准体系的责任。组织拟订住房和城乡建设的地方性标准，拟订建设项目可行性研究评价方法、经济参数。建设标准和工程造价的管理制度，拟订公共服务设施(不含通信设施)建设标准并监督执行，指导监督各类工程建设标准定额实施和工程造价计价，组织发布工程造价信息。</w:t>
      </w:r>
      <w:r>
        <w:rPr>
          <w:rFonts w:ascii="仿宋_GB2312" w:eastAsia="仿宋_GB2312"/>
          <w:sz w:val="32"/>
          <w:szCs w:val="32"/>
        </w:rPr>
        <w:br w:type="textWrapping"/>
      </w:r>
      <w:r>
        <w:rPr>
          <w:rFonts w:ascii="仿宋_GB2312" w:eastAsia="仿宋_GB2312"/>
          <w:sz w:val="32"/>
          <w:szCs w:val="32"/>
        </w:rPr>
        <w:t>　　5、承担规范房地产市场秩序、监督管理房地产市场的责任。会同或配合有关部门组织拟订房地产市场监管政策并监督执行；指导城镇土地使用权有偿转让和开发利用工作；提出房地产业发展规划和产业政策，负责拟订房地产开发、房屋销售、房屋租赁、房屋面积管理、房地产估价与经纪管理、物业管理、房屋征收拆迁等规章制度并监督执行。</w:t>
      </w:r>
      <w:r>
        <w:rPr>
          <w:rFonts w:ascii="仿宋_GB2312" w:eastAsia="仿宋_GB2312"/>
          <w:sz w:val="32"/>
          <w:szCs w:val="32"/>
        </w:rPr>
        <w:br w:type="textWrapping"/>
      </w:r>
      <w:r>
        <w:rPr>
          <w:rFonts w:ascii="仿宋_GB2312" w:eastAsia="仿宋_GB2312"/>
          <w:sz w:val="32"/>
          <w:szCs w:val="32"/>
        </w:rPr>
        <w:t>　　6、监督管理全县建筑市场，规范各方主体行为。拟订工程建设、建筑业、勘察设计咨询业的行业发展战略、中长期规划、改革方案、产业政策并监督执行；负责勘察、设计、施工、工程监理法律法规规章执行的监督指导。</w:t>
      </w:r>
      <w:r>
        <w:rPr>
          <w:rFonts w:ascii="仿宋_GB2312" w:eastAsia="仿宋_GB2312"/>
          <w:sz w:val="32"/>
          <w:szCs w:val="32"/>
        </w:rPr>
        <w:br w:type="textWrapping"/>
      </w:r>
      <w:r>
        <w:rPr>
          <w:rFonts w:ascii="仿宋_GB2312" w:eastAsia="仿宋_GB2312"/>
          <w:sz w:val="32"/>
          <w:szCs w:val="32"/>
        </w:rPr>
        <w:t>　　7、拟订城市建设的政策、规划并指导实施：负责市政公用事业特许经营、供水、供气、供热和市容环境卫生、园林绿化法律法规规章执行的监督指导；指导城市市政公用设施建设、安全和应急管理；会同文物主管部门负责历史文化名城(镇、村)的保护和监督管理有关工作。</w:t>
      </w:r>
      <w:r>
        <w:rPr>
          <w:rFonts w:ascii="仿宋_GB2312" w:eastAsia="仿宋_GB2312"/>
          <w:sz w:val="32"/>
          <w:szCs w:val="32"/>
        </w:rPr>
        <w:br w:type="textWrapping"/>
      </w:r>
      <w:r>
        <w:rPr>
          <w:rFonts w:ascii="仿宋_GB2312" w:eastAsia="仿宋_GB2312"/>
          <w:sz w:val="32"/>
          <w:szCs w:val="32"/>
        </w:rPr>
        <w:t>　　8、承担规范和指导全县村镇建设的责任。拟订村庄和小城镇建设政策并指导实施，指导农村住房建设、村庄和小城镇人居生态环境的改善工作，指导全县重点镇的建设。组织协调、检查指导、督促落实农村危房改造（安居工程建设）工作，建立并维护农村危房改造（安居工程建设）纸质档案和电子档案。</w:t>
      </w:r>
      <w:r>
        <w:rPr>
          <w:rFonts w:ascii="仿宋_GB2312" w:eastAsia="仿宋_GB2312"/>
          <w:sz w:val="32"/>
          <w:szCs w:val="32"/>
        </w:rPr>
        <w:br w:type="textWrapping"/>
      </w:r>
      <w:r>
        <w:rPr>
          <w:rFonts w:ascii="仿宋_GB2312" w:eastAsia="仿宋_GB2312"/>
          <w:sz w:val="32"/>
          <w:szCs w:val="32"/>
        </w:rPr>
        <w:t>　　9、承担建筑工程质量安全监管的责任。负责建筑工程质量、竣工验收备案的法律法规规章执行的监督指导，组织或参与工程重大质量、安全事故的调查处理，拟订全县建筑业、工程勘察设计咨询业的技术政策并指导实施。</w:t>
      </w:r>
      <w:r>
        <w:rPr>
          <w:rFonts w:ascii="仿宋_GB2312" w:eastAsia="仿宋_GB2312"/>
          <w:sz w:val="32"/>
          <w:szCs w:val="32"/>
        </w:rPr>
        <w:br w:type="textWrapping"/>
      </w:r>
      <w:r>
        <w:rPr>
          <w:rFonts w:ascii="仿宋_GB2312" w:eastAsia="仿宋_GB2312"/>
          <w:sz w:val="32"/>
          <w:szCs w:val="32"/>
        </w:rPr>
        <w:t>　　10、综合管理城乡建设抗震减灾工作。负责对全县各类房屋建筑及其附属设施和城市市政工程的抗震设计规范的实施进行监督检查；负责组织城市超限高层建筑工程抗震设防审查工作;指导震后重建工作。</w:t>
      </w:r>
      <w:r>
        <w:rPr>
          <w:rFonts w:ascii="仿宋_GB2312" w:eastAsia="仿宋_GB2312"/>
          <w:sz w:val="32"/>
          <w:szCs w:val="32"/>
        </w:rPr>
        <w:br w:type="textWrapping"/>
      </w:r>
      <w:r>
        <w:rPr>
          <w:rFonts w:ascii="仿宋_GB2312" w:eastAsia="仿宋_GB2312"/>
          <w:sz w:val="32"/>
          <w:szCs w:val="32"/>
        </w:rPr>
        <w:t>　　11、承担推进建筑节能减排的责任。会同有关部门拟订建筑节能的政策、规划并监督实施，负责建筑节能法律法规规章的监督指导；拟订住房和城乡建设科技发展规划和经济政策,组织实施建设行业重大科技项目攻关合作交流、技术创新与成果推广应用；组织实施建筑节能等科技示范项目。</w:t>
      </w:r>
      <w:r>
        <w:rPr>
          <w:rFonts w:ascii="仿宋_GB2312" w:eastAsia="仿宋_GB2312"/>
          <w:sz w:val="32"/>
          <w:szCs w:val="32"/>
        </w:rPr>
        <w:br w:type="textWrapping"/>
      </w:r>
      <w:r>
        <w:rPr>
          <w:rFonts w:ascii="仿宋_GB2312" w:eastAsia="仿宋_GB2312"/>
          <w:sz w:val="32"/>
          <w:szCs w:val="32"/>
        </w:rPr>
        <w:t>　　12、会同有关部门审批人民防空建设与城市建设相结合规划；监督检查城市总体规划中贯彻落实人民防空要求及人民防空建设情况；依法对城市建设和重要经济目标落实人民防空要求、重要经济目标应急抢险抢修方案制定和落实情况进行监督检查。</w:t>
      </w:r>
      <w:r>
        <w:rPr>
          <w:rFonts w:ascii="仿宋_GB2312" w:eastAsia="仿宋_GB2312"/>
          <w:sz w:val="32"/>
          <w:szCs w:val="32"/>
        </w:rPr>
        <w:br w:type="textWrapping"/>
      </w:r>
      <w:r>
        <w:rPr>
          <w:rFonts w:ascii="仿宋_GB2312" w:eastAsia="仿宋_GB2312"/>
          <w:sz w:val="32"/>
          <w:szCs w:val="32"/>
        </w:rPr>
        <w:t>　　13、制定和指导人民防空组织指挥体系建设；拟定防空袭方案和各项保障方案并组织实施；组织与实施人民防空通信、警报试鸣、信息化建设与管理、战备执勤工作；负责组织人民防空指挥、通信人员及群众防空组织专业队业务培训和训练、专项防空袭演习、宣传教育；负责人民防空指挥工程位置的勘察、定址、指挥信息系统建设论证、审批；负责全县人民防空工程审批建设与管理，参与审查城市地下空间规划和开发利用；制定疏散地域、应急避难场所规划并组织实施；战时协调建立人民防空指挥机构，组织城市人民防空袭斗争；负责组织指挥工程日常维护管理及战时、突发事件时的使用；协助有关部门消除空袭后果，恢复正常的生产、生活秩序；对重要经济目标落实人民防空防护要求和工程技术措施、重要经济目标应急抢险抢修方案制定和落实情况进行监督检查；制定全县人民防空平战结合发展规划，指导和督促检查全县人民防空平战结合工作；负责全县人民防空经费和国有资产管理；编制人民防空经费预决算。</w:t>
      </w:r>
      <w:r>
        <w:rPr>
          <w:rFonts w:ascii="仿宋_GB2312" w:eastAsia="仿宋_GB2312"/>
          <w:sz w:val="32"/>
          <w:szCs w:val="32"/>
        </w:rPr>
        <w:br w:type="textWrapping"/>
      </w:r>
      <w:r>
        <w:rPr>
          <w:rFonts w:ascii="仿宋_GB2312" w:eastAsia="仿宋_GB2312"/>
          <w:sz w:val="32"/>
          <w:szCs w:val="32"/>
        </w:rPr>
        <w:t>　　14、对辖区内城市管理和执法工作的业务指导、组织协调、监督检查和考核评价。</w:t>
      </w:r>
      <w:r>
        <w:rPr>
          <w:rFonts w:ascii="仿宋_GB2312" w:eastAsia="仿宋_GB2312"/>
          <w:sz w:val="32"/>
          <w:szCs w:val="32"/>
        </w:rPr>
        <w:br w:type="textWrapping"/>
      </w:r>
      <w:r>
        <w:rPr>
          <w:rFonts w:ascii="仿宋_GB2312" w:eastAsia="仿宋_GB2312"/>
          <w:sz w:val="32"/>
          <w:szCs w:val="32"/>
        </w:rPr>
        <w:t>　　15、承办县委、人民政府交办的其他事项</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新疆喀什地区叶城县住房和城乡建设局</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121</w:t>
      </w:r>
      <w:r>
        <w:rPr>
          <w:rFonts w:hint="eastAsia" w:ascii="仿宋_GB2312" w:eastAsia="仿宋_GB2312"/>
          <w:sz w:val="32"/>
          <w:szCs w:val="32"/>
        </w:rPr>
        <w:t>人，其中：在职人员</w:t>
      </w:r>
      <w:r>
        <w:rPr>
          <w:rFonts w:ascii="仿宋_GB2312" w:eastAsia="仿宋_GB2312"/>
          <w:sz w:val="32"/>
          <w:szCs w:val="32"/>
        </w:rPr>
        <w:t>105</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16</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从部门决算单位构成看，新疆喀什地区叶城县住房和城乡建设局部门决算包括：新疆喀什地区叶城县住房和城乡建设局决算。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个处室，分别是：办公室、叶城县房地产服务中心、叶城县城市管理执法局、叶城县建筑业服务中心、叶城县建设工程质量安全监督站、叶城县市政公用设施服务中心</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51,411.54</w:t>
      </w:r>
      <w:r>
        <w:rPr>
          <w:rFonts w:hint="eastAsia" w:ascii="仿宋_GB2312" w:eastAsia="仿宋_GB2312"/>
          <w:sz w:val="32"/>
          <w:szCs w:val="32"/>
        </w:rPr>
        <w:t>万元，与上年相比，减少100,813.88万元，</w:t>
      </w:r>
      <w:r>
        <w:rPr>
          <w:rFonts w:ascii="仿宋_GB2312" w:eastAsia="仿宋_GB2312"/>
          <w:sz w:val="32"/>
          <w:szCs w:val="32"/>
        </w:rPr>
        <w:t>降低66.23</w:t>
      </w:r>
      <w:r>
        <w:rPr>
          <w:rFonts w:hint="eastAsia" w:ascii="仿宋_GB2312" w:eastAsia="仿宋_GB2312"/>
          <w:sz w:val="32"/>
          <w:szCs w:val="32"/>
        </w:rPr>
        <w:t>%，主要原因是：减少叶城县保障性住房建设项目。本年支出</w:t>
      </w:r>
      <w:r>
        <w:rPr>
          <w:rFonts w:ascii="仿宋_GB2312" w:eastAsia="仿宋_GB2312"/>
          <w:sz w:val="32"/>
          <w:szCs w:val="32"/>
        </w:rPr>
        <w:t>51,411.54</w:t>
      </w:r>
      <w:r>
        <w:rPr>
          <w:rFonts w:hint="eastAsia" w:ascii="仿宋_GB2312" w:eastAsia="仿宋_GB2312"/>
          <w:sz w:val="32"/>
          <w:szCs w:val="32"/>
        </w:rPr>
        <w:t>万元，与上年相比，</w:t>
      </w:r>
      <w:r>
        <w:rPr>
          <w:rFonts w:ascii="仿宋_GB2312" w:eastAsia="仿宋_GB2312"/>
          <w:sz w:val="32"/>
          <w:szCs w:val="32"/>
        </w:rPr>
        <w:t>减少100,813.88</w:t>
      </w:r>
      <w:r>
        <w:rPr>
          <w:rFonts w:hint="eastAsia" w:ascii="仿宋_GB2312" w:eastAsia="仿宋_GB2312"/>
          <w:sz w:val="32"/>
          <w:szCs w:val="32"/>
        </w:rPr>
        <w:t>万元，</w:t>
      </w:r>
      <w:r>
        <w:rPr>
          <w:rFonts w:ascii="仿宋_GB2312" w:eastAsia="仿宋_GB2312"/>
          <w:sz w:val="32"/>
          <w:szCs w:val="32"/>
        </w:rPr>
        <w:t>降低66.23</w:t>
      </w:r>
      <w:r>
        <w:rPr>
          <w:rFonts w:hint="eastAsia" w:ascii="仿宋_GB2312" w:eastAsia="仿宋_GB2312"/>
          <w:sz w:val="32"/>
          <w:szCs w:val="32"/>
        </w:rPr>
        <w:t>%，主要原因是：减少叶城县保障性住房建设项目。</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51,411.54</w:t>
      </w:r>
      <w:r>
        <w:rPr>
          <w:rFonts w:hint="eastAsia" w:ascii="仿宋_GB2312" w:eastAsia="仿宋_GB2312"/>
          <w:sz w:val="32"/>
          <w:szCs w:val="32"/>
        </w:rPr>
        <w:t>万元，其中：财政拨款收入</w:t>
      </w:r>
      <w:r>
        <w:rPr>
          <w:rFonts w:ascii="仿宋_GB2312" w:eastAsia="仿宋_GB2312"/>
          <w:sz w:val="32"/>
          <w:szCs w:val="32"/>
        </w:rPr>
        <w:t>48,891.88</w:t>
      </w:r>
      <w:r>
        <w:rPr>
          <w:rFonts w:hint="eastAsia" w:ascii="仿宋_GB2312" w:eastAsia="仿宋_GB2312"/>
          <w:sz w:val="32"/>
          <w:szCs w:val="32"/>
        </w:rPr>
        <w:t>万元，占95.10%；上级补助收入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2,519.66</w:t>
      </w:r>
      <w:r>
        <w:rPr>
          <w:rFonts w:hint="eastAsia" w:ascii="仿宋_GB2312" w:eastAsia="仿宋_GB2312"/>
          <w:sz w:val="32"/>
          <w:szCs w:val="32"/>
        </w:rPr>
        <w:t>万元，占4.90%。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年度本年支出51,411.54万元，其中：基本支出</w:t>
      </w:r>
      <w:r>
        <w:rPr>
          <w:rFonts w:ascii="仿宋_GB2312" w:eastAsia="仿宋_GB2312"/>
          <w:sz w:val="32"/>
          <w:szCs w:val="32"/>
        </w:rPr>
        <w:t>2,208.21</w:t>
      </w:r>
      <w:r>
        <w:rPr>
          <w:rFonts w:hint="eastAsia" w:ascii="仿宋_GB2312" w:eastAsia="仿宋_GB2312"/>
          <w:sz w:val="32"/>
          <w:szCs w:val="32"/>
        </w:rPr>
        <w:t>万元，占4.30%；项目支出</w:t>
      </w:r>
      <w:r>
        <w:rPr>
          <w:rFonts w:ascii="仿宋_GB2312" w:eastAsia="仿宋_GB2312"/>
          <w:sz w:val="32"/>
          <w:szCs w:val="32"/>
        </w:rPr>
        <w:t>49,203.33</w:t>
      </w:r>
      <w:r>
        <w:rPr>
          <w:rFonts w:hint="eastAsia" w:ascii="仿宋_GB2312" w:eastAsia="仿宋_GB2312"/>
          <w:sz w:val="32"/>
          <w:szCs w:val="32"/>
        </w:rPr>
        <w:t>万元，占95.70%；上缴上级支出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48,891.88万元，与上年相比，减少89,818.91万元，降低64.75%，主要原因是：减少叶城县保障性住房建设项目。财政拨款支出48,891.88万元，与上年相比，减少89,818.91万元，降低64.75%，主要原因是：减少叶城县保障性住房建设项目。</w:t>
      </w:r>
    </w:p>
    <w:p>
      <w:pPr>
        <w:ind w:firstLine="640" w:firstLineChars="200"/>
        <w:rPr>
          <w:rFonts w:ascii="仿宋_GB2312" w:eastAsia="仿宋_GB2312"/>
          <w:sz w:val="32"/>
          <w:szCs w:val="32"/>
          <w:highlight w:val="none"/>
        </w:rPr>
      </w:pPr>
      <w:r>
        <w:rPr>
          <w:rFonts w:hint="eastAsia" w:ascii="仿宋_GB2312" w:eastAsia="仿宋_GB2312"/>
          <w:sz w:val="32"/>
          <w:szCs w:val="32"/>
        </w:rPr>
        <w:t>与年初预算数相比情况：财政拨款收入年初预算数</w:t>
      </w:r>
      <w:r>
        <w:rPr>
          <w:rFonts w:ascii="仿宋_GB2312" w:eastAsia="仿宋_GB2312"/>
          <w:sz w:val="32"/>
          <w:szCs w:val="32"/>
        </w:rPr>
        <w:t>35,102.88</w:t>
      </w:r>
      <w:r>
        <w:rPr>
          <w:rFonts w:hint="eastAsia" w:ascii="仿宋_GB2312" w:eastAsia="仿宋_GB2312"/>
          <w:sz w:val="32"/>
          <w:szCs w:val="32"/>
        </w:rPr>
        <w:t>万元，决算数</w:t>
      </w:r>
      <w:r>
        <w:rPr>
          <w:rFonts w:ascii="仿宋_GB2312" w:eastAsia="仿宋_GB2312"/>
          <w:sz w:val="32"/>
          <w:szCs w:val="32"/>
        </w:rPr>
        <w:t>48,891.88</w:t>
      </w:r>
      <w:r>
        <w:rPr>
          <w:rFonts w:hint="eastAsia" w:ascii="仿宋_GB2312" w:eastAsia="仿宋_GB2312"/>
          <w:sz w:val="32"/>
          <w:szCs w:val="32"/>
        </w:rPr>
        <w:t>万元，预决算差异率</w:t>
      </w:r>
      <w:r>
        <w:rPr>
          <w:rFonts w:ascii="仿宋_GB2312" w:eastAsia="仿宋_GB2312"/>
          <w:sz w:val="32"/>
          <w:szCs w:val="32"/>
        </w:rPr>
        <w:t>39.28</w:t>
      </w:r>
      <w:r>
        <w:rPr>
          <w:rFonts w:hint="eastAsia" w:ascii="仿宋_GB2312" w:eastAsia="仿宋_GB2312"/>
          <w:sz w:val="32"/>
          <w:szCs w:val="32"/>
        </w:rPr>
        <w:t>%，</w:t>
      </w:r>
      <w:r>
        <w:rPr>
          <w:rFonts w:hint="eastAsia" w:ascii="仿宋_GB2312" w:eastAsia="仿宋_GB2312"/>
          <w:sz w:val="32"/>
          <w:szCs w:val="32"/>
          <w:highlight w:val="none"/>
        </w:rPr>
        <w:t>主要原因是：年中追加项目资金。财政拨款支出年初预算数</w:t>
      </w:r>
      <w:r>
        <w:rPr>
          <w:rFonts w:ascii="仿宋_GB2312" w:eastAsia="仿宋_GB2312"/>
          <w:sz w:val="32"/>
          <w:szCs w:val="32"/>
          <w:highlight w:val="none"/>
        </w:rPr>
        <w:t>35,102.88</w:t>
      </w:r>
      <w:r>
        <w:rPr>
          <w:rFonts w:hint="eastAsia" w:ascii="仿宋_GB2312" w:eastAsia="仿宋_GB2312"/>
          <w:sz w:val="32"/>
          <w:szCs w:val="32"/>
          <w:highlight w:val="none"/>
        </w:rPr>
        <w:t>万元，决算数</w:t>
      </w:r>
      <w:r>
        <w:rPr>
          <w:rFonts w:ascii="仿宋_GB2312" w:eastAsia="仿宋_GB2312"/>
          <w:sz w:val="32"/>
          <w:szCs w:val="32"/>
          <w:highlight w:val="none"/>
        </w:rPr>
        <w:t>48,891.88</w:t>
      </w:r>
      <w:r>
        <w:rPr>
          <w:rFonts w:hint="eastAsia" w:ascii="仿宋_GB2312" w:eastAsia="仿宋_GB2312"/>
          <w:sz w:val="32"/>
          <w:szCs w:val="32"/>
          <w:highlight w:val="none"/>
        </w:rPr>
        <w:t>万元，预决算差异率39.28%，主要原因是：年中追加项目资金。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bookmarkStart w:id="52" w:name="_GoBack"/>
      <w:bookmarkEnd w:id="52"/>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年度一般公共预算财政拨款支出41,971.50万元。按功能分类科目项级科目公开，其中：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2080505机关事业单位基本养老保险缴费支出68.29万元；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2100410突发公共卫生事件应急处理133.63万元；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2110302水体2,154.42万元；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2111001能源节约利用6,042.00万元；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2111407能源行业管理7,471.01万元；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2120101行政运行2,088.71万元；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2120199其他城乡社区管理事务支出254.96万元；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2120303小城镇基础设施建设123.00万元；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2120399其他城乡社区公共设施支出423.92万元；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2129999其他城乡社区支出242.79万元；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2130504农村基础设施建设1,661.18万元；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2130505生产发展2,962.62万元；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2210103棚户区改造2,114.37万元；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2210105农村危房改造431.66万元；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2210106公共租赁住房2,722.89万元；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2210108老旧小区改造246.00万元；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2210199其他保障性安居工程支出11,886.00万元；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2210201住房公积金51.21万元；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2299999其他支出892.84万元。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2,208.21</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2,196.65</w:t>
      </w:r>
      <w:r>
        <w:rPr>
          <w:rFonts w:hint="eastAsia" w:ascii="仿宋_GB2312" w:eastAsia="仿宋_GB2312"/>
          <w:sz w:val="32"/>
          <w:szCs w:val="32"/>
        </w:rPr>
        <w:t>万元，包括：基本工资、津贴补贴、奖金、机关事业单位基本养老保险缴费、职工基本医疗保险缴费、公务员医疗补助缴费、其他社会保障缴费、住房公积金、其他工资福利支出、退休费、生活补助、奖励金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公用经费11.56万元，包括：办公费、手续费、电费、邮电费、取暖费、公务用车运行维护费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2021年度一般公共预算“三公”经费支出决算4.81万元，比上年减少2.28万元，降低32.16%，主要原因是</w:t>
      </w:r>
      <w:r>
        <w:rPr>
          <w:rFonts w:hint="eastAsia" w:ascii="仿宋_GB2312" w:eastAsia="仿宋_GB2312"/>
          <w:sz w:val="32"/>
          <w:szCs w:val="32"/>
          <w:lang w:eastAsia="zh-CN"/>
        </w:rPr>
        <w:t>：</w:t>
      </w:r>
      <w:r>
        <w:rPr>
          <w:rFonts w:ascii="仿宋_GB2312" w:eastAsia="仿宋_GB2312"/>
          <w:sz w:val="32"/>
          <w:szCs w:val="32"/>
        </w:rPr>
        <w:t>严格按照中央八项规定，厉行节约，压减经费。其中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4.81万元，占100.00%，比上年减少2.28万元，降低32.16%，主要原因是：严格按照中央八项规定，厉行节约，压减经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4.81</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4.81</w:t>
      </w:r>
      <w:r>
        <w:rPr>
          <w:rFonts w:hint="eastAsia" w:ascii="仿宋_GB2312" w:eastAsia="仿宋_GB2312"/>
          <w:sz w:val="32"/>
          <w:szCs w:val="32"/>
        </w:rPr>
        <w:t>万元。公务用车运行维护费开支内容包括：燃油费、维修费、保险</w:t>
      </w:r>
      <w:r>
        <w:rPr>
          <w:rFonts w:hint="eastAsia" w:ascii="仿宋_GB2312" w:eastAsia="仿宋_GB2312"/>
          <w:sz w:val="32"/>
          <w:szCs w:val="32"/>
          <w:lang w:eastAsia="zh-CN"/>
        </w:rPr>
        <w:t>费</w:t>
      </w:r>
      <w:r>
        <w:rPr>
          <w:rFonts w:hint="eastAsia" w:ascii="仿宋_GB2312" w:eastAsia="仿宋_GB2312"/>
          <w:sz w:val="32"/>
          <w:szCs w:val="32"/>
        </w:rPr>
        <w:t>。公务用车购置数</w:t>
      </w:r>
      <w:r>
        <w:rPr>
          <w:rFonts w:ascii="仿宋_GB2312" w:eastAsia="仿宋_GB2312"/>
          <w:sz w:val="32"/>
          <w:szCs w:val="32"/>
        </w:rPr>
        <w:t>0</w:t>
      </w:r>
      <w:r>
        <w:rPr>
          <w:rFonts w:hint="eastAsia" w:ascii="仿宋_GB2312" w:eastAsia="仿宋_GB2312"/>
          <w:sz w:val="32"/>
          <w:szCs w:val="32"/>
        </w:rPr>
        <w:t>辆，公务用车保有量6辆。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与年初预算数相比情况：一般公共预算“三公”经费支出年初预算数7.09万元，决算数</w:t>
      </w:r>
      <w:r>
        <w:rPr>
          <w:rFonts w:ascii="仿宋_GB2312" w:eastAsia="仿宋_GB2312"/>
          <w:sz w:val="32"/>
          <w:szCs w:val="32"/>
        </w:rPr>
        <w:t>4.81</w:t>
      </w:r>
      <w:r>
        <w:rPr>
          <w:rFonts w:hint="eastAsia" w:ascii="仿宋_GB2312" w:eastAsia="仿宋_GB2312"/>
          <w:sz w:val="32"/>
          <w:szCs w:val="32"/>
        </w:rPr>
        <w:t>万元，预决算差异率-32.16%，主要原因是：严格按照中央八项规定，厉行节约，压减经费。</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预算数7.09万元，决算数4.81万元，预决算差异率-32.16%，主要原因是：严格按照中央八项规定，厉行节约，压减经费；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ascii="仿宋_GB2312" w:eastAsia="仿宋_GB2312"/>
          <w:sz w:val="32"/>
          <w:szCs w:val="32"/>
        </w:rPr>
        <w:t>2021年度政府性基金预算财政拨款收入6,920.38万元，与上年相比，减少39,741.97万元，降低85.17%，主要原因是：减少保障性住房项目资金。政府性基金预算财政拨款支出6,920.38万元</w:t>
      </w:r>
      <w:r>
        <w:rPr>
          <w:rFonts w:hint="eastAsia" w:ascii="仿宋_GB2312" w:eastAsia="仿宋_GB2312"/>
          <w:sz w:val="32"/>
          <w:szCs w:val="32"/>
        </w:rPr>
        <w:t>，</w:t>
      </w:r>
      <w:r>
        <w:rPr>
          <w:rFonts w:ascii="仿宋_GB2312" w:eastAsia="仿宋_GB2312"/>
          <w:sz w:val="32"/>
          <w:szCs w:val="32"/>
        </w:rPr>
        <w:t>与上年相比，减少39,741.97万元，降低85.17%，主要原因是：减少保障性住房项目资金。</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政府性基金预算财政拨款支出6,920.38万元。按功能分类科目项级科目公开</w:t>
      </w:r>
      <w:r>
        <w:rPr>
          <w:rFonts w:hint="eastAsia" w:ascii="仿宋_GB2312" w:eastAsia="仿宋_GB2312"/>
          <w:sz w:val="32"/>
          <w:szCs w:val="32"/>
          <w:lang w:eastAsia="zh-CN"/>
        </w:rPr>
        <w:t>，</w:t>
      </w:r>
      <w:r>
        <w:rPr>
          <w:rFonts w:hint="eastAsia" w:ascii="仿宋_GB2312" w:eastAsia="仿宋_GB2312"/>
          <w:sz w:val="32"/>
          <w:szCs w:val="32"/>
        </w:rPr>
        <w:t>其中：</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_GB2312" w:eastAsia="仿宋_GB2312"/>
          <w:sz w:val="32"/>
          <w:szCs w:val="32"/>
        </w:rPr>
      </w:pPr>
      <w:r>
        <w:rPr>
          <w:rFonts w:hint="eastAsia" w:ascii="仿宋_GB2312" w:eastAsia="仿宋_GB2312"/>
          <w:sz w:val="32"/>
          <w:szCs w:val="32"/>
        </w:rPr>
        <w:t>2120801征地和拆迁补偿支出6,020.45万元；</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黑体" w:hAnsi="黑体" w:eastAsia="黑体" w:cs="宋体"/>
          <w:bCs/>
          <w:kern w:val="0"/>
          <w:sz w:val="32"/>
          <w:szCs w:val="32"/>
        </w:rPr>
      </w:pPr>
      <w:r>
        <w:rPr>
          <w:rFonts w:ascii="仿宋_GB2312" w:eastAsia="仿宋_GB2312"/>
          <w:sz w:val="32"/>
          <w:szCs w:val="32"/>
        </w:rPr>
        <w:t>2121301城市公共设施899.93万元。</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2021年度新疆喀什地区叶城县住房和城乡建设局（行政单位和参照公务员法管理事业单位）机关运行经费支出</w:t>
      </w:r>
      <w:r>
        <w:rPr>
          <w:rFonts w:ascii="仿宋_GB2312" w:eastAsia="仿宋_GB2312"/>
          <w:sz w:val="32"/>
          <w:szCs w:val="32"/>
        </w:rPr>
        <w:t>11.56</w:t>
      </w:r>
      <w:r>
        <w:rPr>
          <w:rFonts w:hint="eastAsia" w:ascii="仿宋_GB2312" w:eastAsia="仿宋_GB2312"/>
          <w:sz w:val="32"/>
          <w:szCs w:val="32"/>
        </w:rPr>
        <w:t>万元，比上年减少6.85万元，降低37.21%，主要原因是：严格按照中央八项规定，厉行节约，压减经费。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361.12</w:t>
      </w:r>
      <w:r>
        <w:rPr>
          <w:rFonts w:hint="eastAsia" w:ascii="仿宋_GB2312" w:eastAsia="仿宋_GB2312"/>
          <w:sz w:val="32"/>
          <w:szCs w:val="32"/>
        </w:rPr>
        <w:t>万元，其中：政府采购货物支出</w:t>
      </w:r>
      <w:r>
        <w:rPr>
          <w:rFonts w:ascii="仿宋_GB2312" w:eastAsia="仿宋_GB2312"/>
          <w:sz w:val="32"/>
          <w:szCs w:val="32"/>
        </w:rPr>
        <w:t>169.62</w:t>
      </w:r>
      <w:r>
        <w:rPr>
          <w:rFonts w:hint="eastAsia" w:ascii="仿宋_GB2312" w:eastAsia="仿宋_GB2312"/>
          <w:sz w:val="32"/>
          <w:szCs w:val="32"/>
        </w:rPr>
        <w:t>万元、政府采购工程支出</w:t>
      </w:r>
      <w:r>
        <w:rPr>
          <w:rFonts w:ascii="仿宋_GB2312" w:eastAsia="仿宋_GB2312"/>
          <w:sz w:val="32"/>
          <w:szCs w:val="32"/>
        </w:rPr>
        <w:t>175.00</w:t>
      </w:r>
      <w:r>
        <w:rPr>
          <w:rFonts w:hint="eastAsia" w:ascii="仿宋_GB2312" w:eastAsia="仿宋_GB2312"/>
          <w:sz w:val="32"/>
          <w:szCs w:val="32"/>
        </w:rPr>
        <w:t>万元、政府采购服务支出</w:t>
      </w:r>
      <w:r>
        <w:rPr>
          <w:rFonts w:ascii="仿宋_GB2312" w:eastAsia="仿宋_GB2312"/>
          <w:sz w:val="32"/>
          <w:szCs w:val="32"/>
        </w:rPr>
        <w:t>16.50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354.75</w:t>
      </w:r>
      <w:r>
        <w:rPr>
          <w:rFonts w:hint="eastAsia" w:ascii="仿宋_GB2312" w:eastAsia="仿宋_GB2312"/>
          <w:sz w:val="32"/>
          <w:szCs w:val="32"/>
        </w:rPr>
        <w:t>万元，占政府采购支出总额的</w:t>
      </w:r>
      <w:r>
        <w:rPr>
          <w:rFonts w:ascii="仿宋_GB2312" w:eastAsia="仿宋_GB2312"/>
          <w:sz w:val="32"/>
          <w:szCs w:val="32"/>
        </w:rPr>
        <w:t>98.24</w:t>
      </w:r>
      <w:r>
        <w:rPr>
          <w:rFonts w:hint="eastAsia" w:ascii="仿宋_GB2312" w:eastAsia="仿宋_GB2312"/>
          <w:sz w:val="32"/>
          <w:szCs w:val="32"/>
        </w:rPr>
        <w:t>%，其中：授予小微企业合同金额</w:t>
      </w:r>
      <w:r>
        <w:rPr>
          <w:rFonts w:ascii="仿宋_GB2312" w:eastAsia="仿宋_GB2312"/>
          <w:sz w:val="32"/>
          <w:szCs w:val="32"/>
        </w:rPr>
        <w:t>354.75</w:t>
      </w:r>
      <w:r>
        <w:rPr>
          <w:rFonts w:hint="eastAsia" w:ascii="仿宋_GB2312" w:eastAsia="仿宋_GB2312"/>
          <w:sz w:val="32"/>
          <w:szCs w:val="32"/>
        </w:rPr>
        <w:t>万元，占政府采购支出总额的</w:t>
      </w:r>
      <w:r>
        <w:rPr>
          <w:rFonts w:ascii="仿宋_GB2312" w:eastAsia="仿宋_GB2312"/>
          <w:sz w:val="32"/>
          <w:szCs w:val="32"/>
        </w:rPr>
        <w:t>98.24</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8" w:name="_Toc8391"/>
      <w:bookmarkStart w:id="29" w:name="_Toc4591"/>
      <w:r>
        <w:rPr>
          <w:rFonts w:hint="eastAsia" w:ascii="黑体" w:hAnsi="黑体" w:eastAsia="黑体"/>
          <w:sz w:val="32"/>
          <w:szCs w:val="32"/>
        </w:rPr>
        <w:t>（三）国有资产占用情况说明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1,542.00</w:t>
      </w:r>
      <w:r>
        <w:rPr>
          <w:rFonts w:hint="eastAsia" w:ascii="仿宋_GB2312" w:eastAsia="仿宋_GB2312"/>
          <w:sz w:val="32"/>
          <w:szCs w:val="32"/>
        </w:rPr>
        <w:t>（平方米），价值</w:t>
      </w:r>
      <w:r>
        <w:rPr>
          <w:rFonts w:ascii="仿宋_GB2312" w:eastAsia="仿宋_GB2312"/>
          <w:sz w:val="32"/>
          <w:szCs w:val="32"/>
        </w:rPr>
        <w:t>40.15</w:t>
      </w:r>
      <w:r>
        <w:rPr>
          <w:rFonts w:hint="eastAsia" w:ascii="仿宋_GB2312" w:eastAsia="仿宋_GB2312"/>
          <w:sz w:val="32"/>
          <w:szCs w:val="32"/>
        </w:rPr>
        <w:t>万元。车辆</w:t>
      </w:r>
      <w:r>
        <w:rPr>
          <w:rFonts w:ascii="仿宋_GB2312" w:eastAsia="仿宋_GB2312"/>
          <w:sz w:val="32"/>
          <w:szCs w:val="32"/>
        </w:rPr>
        <w:t>6</w:t>
      </w:r>
      <w:r>
        <w:rPr>
          <w:rFonts w:hint="eastAsia" w:ascii="仿宋_GB2312" w:eastAsia="仿宋_GB2312"/>
          <w:sz w:val="32"/>
          <w:szCs w:val="32"/>
        </w:rPr>
        <w:t>辆，价值</w:t>
      </w:r>
      <w:r>
        <w:rPr>
          <w:rFonts w:ascii="仿宋_GB2312" w:eastAsia="仿宋_GB2312"/>
          <w:sz w:val="32"/>
          <w:szCs w:val="32"/>
        </w:rPr>
        <w:t>122.60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6</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0" w:name="_Toc11283"/>
      <w:bookmarkStart w:id="31" w:name="_Toc435"/>
      <w:r>
        <w:rPr>
          <w:rFonts w:hint="eastAsia" w:ascii="黑体" w:hAnsi="黑体" w:eastAsia="黑体" w:cs="宋体"/>
          <w:bCs/>
          <w:kern w:val="0"/>
          <w:sz w:val="32"/>
          <w:szCs w:val="32"/>
        </w:rPr>
        <w:t>十一、预算绩效的情况说明</w:t>
      </w:r>
      <w:bookmarkEnd w:id="30"/>
      <w:bookmarkEnd w:id="3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根据预算绩效管理要求，我单位2021年度开展预算绩效评价项目4</w:t>
      </w:r>
      <w:r>
        <w:rPr>
          <w:rFonts w:hint="eastAsia" w:ascii="仿宋_GB2312" w:eastAsia="仿宋_GB2312"/>
          <w:sz w:val="32"/>
          <w:szCs w:val="32"/>
          <w:lang w:val="en-US" w:eastAsia="zh-CN"/>
        </w:rPr>
        <w:t>0</w:t>
      </w:r>
      <w:r>
        <w:rPr>
          <w:rFonts w:ascii="仿宋_GB2312" w:eastAsia="仿宋_GB2312"/>
          <w:sz w:val="32"/>
          <w:szCs w:val="32"/>
        </w:rPr>
        <w:t>个，共涉及资金</w:t>
      </w:r>
      <w:r>
        <w:rPr>
          <w:rFonts w:hint="eastAsia" w:ascii="仿宋_GB2312" w:eastAsia="仿宋_GB2312"/>
          <w:sz w:val="32"/>
          <w:szCs w:val="32"/>
        </w:rPr>
        <w:t>48034.05</w:t>
      </w:r>
      <w:r>
        <w:rPr>
          <w:rFonts w:ascii="仿宋_GB2312" w:eastAsia="仿宋_GB2312"/>
          <w:sz w:val="32"/>
          <w:szCs w:val="32"/>
        </w:rPr>
        <w:t>万元。预算绩效管理取得的成效：一是</w:t>
      </w:r>
      <w:r>
        <w:rPr>
          <w:rFonts w:hint="eastAsia" w:ascii="仿宋_GB2312" w:eastAsia="仿宋_GB2312"/>
          <w:sz w:val="32"/>
          <w:szCs w:val="32"/>
        </w:rPr>
        <w:t>叶城县住房和城乡建设局</w:t>
      </w:r>
      <w:r>
        <w:rPr>
          <w:rFonts w:ascii="仿宋_GB2312" w:eastAsia="仿宋_GB2312"/>
          <w:sz w:val="32"/>
          <w:szCs w:val="32"/>
        </w:rPr>
        <w:t>内部能够实时了解本部门整体支出执行情况，按照财政部门统一要求的时间开展绩效。二是为保证年度绩效目标完成，及时制定的绩效总目标及财政资金预算情况，统筹考虑、全面运筹，合理安排财政资金支出，全年整体支出按时间进度执行。发现的问题及原因：一是项目绩效管理认知上的问题。对项目绩效管理认识理解不够，缺乏系统全面的理论认识及培训，往往导致预算编制缺乏合理性，预算执行存在偏差，绩效管理意识有待加强。二是项目绩效管理制定问题。对项目而言，都应有一套相对应得绩效管理制度，尤其是与财务相关的管理制度。由于绩效管理制度不完善，在真正落实财务绩效管理时，常存在绩效管理制定达不到预期的情况。下一步改进措施：一是针对绩效管理认识及理解的问题，要进一步加强对系统全面的理论认识及培训，我单位将进一步加强绩效管理及学习及培训，加强绩效管理。二是针对项目绩效管理制定问题。我单位将认真研究，建立健全相对应的一套绩效管理制度，尤其是项目财务相关的管理制度，以保证绩效目标的完整执行、全面实施。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2" w:name="_Toc24143"/>
      <w:bookmarkStart w:id="33" w:name="_Toc3250"/>
      <w:r>
        <w:rPr>
          <w:rFonts w:hint="eastAsia" w:ascii="黑体" w:hAnsi="黑体" w:eastAsia="黑体"/>
          <w:sz w:val="32"/>
          <w:szCs w:val="32"/>
        </w:rPr>
        <w:t>第三部分 专业名词解释</w:t>
      </w:r>
      <w:bookmarkEnd w:id="32"/>
      <w:bookmarkEnd w:id="33"/>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4" w:name="_Toc28903"/>
      <w:bookmarkStart w:id="35"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outlineLvl w:val="1"/>
        <w:rPr>
          <w:rFonts w:ascii="黑体" w:hAnsi="黑体" w:eastAsia="黑体" w:cs="宋体"/>
          <w:bCs/>
          <w:kern w:val="0"/>
          <w:sz w:val="32"/>
          <w:szCs w:val="32"/>
        </w:rPr>
      </w:pPr>
      <w:bookmarkStart w:id="36" w:name="_Toc6062"/>
      <w:bookmarkStart w:id="37" w:name="_Toc2183"/>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30364"/>
      <w:bookmarkStart w:id="39" w:name="_Toc24532"/>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32434"/>
      <w:bookmarkStart w:id="41" w:name="_Toc2130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14238"/>
      <w:bookmarkStart w:id="43" w:name="_Toc28786"/>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4869"/>
      <w:bookmarkStart w:id="45" w:name="_Toc10347"/>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5626"/>
      <w:bookmarkStart w:id="47" w:name="_Toc8884"/>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32663"/>
      <w:bookmarkStart w:id="49" w:name="_Toc29106"/>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5453"/>
      <w:bookmarkStart w:id="51" w:name="_Toc764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B329B1"/>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8470B0"/>
    <w:rsid w:val="29E96D83"/>
    <w:rsid w:val="29EC087F"/>
    <w:rsid w:val="2A053397"/>
    <w:rsid w:val="2A5326E2"/>
    <w:rsid w:val="2ABE0B21"/>
    <w:rsid w:val="2B3A3AD8"/>
    <w:rsid w:val="2D1136DF"/>
    <w:rsid w:val="2DE716FC"/>
    <w:rsid w:val="2E59285E"/>
    <w:rsid w:val="2FD27414"/>
    <w:rsid w:val="31857BAC"/>
    <w:rsid w:val="31B5304E"/>
    <w:rsid w:val="31C63837"/>
    <w:rsid w:val="33206C0F"/>
    <w:rsid w:val="335220F4"/>
    <w:rsid w:val="33BC32B4"/>
    <w:rsid w:val="3429669A"/>
    <w:rsid w:val="34965581"/>
    <w:rsid w:val="35C5793C"/>
    <w:rsid w:val="36325697"/>
    <w:rsid w:val="36E958BB"/>
    <w:rsid w:val="370D7281"/>
    <w:rsid w:val="38CB046A"/>
    <w:rsid w:val="3A643253"/>
    <w:rsid w:val="3B5D1933"/>
    <w:rsid w:val="3D1D5019"/>
    <w:rsid w:val="3D5275AC"/>
    <w:rsid w:val="3E1A76DD"/>
    <w:rsid w:val="3E2B7A03"/>
    <w:rsid w:val="3E542D44"/>
    <w:rsid w:val="3E9A7BA4"/>
    <w:rsid w:val="3F076061"/>
    <w:rsid w:val="3F6A08C0"/>
    <w:rsid w:val="43105F4F"/>
    <w:rsid w:val="455E1F7C"/>
    <w:rsid w:val="45897ADA"/>
    <w:rsid w:val="46901EEE"/>
    <w:rsid w:val="469C74D2"/>
    <w:rsid w:val="488A7812"/>
    <w:rsid w:val="48A52360"/>
    <w:rsid w:val="4902047E"/>
    <w:rsid w:val="4A7D4485"/>
    <w:rsid w:val="4C2E1A9B"/>
    <w:rsid w:val="4DE45AD9"/>
    <w:rsid w:val="4E11500F"/>
    <w:rsid w:val="4EEF1380"/>
    <w:rsid w:val="4F9D7B44"/>
    <w:rsid w:val="50DB5F45"/>
    <w:rsid w:val="512709C0"/>
    <w:rsid w:val="51DB4252"/>
    <w:rsid w:val="52314E57"/>
    <w:rsid w:val="523358A5"/>
    <w:rsid w:val="52915AF8"/>
    <w:rsid w:val="53350823"/>
    <w:rsid w:val="54054866"/>
    <w:rsid w:val="54F22EA5"/>
    <w:rsid w:val="55516A31"/>
    <w:rsid w:val="59444B98"/>
    <w:rsid w:val="59996596"/>
    <w:rsid w:val="5A8B468F"/>
    <w:rsid w:val="5C386C32"/>
    <w:rsid w:val="5D286D33"/>
    <w:rsid w:val="5D630BDE"/>
    <w:rsid w:val="5E8A0BA7"/>
    <w:rsid w:val="5FFF1C5A"/>
    <w:rsid w:val="61A46A97"/>
    <w:rsid w:val="62755EA8"/>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6822A5"/>
    <w:rsid w:val="70A609BC"/>
    <w:rsid w:val="73FB6630"/>
    <w:rsid w:val="74060C43"/>
    <w:rsid w:val="74947C20"/>
    <w:rsid w:val="74EB2019"/>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6581</Words>
  <Characters>7403</Characters>
  <Lines>59</Lines>
  <Paragraphs>16</Paragraphs>
  <TotalTime>51</TotalTime>
  <ScaleCrop>false</ScaleCrop>
  <LinksUpToDate>false</LinksUpToDate>
  <CharactersWithSpaces>7477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2023-08-10T05:19:02Z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