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新疆喀什地区叶城县应急管理局2021年度部门决算公开说明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（1）负责全县应急管理工作，指导各乡镇（场）、各部门应对自然灾害类等突发事件和综合防灾减灾救灾工作；</w:t>
      </w:r>
      <w:r>
        <w:rPr>
          <w:rFonts w:ascii="仿宋_GB2312" w:eastAsia="仿宋_GB2312"/>
          <w:sz w:val="32"/>
          <w:szCs w:val="32"/>
        </w:rPr>
        <w:br w:type="textWrapping"/>
      </w:r>
      <w:r>
        <w:rPr>
          <w:rFonts w:ascii="仿宋_GB2312" w:eastAsia="仿宋_GB2312"/>
          <w:sz w:val="32"/>
          <w:szCs w:val="32"/>
        </w:rPr>
        <w:t>　　（2）组织编制应急体系建设、生产和综合防灾减灾规划，组织制定应急管理、生产类规范性文件并监督实施；</w:t>
      </w:r>
      <w:r>
        <w:rPr>
          <w:rFonts w:ascii="仿宋_GB2312" w:eastAsia="仿宋_GB2312"/>
          <w:sz w:val="32"/>
          <w:szCs w:val="32"/>
        </w:rPr>
        <w:br w:type="textWrapping"/>
      </w:r>
      <w:r>
        <w:rPr>
          <w:rFonts w:ascii="仿宋_GB2312" w:eastAsia="仿宋_GB2312"/>
          <w:sz w:val="32"/>
          <w:szCs w:val="32"/>
        </w:rPr>
        <w:t>　　（3）负责自然灾害类应急预案体系建设，建立完善事故灾难和自然灾害分级应对制度，组织编制本县总体应急预案和自然灾害类专项预案，综合协调应急预案衔接工作；</w:t>
      </w:r>
      <w:r>
        <w:rPr>
          <w:rFonts w:ascii="仿宋_GB2312" w:eastAsia="仿宋_GB2312"/>
          <w:sz w:val="32"/>
          <w:szCs w:val="32"/>
        </w:rPr>
        <w:br w:type="textWrapping"/>
      </w:r>
      <w:r>
        <w:rPr>
          <w:rFonts w:ascii="仿宋_GB2312" w:eastAsia="仿宋_GB2312"/>
          <w:sz w:val="32"/>
          <w:szCs w:val="32"/>
        </w:rPr>
        <w:t>　　（4）负责编制和落实信息传输渠道的规划和布局，建立监测预警和灾情报告制度，健全自然灾害信息资源获取和共享机制，依法统一发布灾情；</w:t>
      </w:r>
      <w:r>
        <w:rPr>
          <w:rFonts w:ascii="仿宋_GB2312" w:eastAsia="仿宋_GB2312"/>
          <w:sz w:val="32"/>
          <w:szCs w:val="32"/>
        </w:rPr>
        <w:br w:type="textWrapping"/>
      </w:r>
      <w:r>
        <w:rPr>
          <w:rFonts w:ascii="仿宋_GB2312" w:eastAsia="仿宋_GB2312"/>
          <w:sz w:val="32"/>
          <w:szCs w:val="32"/>
        </w:rPr>
        <w:t>　　（5）组织指导协调自然灾害类等突发事件应急救援，承担本县应对较大灾害指挥部工作并提出应对建议，协助县委、县人民政府组织重大灾害应急处置工作；</w:t>
      </w:r>
      <w:r>
        <w:rPr>
          <w:rFonts w:ascii="仿宋_GB2312" w:eastAsia="仿宋_GB2312"/>
          <w:sz w:val="32"/>
          <w:szCs w:val="32"/>
        </w:rPr>
        <w:br w:type="textWrapping"/>
      </w:r>
      <w:r>
        <w:rPr>
          <w:rFonts w:ascii="仿宋_GB2312" w:eastAsia="仿宋_GB2312"/>
          <w:sz w:val="32"/>
          <w:szCs w:val="32"/>
        </w:rPr>
        <w:t>　　（6）统一协调指挥各类应急专业队伍，建立应急协调联动机制；</w:t>
      </w:r>
      <w:r>
        <w:rPr>
          <w:rFonts w:ascii="仿宋_GB2312" w:eastAsia="仿宋_GB2312"/>
          <w:sz w:val="32"/>
          <w:szCs w:val="32"/>
        </w:rPr>
        <w:br w:type="textWrapping"/>
      </w:r>
      <w:r>
        <w:rPr>
          <w:rFonts w:ascii="仿宋_GB2312" w:eastAsia="仿宋_GB2312"/>
          <w:sz w:val="32"/>
          <w:szCs w:val="32"/>
        </w:rPr>
        <w:t>　　（7）统筹应急救援力量建设，负责组织消防、森林火灾扑救、抗洪抢险、地震和地质灾害救援、等专业应急救援力量建设，指导各乡镇（场）、各单位及社会应急救援力量建设；</w:t>
      </w:r>
      <w:r>
        <w:rPr>
          <w:rFonts w:ascii="仿宋_GB2312" w:eastAsia="仿宋_GB2312"/>
          <w:sz w:val="32"/>
          <w:szCs w:val="32"/>
        </w:rPr>
        <w:br w:type="textWrapping"/>
      </w:r>
      <w:r>
        <w:rPr>
          <w:rFonts w:ascii="仿宋_GB2312" w:eastAsia="仿宋_GB2312"/>
          <w:sz w:val="32"/>
          <w:szCs w:val="32"/>
        </w:rPr>
        <w:t>　　（8）负责消防管理工作，指导各乡镇（场）、各单位消防监督、火灾预防、火灾扑救等工作；</w:t>
      </w:r>
      <w:r>
        <w:rPr>
          <w:rFonts w:ascii="仿宋_GB2312" w:eastAsia="仿宋_GB2312"/>
          <w:sz w:val="32"/>
          <w:szCs w:val="32"/>
        </w:rPr>
        <w:br w:type="textWrapping"/>
      </w:r>
      <w:r>
        <w:rPr>
          <w:rFonts w:ascii="仿宋_GB2312" w:eastAsia="仿宋_GB2312"/>
          <w:sz w:val="32"/>
          <w:szCs w:val="32"/>
        </w:rPr>
        <w:t>　　（9）指导协调森林和草原火灾、水旱灾害、地震和地质灾害等防治工作，负责自然灾害综合监测预警工作，指导开展自然灾害综合风险评估工作；</w:t>
      </w:r>
      <w:r>
        <w:rPr>
          <w:rFonts w:ascii="仿宋_GB2312" w:eastAsia="仿宋_GB2312"/>
          <w:sz w:val="32"/>
          <w:szCs w:val="32"/>
        </w:rPr>
        <w:br w:type="textWrapping"/>
      </w:r>
      <w:r>
        <w:rPr>
          <w:rFonts w:ascii="仿宋_GB2312" w:eastAsia="仿宋_GB2312"/>
          <w:sz w:val="32"/>
          <w:szCs w:val="32"/>
        </w:rPr>
        <w:t>　　（10）组织协调本县灾害救助工作，组织指导灾情核查、损失评估、救灾捐赠工作，管理、分配自治区、地区、县级救灾款物并监督使用；</w:t>
      </w:r>
      <w:r>
        <w:rPr>
          <w:rFonts w:ascii="仿宋_GB2312" w:eastAsia="仿宋_GB2312"/>
          <w:sz w:val="32"/>
          <w:szCs w:val="32"/>
        </w:rPr>
        <w:br w:type="textWrapping"/>
      </w:r>
      <w:r>
        <w:rPr>
          <w:rFonts w:ascii="仿宋_GB2312" w:eastAsia="仿宋_GB2312"/>
          <w:sz w:val="32"/>
          <w:szCs w:val="32"/>
        </w:rPr>
        <w:t>　　（11）依法行使综合监督管理职权，指导协调、监督检查各乡镇人民政府和县直有关部门工作，组织开展生产联合检查、考核工作；</w:t>
      </w:r>
      <w:r>
        <w:rPr>
          <w:rFonts w:ascii="仿宋_GB2312" w:eastAsia="仿宋_GB2312"/>
          <w:sz w:val="32"/>
          <w:szCs w:val="32"/>
        </w:rPr>
        <w:br w:type="textWrapping"/>
      </w:r>
      <w:r>
        <w:rPr>
          <w:rFonts w:ascii="仿宋_GB2312" w:eastAsia="仿宋_GB2312"/>
          <w:sz w:val="32"/>
          <w:szCs w:val="32"/>
        </w:rPr>
        <w:t>　　（12）按照分级、属地原则，依法监督检查单位贯彻执行生产法律法规；依法组织并指导监督实施生产准入制度；负责非煤矿山生产监督管理工作；</w:t>
      </w:r>
      <w:r>
        <w:rPr>
          <w:rFonts w:ascii="仿宋_GB2312" w:eastAsia="仿宋_GB2312"/>
          <w:sz w:val="32"/>
          <w:szCs w:val="32"/>
        </w:rPr>
        <w:br w:type="textWrapping"/>
      </w:r>
      <w:r>
        <w:rPr>
          <w:rFonts w:ascii="仿宋_GB2312" w:eastAsia="仿宋_GB2312"/>
          <w:sz w:val="32"/>
          <w:szCs w:val="32"/>
        </w:rPr>
        <w:t>　　（13）承担事故调查处理，监督事故查处和责任追究落实工作；组织开展自然灾害类突发事件的调查评估工作；</w:t>
      </w:r>
      <w:r>
        <w:rPr>
          <w:rFonts w:ascii="仿宋_GB2312" w:eastAsia="仿宋_GB2312"/>
          <w:sz w:val="32"/>
          <w:szCs w:val="32"/>
        </w:rPr>
        <w:br w:type="textWrapping"/>
      </w:r>
      <w:r>
        <w:rPr>
          <w:rFonts w:ascii="仿宋_GB2312" w:eastAsia="仿宋_GB2312"/>
          <w:sz w:val="32"/>
          <w:szCs w:val="32"/>
        </w:rPr>
        <w:t>　　（14）制定应急物资储备和应急救援装备规划并组织实施；</w:t>
      </w:r>
      <w:r>
        <w:rPr>
          <w:rFonts w:ascii="仿宋_GB2312" w:eastAsia="仿宋_GB2312"/>
          <w:sz w:val="32"/>
          <w:szCs w:val="32"/>
        </w:rPr>
        <w:br w:type="textWrapping"/>
      </w:r>
      <w:r>
        <w:rPr>
          <w:rFonts w:ascii="仿宋_GB2312" w:eastAsia="仿宋_GB2312"/>
          <w:sz w:val="32"/>
          <w:szCs w:val="32"/>
        </w:rPr>
        <w:t>　　（15）负责应急管理、宣传教育和培训工作，组织指导全县应急管理、生产的科学技术研究、推广应用和信息化建设工作；开展应急管理方面的对外合作与交流；</w:t>
      </w:r>
      <w:r>
        <w:rPr>
          <w:rFonts w:ascii="仿宋_GB2312" w:eastAsia="仿宋_GB2312"/>
          <w:sz w:val="32"/>
          <w:szCs w:val="32"/>
        </w:rPr>
        <w:br w:type="textWrapping"/>
      </w:r>
      <w:r>
        <w:rPr>
          <w:rFonts w:ascii="仿宋_GB2312" w:eastAsia="仿宋_GB2312"/>
          <w:sz w:val="32"/>
          <w:szCs w:val="32"/>
        </w:rPr>
        <w:t>　　（16）完成县委、县人民政府交办的其他任务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新疆喀什地区叶城县应急管理局</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15</w:t>
      </w:r>
      <w:r>
        <w:rPr>
          <w:rFonts w:hint="eastAsia" w:ascii="仿宋_GB2312" w:eastAsia="仿宋_GB2312"/>
          <w:sz w:val="32"/>
          <w:szCs w:val="32"/>
        </w:rPr>
        <w:t>人，其中：在职人员</w:t>
      </w:r>
      <w:r>
        <w:rPr>
          <w:rFonts w:ascii="仿宋_GB2312" w:eastAsia="仿宋_GB2312"/>
          <w:sz w:val="32"/>
          <w:szCs w:val="32"/>
        </w:rPr>
        <w:t>15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从部门决算单位构成看，新疆喀什地区叶城县应急管理局部门决算包括：新疆喀什地区叶城县应急管理局决算。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个处室，分别是：办公室、应急指挥调度室、安全生产综合协调监督管理股、救灾和物资保障股</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2,223.37</w:t>
      </w:r>
      <w:r>
        <w:rPr>
          <w:rFonts w:hint="eastAsia" w:ascii="仿宋_GB2312" w:eastAsia="仿宋_GB2312"/>
          <w:sz w:val="32"/>
          <w:szCs w:val="32"/>
        </w:rPr>
        <w:t>万元，与上年相比，增加451.99万元，</w:t>
      </w:r>
      <w:r>
        <w:rPr>
          <w:rFonts w:ascii="仿宋_GB2312" w:eastAsia="仿宋_GB2312"/>
          <w:sz w:val="32"/>
          <w:szCs w:val="32"/>
        </w:rPr>
        <w:t>增长25.52</w:t>
      </w:r>
      <w:r>
        <w:rPr>
          <w:rFonts w:hint="eastAsia" w:ascii="仿宋_GB2312" w:eastAsia="仿宋_GB2312"/>
          <w:sz w:val="32"/>
          <w:szCs w:val="32"/>
        </w:rPr>
        <w:t>%，主要原因是：2021年增加了防灾救灾抗震物资资金项目，收入决算数相应增加。本年支出</w:t>
      </w:r>
      <w:r>
        <w:rPr>
          <w:rFonts w:ascii="仿宋_GB2312" w:eastAsia="仿宋_GB2312"/>
          <w:sz w:val="32"/>
          <w:szCs w:val="32"/>
        </w:rPr>
        <w:t>2,223.37</w:t>
      </w:r>
      <w:r>
        <w:rPr>
          <w:rFonts w:hint="eastAsia" w:ascii="仿宋_GB2312" w:eastAsia="仿宋_GB2312"/>
          <w:sz w:val="32"/>
          <w:szCs w:val="32"/>
        </w:rPr>
        <w:t>万元，与上年相比，</w:t>
      </w:r>
      <w:r>
        <w:rPr>
          <w:rFonts w:ascii="仿宋_GB2312" w:eastAsia="仿宋_GB2312"/>
          <w:sz w:val="32"/>
          <w:szCs w:val="32"/>
        </w:rPr>
        <w:t>增加451.99</w:t>
      </w:r>
      <w:r>
        <w:rPr>
          <w:rFonts w:hint="eastAsia" w:ascii="仿宋_GB2312" w:eastAsia="仿宋_GB2312"/>
          <w:sz w:val="32"/>
          <w:szCs w:val="32"/>
        </w:rPr>
        <w:t>万元，</w:t>
      </w:r>
      <w:r>
        <w:rPr>
          <w:rFonts w:ascii="仿宋_GB2312" w:eastAsia="仿宋_GB2312"/>
          <w:sz w:val="32"/>
          <w:szCs w:val="32"/>
        </w:rPr>
        <w:t>增长25.52</w:t>
      </w:r>
      <w:r>
        <w:rPr>
          <w:rFonts w:hint="eastAsia" w:ascii="仿宋_GB2312" w:eastAsia="仿宋_GB2312"/>
          <w:sz w:val="32"/>
          <w:szCs w:val="32"/>
        </w:rPr>
        <w:t>%，主要原因是：2021年增加了防灾救灾抗震物资资金项目，支出决算数相应增加。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2,223.37</w:t>
      </w:r>
      <w:r>
        <w:rPr>
          <w:rFonts w:hint="eastAsia" w:ascii="仿宋_GB2312" w:eastAsia="仿宋_GB2312"/>
          <w:sz w:val="32"/>
          <w:szCs w:val="32"/>
        </w:rPr>
        <w:t>万元，其中：财政拨款收入</w:t>
      </w:r>
      <w:r>
        <w:rPr>
          <w:rFonts w:ascii="仿宋_GB2312" w:eastAsia="仿宋_GB2312"/>
          <w:sz w:val="32"/>
          <w:szCs w:val="32"/>
        </w:rPr>
        <w:t>2,223.37</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年度本年支出2,223.37万元，其中：基本支出</w:t>
      </w:r>
      <w:r>
        <w:rPr>
          <w:rFonts w:ascii="仿宋_GB2312" w:eastAsia="仿宋_GB2312"/>
          <w:sz w:val="32"/>
          <w:szCs w:val="32"/>
        </w:rPr>
        <w:t>255.72</w:t>
      </w:r>
      <w:r>
        <w:rPr>
          <w:rFonts w:hint="eastAsia" w:ascii="仿宋_GB2312" w:eastAsia="仿宋_GB2312"/>
          <w:sz w:val="32"/>
          <w:szCs w:val="32"/>
        </w:rPr>
        <w:t>万元，占11.50%；项目支出</w:t>
      </w:r>
      <w:r>
        <w:rPr>
          <w:rFonts w:ascii="仿宋_GB2312" w:eastAsia="仿宋_GB2312"/>
          <w:sz w:val="32"/>
          <w:szCs w:val="32"/>
        </w:rPr>
        <w:t>1,967.65</w:t>
      </w:r>
      <w:r>
        <w:rPr>
          <w:rFonts w:hint="eastAsia" w:ascii="仿宋_GB2312" w:eastAsia="仿宋_GB2312"/>
          <w:sz w:val="32"/>
          <w:szCs w:val="32"/>
        </w:rPr>
        <w:t>万元，占88.50%；上缴上级支出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2,223.37万元，与上年相比，增加451.99万元，增长25.52%，主要原因是：2021年增加了防灾救灾抗震物资资金项目，财政拨款收入相应增加。财政拨款支出2,223.37万元，与上年相比，增加451.99万元，增长25.52%，主要原因是：2021年增加了防灾救灾抗震物资资金项目，财政拨款支出相应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837.80</w:t>
      </w:r>
      <w:r>
        <w:rPr>
          <w:rFonts w:hint="eastAsia" w:ascii="仿宋_GB2312" w:eastAsia="仿宋_GB2312"/>
          <w:sz w:val="32"/>
          <w:szCs w:val="32"/>
        </w:rPr>
        <w:t>万元，决算数</w:t>
      </w:r>
      <w:r>
        <w:rPr>
          <w:rFonts w:ascii="仿宋_GB2312" w:eastAsia="仿宋_GB2312"/>
          <w:sz w:val="32"/>
          <w:szCs w:val="32"/>
        </w:rPr>
        <w:t>2,223.37</w:t>
      </w:r>
      <w:r>
        <w:rPr>
          <w:rFonts w:hint="eastAsia" w:ascii="仿宋_GB2312" w:eastAsia="仿宋_GB2312"/>
          <w:sz w:val="32"/>
          <w:szCs w:val="32"/>
        </w:rPr>
        <w:t>万元，预决算差异率</w:t>
      </w:r>
      <w:r>
        <w:rPr>
          <w:rFonts w:ascii="仿宋_GB2312" w:eastAsia="仿宋_GB2312"/>
          <w:sz w:val="32"/>
          <w:szCs w:val="32"/>
        </w:rPr>
        <w:t>165.38</w:t>
      </w:r>
      <w:r>
        <w:rPr>
          <w:rFonts w:hint="eastAsia" w:ascii="仿宋_GB2312" w:eastAsia="仿宋_GB2312"/>
          <w:sz w:val="32"/>
          <w:szCs w:val="32"/>
        </w:rPr>
        <w:t>%，主要原因是：</w:t>
      </w:r>
      <w:r>
        <w:rPr>
          <w:rFonts w:hint="eastAsia" w:ascii="仿宋_GB2312" w:eastAsia="仿宋_GB2312"/>
          <w:sz w:val="32"/>
          <w:szCs w:val="32"/>
          <w:lang w:val="en-US" w:eastAsia="zh-CN"/>
        </w:rPr>
        <w:t>追加</w:t>
      </w:r>
      <w:r>
        <w:rPr>
          <w:rFonts w:hint="eastAsia" w:ascii="仿宋_GB2312" w:eastAsia="仿宋_GB2312"/>
          <w:sz w:val="32"/>
          <w:szCs w:val="32"/>
        </w:rPr>
        <w:t>中央自然灾害救灾资金，</w:t>
      </w:r>
      <w:r>
        <w:rPr>
          <w:rFonts w:hint="eastAsia" w:ascii="仿宋_GB2312" w:hAnsi="Times New Roman" w:eastAsia="仿宋_GB2312" w:cs="Times New Roman"/>
          <w:color w:val="auto"/>
          <w:spacing w:val="0"/>
          <w:kern w:val="2"/>
          <w:sz w:val="32"/>
          <w:szCs w:val="32"/>
          <w:highlight w:val="none"/>
          <w:lang w:val="en-US" w:eastAsia="zh-CN" w:bidi="ar-SA"/>
        </w:rPr>
        <w:t>导致预决算存在差异</w:t>
      </w:r>
      <w:r>
        <w:rPr>
          <w:rFonts w:hint="eastAsia" w:ascii="仿宋_GB2312" w:eastAsia="仿宋_GB2312"/>
          <w:sz w:val="32"/>
          <w:szCs w:val="32"/>
        </w:rPr>
        <w:t>。财政拨款支出年初预算数</w:t>
      </w:r>
      <w:r>
        <w:rPr>
          <w:rFonts w:ascii="仿宋_GB2312" w:eastAsia="仿宋_GB2312"/>
          <w:sz w:val="32"/>
          <w:szCs w:val="32"/>
        </w:rPr>
        <w:t>837.80</w:t>
      </w:r>
      <w:r>
        <w:rPr>
          <w:rFonts w:hint="eastAsia" w:ascii="仿宋_GB2312" w:eastAsia="仿宋_GB2312"/>
          <w:sz w:val="32"/>
          <w:szCs w:val="32"/>
        </w:rPr>
        <w:t>万元，决算数</w:t>
      </w:r>
      <w:r>
        <w:rPr>
          <w:rFonts w:ascii="仿宋_GB2312" w:eastAsia="仿宋_GB2312"/>
          <w:sz w:val="32"/>
          <w:szCs w:val="32"/>
        </w:rPr>
        <w:t>2,223.37</w:t>
      </w:r>
      <w:r>
        <w:rPr>
          <w:rFonts w:hint="eastAsia" w:ascii="仿宋_GB2312" w:eastAsia="仿宋_GB2312"/>
          <w:sz w:val="32"/>
          <w:szCs w:val="32"/>
        </w:rPr>
        <w:t>万元，预决算差异率165.38%，主要原因是：</w:t>
      </w:r>
      <w:r>
        <w:rPr>
          <w:rFonts w:hint="eastAsia" w:ascii="仿宋_GB2312" w:eastAsia="仿宋_GB2312"/>
          <w:sz w:val="32"/>
          <w:szCs w:val="32"/>
          <w:lang w:val="en-US" w:eastAsia="zh-CN"/>
        </w:rPr>
        <w:t>追加</w:t>
      </w:r>
      <w:r>
        <w:rPr>
          <w:rFonts w:hint="eastAsia" w:ascii="仿宋_GB2312" w:eastAsia="仿宋_GB2312"/>
          <w:sz w:val="32"/>
          <w:szCs w:val="32"/>
        </w:rPr>
        <w:t>中央自然灾害救灾资金，</w:t>
      </w:r>
      <w:r>
        <w:rPr>
          <w:rFonts w:hint="eastAsia" w:ascii="仿宋_GB2312" w:hAnsi="Times New Roman" w:eastAsia="仿宋_GB2312" w:cs="Times New Roman"/>
          <w:color w:val="auto"/>
          <w:spacing w:val="0"/>
          <w:kern w:val="2"/>
          <w:sz w:val="32"/>
          <w:szCs w:val="32"/>
          <w:highlight w:val="none"/>
          <w:lang w:val="en-US" w:eastAsia="zh-CN" w:bidi="ar-SA"/>
        </w:rPr>
        <w:t>导致预决算存在差异</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年度一般公共预算财政拨款支出2,223.37万元。按功能分类科目项级科目公开，其中：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2013299其他组织事务支出0.27万元；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2080505机关事业单位基本养老保险缴费支出24.21万元；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2210201住房公积金18.16万元；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2240101行政运行154.66万元；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2240108应急救援630.10万元；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2240150事业运行58.69万元；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2240199其他应急管理支出16.28万元；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2240703自然灾害救灾补助1,321.00万元。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255.72</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251.93</w:t>
      </w:r>
      <w:r>
        <w:rPr>
          <w:rFonts w:hint="eastAsia" w:ascii="仿宋_GB2312" w:eastAsia="仿宋_GB2312"/>
          <w:sz w:val="32"/>
          <w:szCs w:val="32"/>
        </w:rPr>
        <w:t>万元，包括：基本工资、津贴补贴、奖金、机关事业单位基本养老保险缴费、职工基本医疗保险缴费、公务员医疗补助缴费、其他社会保障缴费、住房公积金、奖励金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公用经费3.79万元，包括：办公费、邮电费、差旅费、劳务费、公务用车运行维护费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2021年度一般公共预算“三公”经费支出决算2.19万元，比上年增加0.00万元，增长0.00%，主要原因是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与上年相比无变化。其中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2.19万元，占100.00%，比上年增加0.00万元，增长0.00%，主要原因是：与上年相比无变化；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2.19</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2.19</w:t>
      </w:r>
      <w:r>
        <w:rPr>
          <w:rFonts w:hint="eastAsia" w:ascii="仿宋_GB2312" w:eastAsia="仿宋_GB2312"/>
          <w:sz w:val="32"/>
          <w:szCs w:val="32"/>
        </w:rPr>
        <w:t>万元。公务用车运行维护费开支内容包括：公务用车检测和</w:t>
      </w:r>
      <w:r>
        <w:rPr>
          <w:rFonts w:hint="eastAsia" w:ascii="仿宋_GB2312" w:eastAsia="仿宋_GB2312"/>
          <w:sz w:val="32"/>
          <w:szCs w:val="32"/>
          <w:lang w:val="en-US" w:eastAsia="zh-CN"/>
        </w:rPr>
        <w:t>加油费</w:t>
      </w:r>
      <w:r>
        <w:rPr>
          <w:rFonts w:hint="eastAsia" w:ascii="仿宋_GB2312" w:eastAsia="仿宋_GB2312"/>
          <w:sz w:val="32"/>
          <w:szCs w:val="32"/>
        </w:rPr>
        <w:t>。公务用车购置数</w:t>
      </w:r>
      <w:r>
        <w:rPr>
          <w:rFonts w:ascii="仿宋_GB2312" w:eastAsia="仿宋_GB2312"/>
          <w:sz w:val="32"/>
          <w:szCs w:val="32"/>
        </w:rPr>
        <w:t>0</w:t>
      </w:r>
      <w:r>
        <w:rPr>
          <w:rFonts w:hint="eastAsia" w:ascii="仿宋_GB2312" w:eastAsia="仿宋_GB2312"/>
          <w:sz w:val="32"/>
          <w:szCs w:val="32"/>
        </w:rPr>
        <w:t>辆，公务用车保有量3辆。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与年初预算数相比情况：一般公共预算“三公”经费支出年初预算数2.84万元，决算数</w:t>
      </w:r>
      <w:r>
        <w:rPr>
          <w:rFonts w:ascii="仿宋_GB2312" w:eastAsia="仿宋_GB2312"/>
          <w:sz w:val="32"/>
          <w:szCs w:val="32"/>
        </w:rPr>
        <w:t>2.19</w:t>
      </w:r>
      <w:r>
        <w:rPr>
          <w:rFonts w:hint="eastAsia" w:ascii="仿宋_GB2312" w:eastAsia="仿宋_GB2312"/>
          <w:sz w:val="32"/>
          <w:szCs w:val="32"/>
        </w:rPr>
        <w:t>万元，预决算差异率-22.89%，主要原因是：严格按照中央八项规定，厉行节约，压减经费。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预算数2.84万元，决算数2.19万元，预决算差异率-22.89%，主要原因是：严格按照中央八项规定，厉行节约，压减经费；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2021年度新疆喀什地区叶城县应急管理局（行政单位和参照公务员法管理事业单位）机关运行经费支出</w:t>
      </w:r>
      <w:r>
        <w:rPr>
          <w:rFonts w:ascii="仿宋_GB2312" w:eastAsia="仿宋_GB2312"/>
          <w:sz w:val="32"/>
          <w:szCs w:val="32"/>
        </w:rPr>
        <w:t>3.79</w:t>
      </w:r>
      <w:r>
        <w:rPr>
          <w:rFonts w:hint="eastAsia" w:ascii="仿宋_GB2312" w:eastAsia="仿宋_GB2312"/>
          <w:sz w:val="32"/>
          <w:szCs w:val="32"/>
        </w:rPr>
        <w:t>万元，比上年减少3.17万元，降低45.55%，主要原因是：严格按照中央八项规定，厉行节约，压减经费。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1,221.95</w:t>
      </w:r>
      <w:r>
        <w:rPr>
          <w:rFonts w:hint="eastAsia" w:ascii="仿宋_GB2312" w:eastAsia="仿宋_GB2312"/>
          <w:sz w:val="32"/>
          <w:szCs w:val="32"/>
        </w:rPr>
        <w:t>万元，其中：政府采购货物支出</w:t>
      </w:r>
      <w:r>
        <w:rPr>
          <w:rFonts w:ascii="仿宋_GB2312" w:eastAsia="仿宋_GB2312"/>
          <w:sz w:val="32"/>
          <w:szCs w:val="32"/>
        </w:rPr>
        <w:t>1,217.9</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4.05</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1,221.95</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1,213.65</w:t>
      </w:r>
      <w:r>
        <w:rPr>
          <w:rFonts w:hint="eastAsia" w:ascii="仿宋_GB2312" w:eastAsia="仿宋_GB2312"/>
          <w:sz w:val="32"/>
          <w:szCs w:val="32"/>
        </w:rPr>
        <w:t>万元，占政府采购支出总额的</w:t>
      </w:r>
      <w:r>
        <w:rPr>
          <w:rFonts w:ascii="仿宋_GB2312" w:eastAsia="仿宋_GB2312"/>
          <w:sz w:val="32"/>
          <w:szCs w:val="32"/>
        </w:rPr>
        <w:t>99.32</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4591"/>
      <w:bookmarkStart w:id="29" w:name="_Toc83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70.30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辆，其他用车主要是：我单位公务用车；单位价值50万元以上通用设备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11283"/>
      <w:bookmarkStart w:id="31" w:name="_Toc435"/>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5个，共涉及资金1994.38万元。预算绩效管理取得的成效：一是通过开展绩效管理工作，规范了项目档案及资金拨付资料的整理，有效提升了单位档案管理水平；二是确保了中央自然灾害救灾资金、抗震物资储备、应急救援等项目的有序推进，提升了叶城县应对自然的综合处置能力，保障了我单位各类业务的有序开展，增强了受灾困难群众的幸福感</w:t>
      </w:r>
      <w:bookmarkStart w:id="52" w:name="_GoBack"/>
      <w:bookmarkEnd w:id="52"/>
      <w:r>
        <w:rPr>
          <w:rFonts w:ascii="仿宋_GB2312" w:eastAsia="仿宋_GB2312"/>
          <w:sz w:val="32"/>
          <w:szCs w:val="32"/>
        </w:rPr>
        <w:t>。发现的问题及原因：一是因人员业务能力欠缺，经费支持办理进度缓慢；二是经费拨付和项目实施进度同步性偏差大，绩效跟进不精准。下一步改进措施：一是强化业务人员培训，督促对口科室加强辅导力度；二是加强多方合作沟通。统筹做好方案、资金审批、项目推进工作，切实为各方工作提供便利。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24143"/>
      <w:bookmarkStart w:id="33" w:name="_Toc3250"/>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8903"/>
      <w:bookmarkStart w:id="35"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2183"/>
      <w:bookmarkStart w:id="37" w:name="_Toc6062"/>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24532"/>
      <w:bookmarkStart w:id="39" w:name="_Toc30364"/>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21304"/>
      <w:bookmarkStart w:id="41" w:name="_Toc3243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28786"/>
      <w:bookmarkStart w:id="43" w:name="_Toc14238"/>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4869"/>
      <w:bookmarkStart w:id="45" w:name="_Toc10347"/>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5626"/>
      <w:bookmarkStart w:id="47" w:name="_Toc8884"/>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32663"/>
      <w:bookmarkStart w:id="49" w:name="_Toc29106"/>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5453"/>
      <w:bookmarkStart w:id="51" w:name="_Toc764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2EE4362"/>
    <w:rsid w:val="12F04623"/>
    <w:rsid w:val="1396784F"/>
    <w:rsid w:val="13EC0B8A"/>
    <w:rsid w:val="14EB6229"/>
    <w:rsid w:val="155C65A7"/>
    <w:rsid w:val="15A36858"/>
    <w:rsid w:val="15E95753"/>
    <w:rsid w:val="16F045F9"/>
    <w:rsid w:val="176E6CF3"/>
    <w:rsid w:val="17C618A3"/>
    <w:rsid w:val="185F4F4D"/>
    <w:rsid w:val="193D4B9E"/>
    <w:rsid w:val="1A70355D"/>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2D020DC"/>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8C7D70"/>
    <w:rsid w:val="46901EEE"/>
    <w:rsid w:val="469C74D2"/>
    <w:rsid w:val="48A52360"/>
    <w:rsid w:val="4902047E"/>
    <w:rsid w:val="4A2933E8"/>
    <w:rsid w:val="4A7D4485"/>
    <w:rsid w:val="4C2E1A9B"/>
    <w:rsid w:val="4DE45AD9"/>
    <w:rsid w:val="4E11500F"/>
    <w:rsid w:val="4EEF1380"/>
    <w:rsid w:val="4F9D7B44"/>
    <w:rsid w:val="50DB5F45"/>
    <w:rsid w:val="512709C0"/>
    <w:rsid w:val="51DB4252"/>
    <w:rsid w:val="51E92FF0"/>
    <w:rsid w:val="52314E57"/>
    <w:rsid w:val="523358A5"/>
    <w:rsid w:val="53350823"/>
    <w:rsid w:val="54054866"/>
    <w:rsid w:val="54CE0B87"/>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367441"/>
    <w:rsid w:val="67623B14"/>
    <w:rsid w:val="68657F05"/>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888426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5178</Words>
  <Characters>5773</Characters>
  <Lines>59</Lines>
  <Paragraphs>16</Paragraphs>
  <TotalTime>9</TotalTime>
  <ScaleCrop>false</ScaleCrop>
  <LinksUpToDate>false</LinksUpToDate>
  <CharactersWithSpaces>5827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2023-08-10T05:02:55Z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