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4D81A9C">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叶城县供销合作社联合社</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2385857">
      <w:r>
        <w:br w:type="page"/>
      </w:r>
    </w:p>
    <w:p w14:paraId="7895DAA8">
      <w:pPr>
        <w:spacing w:line="640" w:lineRule="exact"/>
        <w:jc w:val="center"/>
        <w:outlineLvl w:val="1"/>
      </w:pPr>
      <w:r>
        <w:rPr>
          <w:rFonts w:ascii="黑体" w:hAnsi="黑体" w:eastAsia="黑体"/>
          <w:sz w:val="32"/>
        </w:rPr>
        <w:t>第一部分 单位概况</w:t>
      </w:r>
    </w:p>
    <w:p w14:paraId="29116231">
      <w:pPr>
        <w:spacing w:line="640" w:lineRule="exact"/>
        <w:ind w:firstLine="640"/>
        <w:jc w:val="both"/>
        <w:outlineLvl w:val="2"/>
      </w:pPr>
      <w:r>
        <w:rPr>
          <w:rFonts w:ascii="黑体" w:hAnsi="黑体" w:eastAsia="黑体"/>
          <w:sz w:val="32"/>
        </w:rPr>
        <w:t>一、主要职能</w:t>
      </w:r>
    </w:p>
    <w:p w14:paraId="65927D3D">
      <w:pPr>
        <w:spacing w:line="580" w:lineRule="exact"/>
        <w:ind w:firstLine="640"/>
        <w:jc w:val="both"/>
      </w:pPr>
      <w:r>
        <w:rPr>
          <w:rFonts w:ascii="仿宋_GB2312" w:hAnsi="仿宋_GB2312" w:eastAsia="仿宋_GB2312"/>
          <w:sz w:val="32"/>
        </w:rPr>
        <w:t>贯彻执行党和国家的经济方针、政策和法律、法规及地方的有关政策、规定。对本级社有资产行使出资代表管理职能，监督社有资产保值增值；围绕建立和完善农业社会化服务体系，做好农业、农村、农民服务的工作。负责对全县重要农业生产资料、生活资料、农副产品经营进行组织、协调、管理。负责调查研究全县供销企业的业务经营情况，调整经营结构和经营方针。</w:t>
      </w:r>
    </w:p>
    <w:p w14:paraId="5A888213">
      <w:pPr>
        <w:spacing w:line="640" w:lineRule="exact"/>
        <w:ind w:firstLine="640"/>
        <w:jc w:val="both"/>
        <w:outlineLvl w:val="2"/>
      </w:pPr>
      <w:r>
        <w:rPr>
          <w:rFonts w:ascii="黑体" w:hAnsi="黑体" w:eastAsia="黑体"/>
          <w:sz w:val="32"/>
        </w:rPr>
        <w:t>二、机构设置及人员情况</w:t>
      </w:r>
    </w:p>
    <w:p w14:paraId="17D035ED">
      <w:pPr>
        <w:spacing w:line="580" w:lineRule="exact"/>
        <w:ind w:firstLine="640"/>
        <w:jc w:val="both"/>
      </w:pPr>
      <w:r>
        <w:rPr>
          <w:rFonts w:ascii="仿宋_GB2312" w:hAnsi="仿宋_GB2312" w:eastAsia="仿宋_GB2312"/>
          <w:sz w:val="32"/>
        </w:rPr>
        <w:t>叶城县供销合作社联合社2024年度，实有人数16人，其中：在职人员9人，减少1人；离休人员0人，增加0人；退休人员7人,增加1人。</w:t>
      </w:r>
    </w:p>
    <w:p w14:paraId="7DC1ADFE">
      <w:pPr>
        <w:spacing w:line="580" w:lineRule="exact"/>
        <w:ind w:firstLine="640"/>
        <w:jc w:val="both"/>
      </w:pPr>
      <w:r>
        <w:rPr>
          <w:rFonts w:ascii="仿宋_GB2312" w:hAnsi="仿宋_GB2312" w:eastAsia="仿宋_GB2312"/>
          <w:sz w:val="32"/>
        </w:rPr>
        <w:t>叶城县供销合作社联合社无下属预算单位，下设2个科室，分别是：办公室、财务室。</w:t>
      </w:r>
    </w:p>
    <w:p w14:paraId="2DDFEDED">
      <w:r>
        <w:br w:type="page"/>
      </w:r>
    </w:p>
    <w:p w14:paraId="7A471618">
      <w:pPr>
        <w:spacing w:line="240" w:lineRule="auto"/>
        <w:jc w:val="center"/>
        <w:outlineLvl w:val="1"/>
      </w:pPr>
      <w:r>
        <w:rPr>
          <w:rFonts w:ascii="黑体" w:hAnsi="黑体" w:eastAsia="黑体"/>
          <w:sz w:val="32"/>
        </w:rPr>
        <w:t>第二部分 部门决算情况说明</w:t>
      </w:r>
    </w:p>
    <w:p w14:paraId="2966FD62">
      <w:pPr>
        <w:spacing w:line="640" w:lineRule="exact"/>
        <w:ind w:firstLine="640"/>
        <w:jc w:val="both"/>
        <w:outlineLvl w:val="2"/>
      </w:pPr>
      <w:r>
        <w:rPr>
          <w:rFonts w:ascii="黑体" w:hAnsi="黑体" w:eastAsia="黑体"/>
          <w:sz w:val="32"/>
        </w:rPr>
        <w:t>一、收入支出决算总体情况说明</w:t>
      </w:r>
    </w:p>
    <w:p w14:paraId="33DC4A5F">
      <w:pPr>
        <w:spacing w:line="580" w:lineRule="exact"/>
        <w:ind w:firstLine="640"/>
        <w:jc w:val="both"/>
      </w:pPr>
      <w:r>
        <w:rPr>
          <w:rFonts w:ascii="仿宋_GB2312" w:hAnsi="仿宋_GB2312" w:eastAsia="仿宋_GB2312"/>
          <w:b/>
          <w:sz w:val="32"/>
        </w:rPr>
        <w:t>2024年度收入总计7,316.48万元，</w:t>
      </w:r>
      <w:r>
        <w:rPr>
          <w:rFonts w:ascii="仿宋_GB2312" w:hAnsi="仿宋_GB2312" w:eastAsia="仿宋_GB2312"/>
          <w:b w:val="0"/>
          <w:sz w:val="32"/>
        </w:rPr>
        <w:t>其中：本年收入合计7,316.48万元，使用非财政拨款结余（含专用结余）0.00万元，年初结转和结余0.00万元。</w:t>
      </w:r>
    </w:p>
    <w:p w14:paraId="6517693D">
      <w:pPr>
        <w:spacing w:line="580" w:lineRule="exact"/>
        <w:ind w:firstLine="640"/>
        <w:jc w:val="both"/>
      </w:pPr>
      <w:r>
        <w:rPr>
          <w:rFonts w:ascii="仿宋_GB2312" w:hAnsi="仿宋_GB2312" w:eastAsia="仿宋_GB2312"/>
          <w:b/>
          <w:sz w:val="32"/>
        </w:rPr>
        <w:t>2024年度支出总计7,316.48万元，</w:t>
      </w:r>
      <w:r>
        <w:rPr>
          <w:rFonts w:ascii="仿宋_GB2312" w:hAnsi="仿宋_GB2312" w:eastAsia="仿宋_GB2312"/>
          <w:b w:val="0"/>
          <w:sz w:val="32"/>
        </w:rPr>
        <w:t>其中：本年支出合计7,316.48万元，结余分配0.00万元，年末结转和结余0.00万元。</w:t>
      </w:r>
    </w:p>
    <w:p w14:paraId="277E8F07">
      <w:pPr>
        <w:spacing w:line="580" w:lineRule="exact"/>
        <w:ind w:firstLine="640"/>
        <w:jc w:val="both"/>
      </w:pPr>
      <w:r>
        <w:rPr>
          <w:rFonts w:ascii="仿宋_GB2312" w:hAnsi="仿宋_GB2312" w:eastAsia="仿宋_GB2312"/>
          <w:b w:val="0"/>
          <w:sz w:val="32"/>
        </w:rPr>
        <w:t>收入支出总体与上年相比，增加5,535.01万元，增长310.70%，主要原因是：本年增加叶城县煤炭储备交易基地建设项目经费，导致相关经费增加。</w:t>
      </w:r>
    </w:p>
    <w:p w14:paraId="5248F26F">
      <w:pPr>
        <w:spacing w:line="640" w:lineRule="exact"/>
        <w:ind w:firstLine="640"/>
        <w:jc w:val="both"/>
        <w:outlineLvl w:val="2"/>
      </w:pPr>
      <w:r>
        <w:rPr>
          <w:rFonts w:ascii="黑体" w:hAnsi="黑体" w:eastAsia="黑体"/>
          <w:sz w:val="32"/>
        </w:rPr>
        <w:t>二、收入决算情况说明</w:t>
      </w:r>
    </w:p>
    <w:p w14:paraId="402322F8">
      <w:pPr>
        <w:spacing w:line="580" w:lineRule="exact"/>
        <w:ind w:firstLine="640"/>
        <w:jc w:val="both"/>
      </w:pPr>
      <w:r>
        <w:rPr>
          <w:rFonts w:ascii="仿宋_GB2312" w:hAnsi="仿宋_GB2312" w:eastAsia="仿宋_GB2312"/>
          <w:b/>
          <w:sz w:val="32"/>
        </w:rPr>
        <w:t>本年收入7,316.48万元，</w:t>
      </w:r>
      <w:r>
        <w:rPr>
          <w:rFonts w:ascii="仿宋_GB2312" w:hAnsi="仿宋_GB2312" w:eastAsia="仿宋_GB2312"/>
          <w:b w:val="0"/>
          <w:sz w:val="32"/>
        </w:rPr>
        <w:t>其中：财政拨款收入7,286.49万元，占99.59%；上级补助收入0.00万元，占0.00%；事业收入0.00万元，占0.00%；经营收入0.00万元，占0.00%；附属单位上缴收入0.00万元，占0.00%；其他收入29.99万元，占0.41%。</w:t>
      </w:r>
    </w:p>
    <w:p w14:paraId="5F083541">
      <w:pPr>
        <w:spacing w:line="640" w:lineRule="exact"/>
        <w:ind w:firstLine="640"/>
        <w:jc w:val="both"/>
        <w:outlineLvl w:val="2"/>
      </w:pPr>
      <w:r>
        <w:rPr>
          <w:rFonts w:ascii="黑体" w:hAnsi="黑体" w:eastAsia="黑体"/>
          <w:sz w:val="32"/>
        </w:rPr>
        <w:t>三、支出决算情况说明</w:t>
      </w:r>
    </w:p>
    <w:p w14:paraId="06AF26CA">
      <w:pPr>
        <w:spacing w:line="580" w:lineRule="exact"/>
        <w:ind w:firstLine="640"/>
        <w:jc w:val="both"/>
      </w:pPr>
      <w:r>
        <w:rPr>
          <w:rFonts w:ascii="仿宋_GB2312" w:hAnsi="仿宋_GB2312" w:eastAsia="仿宋_GB2312"/>
          <w:b/>
          <w:sz w:val="32"/>
        </w:rPr>
        <w:t>本年支出7,316.48万元，</w:t>
      </w:r>
      <w:r>
        <w:rPr>
          <w:rFonts w:ascii="仿宋_GB2312" w:hAnsi="仿宋_GB2312" w:eastAsia="仿宋_GB2312"/>
          <w:b w:val="0"/>
          <w:sz w:val="32"/>
        </w:rPr>
        <w:t>其中：基本支出240.11万元，占3.28%；项目支出7,076.38万元，占96.72%；上缴上级支出0.00万元，占0.00%；经营支出0.00万元，占0.00%；对附属单位补助支出0.00万元，占0.00%。</w:t>
      </w:r>
    </w:p>
    <w:p w14:paraId="5CDBFD4F">
      <w:pPr>
        <w:spacing w:line="640" w:lineRule="exact"/>
        <w:ind w:firstLine="640"/>
        <w:jc w:val="both"/>
        <w:outlineLvl w:val="2"/>
      </w:pPr>
      <w:r>
        <w:rPr>
          <w:rFonts w:ascii="黑体" w:hAnsi="黑体" w:eastAsia="黑体"/>
          <w:sz w:val="32"/>
        </w:rPr>
        <w:t>四、财政拨款收入支出决算总体情况说明</w:t>
      </w:r>
    </w:p>
    <w:p w14:paraId="76D09BCD">
      <w:pPr>
        <w:spacing w:line="580" w:lineRule="exact"/>
        <w:ind w:firstLine="640"/>
        <w:jc w:val="both"/>
      </w:pPr>
      <w:r>
        <w:rPr>
          <w:rFonts w:ascii="仿宋_GB2312" w:hAnsi="仿宋_GB2312" w:eastAsia="仿宋_GB2312"/>
          <w:b/>
          <w:sz w:val="32"/>
        </w:rPr>
        <w:t>2024年度财政拨款收入总计7,286.49万元，</w:t>
      </w:r>
      <w:r>
        <w:rPr>
          <w:rFonts w:ascii="仿宋_GB2312" w:hAnsi="仿宋_GB2312" w:eastAsia="仿宋_GB2312"/>
          <w:b w:val="0"/>
          <w:sz w:val="32"/>
        </w:rPr>
        <w:t>其中：年初财政拨款结转和结余0.00万元，本年财政拨款收入7,286.49万元。</w:t>
      </w:r>
      <w:r>
        <w:rPr>
          <w:rFonts w:ascii="仿宋_GB2312" w:hAnsi="仿宋_GB2312" w:eastAsia="仿宋_GB2312"/>
          <w:b/>
          <w:sz w:val="32"/>
        </w:rPr>
        <w:t>财政拨款支出总计7,286.49万元，</w:t>
      </w:r>
      <w:r>
        <w:rPr>
          <w:rFonts w:ascii="仿宋_GB2312" w:hAnsi="仿宋_GB2312" w:eastAsia="仿宋_GB2312"/>
          <w:b w:val="0"/>
          <w:sz w:val="32"/>
        </w:rPr>
        <w:t>其中：年末财政拨款结转和结余0.00万元，本年财政拨款支出7,286.49万元。</w:t>
      </w:r>
    </w:p>
    <w:p w14:paraId="103BF9A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增加6,117.97万元，增长523.57%，主要原因是：本年增加叶城县煤炭储备交易基地建设项目经费，导致相关经费增加。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年初预算数188.40万元，决算数7,286.49万元，预决算差异率3767.56%，主要原因是：年中追加</w:t>
      </w:r>
      <w:r>
        <w:rPr>
          <w:rFonts w:hint="eastAsia" w:ascii="仿宋_GB2312" w:hAnsi="仿宋_GB2312" w:eastAsia="仿宋_GB2312"/>
          <w:b w:val="0"/>
          <w:sz w:val="32"/>
          <w:lang w:val="en-US" w:eastAsia="zh-CN"/>
        </w:rPr>
        <w:t>人员工资、社保、公积金调增部分经费；追加</w:t>
      </w:r>
      <w:r>
        <w:rPr>
          <w:rFonts w:ascii="仿宋_GB2312" w:hAnsi="仿宋_GB2312" w:eastAsia="仿宋_GB2312"/>
          <w:b w:val="0"/>
          <w:sz w:val="32"/>
        </w:rPr>
        <w:t>叶城县煤炭储备交易基地建设项目、叶城县2024年冷链仓储物流基地设备配套项目，导致预决算差异。</w:t>
      </w:r>
    </w:p>
    <w:p w14:paraId="5EE180D2">
      <w:pPr>
        <w:spacing w:line="640" w:lineRule="exact"/>
        <w:ind w:firstLine="640"/>
        <w:jc w:val="both"/>
        <w:outlineLvl w:val="2"/>
      </w:pPr>
      <w:r>
        <w:rPr>
          <w:rFonts w:ascii="黑体" w:hAnsi="黑体" w:eastAsia="黑体"/>
          <w:sz w:val="32"/>
        </w:rPr>
        <w:t>五、一般公共预算财政拨款支出决算情况说明</w:t>
      </w:r>
    </w:p>
    <w:p w14:paraId="04CDD7C8">
      <w:pPr>
        <w:spacing w:line="640" w:lineRule="exact"/>
        <w:ind w:firstLine="640"/>
        <w:jc w:val="both"/>
        <w:outlineLvl w:val="3"/>
      </w:pPr>
      <w:r>
        <w:rPr>
          <w:rFonts w:ascii="楷体_GB2312" w:hAnsi="楷体_GB2312" w:eastAsia="楷体_GB2312"/>
          <w:b/>
          <w:sz w:val="32"/>
        </w:rPr>
        <w:t>（一）一般公共预算财政拨款支出决算总体情况</w:t>
      </w:r>
    </w:p>
    <w:p w14:paraId="681B110F">
      <w:pPr>
        <w:spacing w:line="580" w:lineRule="exact"/>
        <w:ind w:firstLine="640"/>
        <w:jc w:val="both"/>
      </w:pPr>
      <w:r>
        <w:rPr>
          <w:rFonts w:ascii="仿宋_GB2312" w:hAnsi="仿宋_GB2312" w:eastAsia="仿宋_GB2312"/>
          <w:b/>
          <w:sz w:val="32"/>
        </w:rPr>
        <w:t>2024年度一般公共预算财政拨款支出522.21万元，</w:t>
      </w:r>
      <w:r>
        <w:rPr>
          <w:rFonts w:ascii="仿宋_GB2312" w:hAnsi="仿宋_GB2312" w:eastAsia="仿宋_GB2312"/>
          <w:b w:val="0"/>
          <w:sz w:val="32"/>
        </w:rPr>
        <w:t>占本年支出合计的7.14%。</w:t>
      </w:r>
      <w:r>
        <w:rPr>
          <w:rFonts w:ascii="仿宋_GB2312" w:hAnsi="仿宋_GB2312" w:eastAsia="仿宋_GB2312"/>
          <w:b/>
          <w:sz w:val="32"/>
        </w:rPr>
        <w:t>与上年相比，</w:t>
      </w:r>
      <w:r>
        <w:rPr>
          <w:rFonts w:ascii="仿宋_GB2312" w:hAnsi="仿宋_GB2312" w:eastAsia="仿宋_GB2312"/>
          <w:b w:val="0"/>
          <w:sz w:val="32"/>
        </w:rPr>
        <w:t>减少646.31万元，下降55.31%，主要原因是：本年度减少叶城县冷链物流常温库建设项目经费，导致相关经费减少。</w:t>
      </w:r>
      <w:r>
        <w:rPr>
          <w:rFonts w:ascii="仿宋_GB2312" w:hAnsi="仿宋_GB2312" w:eastAsia="仿宋_GB2312"/>
          <w:b/>
          <w:sz w:val="32"/>
        </w:rPr>
        <w:t>与年初预算相比,</w:t>
      </w:r>
      <w:r>
        <w:rPr>
          <w:rFonts w:ascii="仿宋_GB2312" w:hAnsi="仿宋_GB2312" w:eastAsia="仿宋_GB2312"/>
          <w:b w:val="0"/>
          <w:sz w:val="32"/>
        </w:rPr>
        <w:t>年初预算数188.40万元，决算数522.21万元，预决算差异率177.18%，主要原因是：年中追加</w:t>
      </w:r>
      <w:r>
        <w:rPr>
          <w:rFonts w:hint="eastAsia" w:ascii="仿宋_GB2312" w:hAnsi="仿宋_GB2312" w:eastAsia="仿宋_GB2312"/>
          <w:b w:val="0"/>
          <w:sz w:val="32"/>
          <w:lang w:val="en-US" w:eastAsia="zh-CN"/>
        </w:rPr>
        <w:t>人员工资、社保、公积金调增部分经费；追加</w:t>
      </w:r>
      <w:r>
        <w:rPr>
          <w:rFonts w:ascii="仿宋_GB2312" w:hAnsi="仿宋_GB2312" w:eastAsia="仿宋_GB2312"/>
          <w:b w:val="0"/>
          <w:sz w:val="32"/>
        </w:rPr>
        <w:t>叶城县煤炭储备交易基地建设项目、叶城县2024年冷链仓储物流基地设备配套项目，导致预决算差异。</w:t>
      </w:r>
    </w:p>
    <w:p w14:paraId="1C58AEFF">
      <w:pPr>
        <w:spacing w:line="640" w:lineRule="exact"/>
        <w:ind w:firstLine="640"/>
        <w:jc w:val="both"/>
        <w:outlineLvl w:val="3"/>
      </w:pPr>
      <w:r>
        <w:rPr>
          <w:rFonts w:ascii="楷体_GB2312" w:hAnsi="楷体_GB2312" w:eastAsia="楷体_GB2312"/>
          <w:b/>
          <w:sz w:val="32"/>
        </w:rPr>
        <w:t>（二）一般公共预算财政拨款支出决算结构情况</w:t>
      </w:r>
    </w:p>
    <w:p w14:paraId="744B4F27">
      <w:pPr>
        <w:spacing w:line="580" w:lineRule="exact"/>
        <w:ind w:firstLine="640"/>
        <w:jc w:val="both"/>
      </w:pPr>
      <w:r>
        <w:rPr>
          <w:rFonts w:ascii="仿宋_GB2312" w:hAnsi="仿宋_GB2312" w:eastAsia="仿宋_GB2312"/>
          <w:b w:val="0"/>
          <w:sz w:val="32"/>
        </w:rPr>
        <w:t>1.社会保障和就业支出(类)76.69万元,占14.69%。</w:t>
      </w:r>
    </w:p>
    <w:p w14:paraId="1E375B8D">
      <w:pPr>
        <w:spacing w:line="580" w:lineRule="exact"/>
        <w:ind w:firstLine="640"/>
        <w:jc w:val="both"/>
      </w:pPr>
      <w:r>
        <w:rPr>
          <w:rFonts w:ascii="仿宋_GB2312" w:hAnsi="仿宋_GB2312" w:eastAsia="仿宋_GB2312"/>
          <w:b w:val="0"/>
          <w:sz w:val="32"/>
        </w:rPr>
        <w:t>2.卫生健康支出(类)7.80万元,占1.49%。</w:t>
      </w:r>
    </w:p>
    <w:p w14:paraId="518F34F9">
      <w:pPr>
        <w:spacing w:line="580" w:lineRule="exact"/>
        <w:ind w:firstLine="640"/>
        <w:jc w:val="both"/>
      </w:pPr>
      <w:r>
        <w:rPr>
          <w:rFonts w:ascii="仿宋_GB2312" w:hAnsi="仿宋_GB2312" w:eastAsia="仿宋_GB2312"/>
          <w:b w:val="0"/>
          <w:sz w:val="32"/>
        </w:rPr>
        <w:t>3.农林水支出(类)278.47万元,占53.33%。</w:t>
      </w:r>
    </w:p>
    <w:p w14:paraId="70E70B83">
      <w:pPr>
        <w:spacing w:line="580" w:lineRule="exact"/>
        <w:ind w:firstLine="640"/>
        <w:jc w:val="both"/>
      </w:pPr>
      <w:r>
        <w:rPr>
          <w:rFonts w:ascii="仿宋_GB2312" w:hAnsi="仿宋_GB2312" w:eastAsia="仿宋_GB2312"/>
          <w:b w:val="0"/>
          <w:sz w:val="32"/>
        </w:rPr>
        <w:t>4.商业服务业等支出(类)141.65万元,占27.13%。</w:t>
      </w:r>
    </w:p>
    <w:p w14:paraId="0939D251">
      <w:pPr>
        <w:spacing w:line="580" w:lineRule="exact"/>
        <w:ind w:firstLine="640"/>
        <w:jc w:val="both"/>
      </w:pPr>
      <w:r>
        <w:rPr>
          <w:rFonts w:ascii="仿宋_GB2312" w:hAnsi="仿宋_GB2312" w:eastAsia="仿宋_GB2312"/>
          <w:b w:val="0"/>
          <w:sz w:val="32"/>
        </w:rPr>
        <w:t>5.住房保障支出(类)17.60万元,占3.37%。</w:t>
      </w:r>
    </w:p>
    <w:p w14:paraId="71212631">
      <w:pPr>
        <w:spacing w:line="640" w:lineRule="exact"/>
        <w:ind w:firstLine="640"/>
        <w:jc w:val="both"/>
        <w:outlineLvl w:val="3"/>
      </w:pPr>
      <w:r>
        <w:rPr>
          <w:rFonts w:ascii="楷体_GB2312" w:hAnsi="楷体_GB2312" w:eastAsia="楷体_GB2312"/>
          <w:b/>
          <w:sz w:val="32"/>
        </w:rPr>
        <w:t>（三）一般公共预算财政拨款支出决算具体情况</w:t>
      </w:r>
    </w:p>
    <w:p w14:paraId="5B2D95D4">
      <w:pPr>
        <w:spacing w:line="580" w:lineRule="exact"/>
        <w:ind w:firstLine="640"/>
        <w:jc w:val="both"/>
      </w:pPr>
      <w:r>
        <w:rPr>
          <w:rFonts w:ascii="仿宋_GB2312" w:hAnsi="仿宋_GB2312" w:eastAsia="仿宋_GB2312"/>
          <w:b w:val="0"/>
          <w:sz w:val="32"/>
        </w:rPr>
        <w:t>1.社会保障和就业支出(类)行政事业单位养老支出(款)事业单位离退休(项):支出决算数为32.44万元，比上年决算增加3.75万元，增长13.07%,主要原因是：本年增加退休人员，基础绩效奖，退休费支出增加。</w:t>
      </w:r>
    </w:p>
    <w:p w14:paraId="77786D6E">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25.35万元，比上年决算增加7.56万元，增长42.50%,主要原因是：本年在职人员工资基数调增，养老缴费基数上涨，相应支出增加。</w:t>
      </w:r>
    </w:p>
    <w:p w14:paraId="6D8180E7">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18.90万元，比上年决算增加10.12万元，增长115.26%,主要原因是：本年新增退休人员职级高于上年新增退休人员，职业年金缴费支出增加。</w:t>
      </w:r>
    </w:p>
    <w:p w14:paraId="4F36D589">
      <w:pPr>
        <w:spacing w:line="580" w:lineRule="exact"/>
        <w:ind w:firstLine="640"/>
        <w:jc w:val="both"/>
      </w:pPr>
      <w:r>
        <w:rPr>
          <w:rFonts w:ascii="仿宋_GB2312" w:hAnsi="仿宋_GB2312" w:eastAsia="仿宋_GB2312"/>
          <w:b w:val="0"/>
          <w:sz w:val="32"/>
        </w:rPr>
        <w:t>4.卫生健康支出(类)行政事业单位医疗(款)事业单位医疗(项):支出决算数为7.80万元，比上年决算增加2.10万元，增长36.84%,主要原因是：本年在职人员</w:t>
      </w:r>
      <w:r>
        <w:rPr>
          <w:rFonts w:hint="eastAsia" w:ascii="仿宋_GB2312" w:hAnsi="仿宋_GB2312" w:eastAsia="仿宋_GB2312"/>
          <w:b w:val="0"/>
          <w:sz w:val="32"/>
          <w:lang w:val="en-US" w:eastAsia="zh-CN"/>
        </w:rPr>
        <w:t>工资调增</w:t>
      </w:r>
      <w:r>
        <w:rPr>
          <w:rFonts w:ascii="仿宋_GB2312" w:hAnsi="仿宋_GB2312" w:eastAsia="仿宋_GB2312"/>
          <w:b w:val="0"/>
          <w:sz w:val="32"/>
        </w:rPr>
        <w:t>，事业单位医疗</w:t>
      </w:r>
      <w:r>
        <w:rPr>
          <w:rFonts w:hint="eastAsia" w:ascii="仿宋_GB2312" w:hAnsi="仿宋_GB2312" w:eastAsia="仿宋_GB2312"/>
          <w:b w:val="0"/>
          <w:sz w:val="32"/>
          <w:lang w:val="en-US" w:eastAsia="zh-CN"/>
        </w:rPr>
        <w:t>缴费基数调增，相应</w:t>
      </w:r>
      <w:r>
        <w:rPr>
          <w:rFonts w:ascii="仿宋_GB2312" w:hAnsi="仿宋_GB2312" w:eastAsia="仿宋_GB2312"/>
          <w:b w:val="0"/>
          <w:sz w:val="32"/>
        </w:rPr>
        <w:t>支出较上年增加。</w:t>
      </w:r>
    </w:p>
    <w:p w14:paraId="4047D9DB">
      <w:pPr>
        <w:spacing w:line="580" w:lineRule="exact"/>
        <w:ind w:firstLine="640"/>
        <w:jc w:val="both"/>
      </w:pPr>
      <w:r>
        <w:rPr>
          <w:rFonts w:ascii="仿宋_GB2312" w:hAnsi="仿宋_GB2312" w:eastAsia="仿宋_GB2312"/>
          <w:b w:val="0"/>
          <w:sz w:val="32"/>
        </w:rPr>
        <w:t>5.农林水支出(类)巩固脱贫攻坚成果衔接乡村振兴(款)生产发展(项):支出决算数为67.20万元，比上年决算减少905.19万元，下降93.09%,主要原因是：本年度叶城县冷链物流常温库建设项目经费</w:t>
      </w:r>
      <w:r>
        <w:rPr>
          <w:rFonts w:hint="eastAsia" w:ascii="仿宋_GB2312" w:hAnsi="仿宋_GB2312" w:eastAsia="仿宋_GB2312"/>
          <w:b w:val="0"/>
          <w:sz w:val="32"/>
          <w:lang w:val="en-US" w:eastAsia="zh-CN"/>
        </w:rPr>
        <w:t>较上年减少</w:t>
      </w:r>
      <w:r>
        <w:rPr>
          <w:rFonts w:ascii="仿宋_GB2312" w:hAnsi="仿宋_GB2312" w:eastAsia="仿宋_GB2312"/>
          <w:b w:val="0"/>
          <w:sz w:val="32"/>
        </w:rPr>
        <w:t>，导致相关经费减少。</w:t>
      </w:r>
    </w:p>
    <w:p w14:paraId="5F8DB5B2">
      <w:pPr>
        <w:spacing w:line="580" w:lineRule="exact"/>
        <w:ind w:firstLine="640"/>
        <w:jc w:val="both"/>
      </w:pPr>
      <w:r>
        <w:rPr>
          <w:rFonts w:ascii="仿宋_GB2312" w:hAnsi="仿宋_GB2312" w:eastAsia="仿宋_GB2312"/>
          <w:b w:val="0"/>
          <w:sz w:val="32"/>
        </w:rPr>
        <w:t>6.农林水支出(类)其他农林水支出(款)其他农林水支出(项):支出决算数为211.27万元，比上年决算增加211.27万元，增长100.00%,主要原因是：本年增加叶城县煤炭储备交易基地建设项目经费，导致相关经费增加。</w:t>
      </w:r>
    </w:p>
    <w:p w14:paraId="100C7304">
      <w:pPr>
        <w:spacing w:line="580" w:lineRule="exact"/>
        <w:ind w:firstLine="640"/>
        <w:jc w:val="both"/>
      </w:pPr>
      <w:r>
        <w:rPr>
          <w:rFonts w:ascii="仿宋_GB2312" w:hAnsi="仿宋_GB2312" w:eastAsia="仿宋_GB2312"/>
          <w:b w:val="0"/>
          <w:sz w:val="32"/>
        </w:rPr>
        <w:t>7.商业服务业等支出(类)商业流通事务(款)事业运行(项):支出决算数为138.02万元，比上年决算增加11.77万元，增长9.32%,主要原因是：本年在职人员工资调增，导致相关人员经费较上年有所增加。</w:t>
      </w:r>
    </w:p>
    <w:p w14:paraId="0B273F3B">
      <w:pPr>
        <w:spacing w:line="580" w:lineRule="exact"/>
        <w:ind w:firstLine="640"/>
        <w:jc w:val="both"/>
      </w:pPr>
      <w:r>
        <w:rPr>
          <w:rFonts w:ascii="仿宋_GB2312" w:hAnsi="仿宋_GB2312" w:eastAsia="仿宋_GB2312"/>
          <w:b w:val="0"/>
          <w:sz w:val="32"/>
        </w:rPr>
        <w:t>8.商业服务业等支出(类)商业流通事务(款)其他商业流通事务支出(项):支出决算数为3.62万元，比上年决算增加3.62万元，增长100.00%,主要原因是：本年增加供销社项目水土保持补偿费、叶城宾馆租赁补偿费、办公费等费用，导致相关经费增加。</w:t>
      </w:r>
    </w:p>
    <w:p w14:paraId="183BFB63">
      <w:pPr>
        <w:spacing w:line="580" w:lineRule="exact"/>
        <w:ind w:firstLine="640"/>
        <w:jc w:val="both"/>
      </w:pPr>
      <w:r>
        <w:rPr>
          <w:rFonts w:ascii="仿宋_GB2312" w:hAnsi="仿宋_GB2312" w:eastAsia="仿宋_GB2312"/>
          <w:b w:val="0"/>
          <w:sz w:val="32"/>
        </w:rPr>
        <w:t>9.住房保障支出(类)住房改革支出(款)住房公积金(项):支出决算数为17.60万元，比上年决算增加8.68万元，增长97.31%,主要原因是：本年在职人员工资基数调增，公积金缴费基数上涨，相应支出增加。</w:t>
      </w:r>
    </w:p>
    <w:p w14:paraId="05530681">
      <w:pPr>
        <w:spacing w:line="640" w:lineRule="exact"/>
        <w:ind w:firstLine="640"/>
        <w:jc w:val="both"/>
        <w:outlineLvl w:val="2"/>
      </w:pPr>
      <w:r>
        <w:rPr>
          <w:rFonts w:ascii="黑体" w:hAnsi="黑体" w:eastAsia="黑体"/>
          <w:sz w:val="32"/>
        </w:rPr>
        <w:t>六、一般公共预算财政拨款基本支出决算情况说明</w:t>
      </w:r>
    </w:p>
    <w:p w14:paraId="390AB1F1">
      <w:pPr>
        <w:spacing w:line="580" w:lineRule="exact"/>
        <w:ind w:firstLine="640"/>
        <w:jc w:val="both"/>
      </w:pPr>
      <w:r>
        <w:rPr>
          <w:rFonts w:ascii="仿宋_GB2312" w:hAnsi="仿宋_GB2312" w:eastAsia="仿宋_GB2312"/>
          <w:b w:val="0"/>
          <w:sz w:val="32"/>
        </w:rPr>
        <w:t>2024年度一般公共预算财政拨款基本支出240.11万元，其中：</w:t>
      </w:r>
      <w:r>
        <w:rPr>
          <w:rFonts w:ascii="仿宋_GB2312" w:hAnsi="仿宋_GB2312" w:eastAsia="仿宋_GB2312"/>
          <w:b/>
          <w:sz w:val="32"/>
        </w:rPr>
        <w:t>人员经费234.93万元，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包括：基本工资、津贴补贴、奖金、绩效工资、机关事业单位基本养老保险缴费、职业年金缴费、职工基本医疗保险缴费、其他社会保障缴费、住房公积金、退休费、生活补助、奖励金。</w:t>
      </w:r>
    </w:p>
    <w:p w14:paraId="3E3EBEF2">
      <w:pPr>
        <w:spacing w:line="580" w:lineRule="exact"/>
        <w:ind w:firstLine="640"/>
        <w:jc w:val="both"/>
      </w:pPr>
      <w:r>
        <w:rPr>
          <w:rFonts w:ascii="仿宋_GB2312" w:hAnsi="仿宋_GB2312" w:eastAsia="仿宋_GB2312"/>
          <w:b/>
          <w:sz w:val="32"/>
        </w:rPr>
        <w:t>公用经费5.18万元，</w:t>
      </w:r>
      <w:r>
        <w:rPr>
          <w:rFonts w:ascii="仿宋_GB2312" w:hAnsi="仿宋_GB2312" w:eastAsia="仿宋_GB2312"/>
          <w:b w:val="0"/>
          <w:sz w:val="32"/>
        </w:rPr>
        <w:t>包括：办公费、水费、电费、邮电费、差旅费、公务用车运行维护费。</w:t>
      </w:r>
    </w:p>
    <w:p w14:paraId="21ED8687">
      <w:pPr>
        <w:spacing w:line="640" w:lineRule="exact"/>
        <w:ind w:firstLine="640"/>
        <w:jc w:val="both"/>
        <w:outlineLvl w:val="2"/>
      </w:pPr>
      <w:r>
        <w:rPr>
          <w:rFonts w:ascii="黑体" w:hAnsi="黑体" w:eastAsia="黑体"/>
          <w:sz w:val="32"/>
        </w:rPr>
        <w:t>七、政府性基金预算财政拨款收入支出决算情况说明</w:t>
      </w:r>
    </w:p>
    <w:p w14:paraId="5FC47CA5">
      <w:pPr>
        <w:spacing w:line="580" w:lineRule="exact"/>
        <w:ind w:firstLine="640"/>
        <w:jc w:val="both"/>
      </w:pPr>
      <w:r>
        <w:rPr>
          <w:rFonts w:ascii="仿宋_GB2312" w:hAnsi="仿宋_GB2312" w:eastAsia="仿宋_GB2312"/>
          <w:b/>
          <w:sz w:val="32"/>
        </w:rPr>
        <w:t>2024年度政府性基金预算财政拨款收入总计6,764.28万元，</w:t>
      </w:r>
      <w:r>
        <w:rPr>
          <w:rFonts w:ascii="仿宋_GB2312" w:hAnsi="仿宋_GB2312" w:eastAsia="仿宋_GB2312"/>
          <w:b w:val="0"/>
          <w:sz w:val="32"/>
        </w:rPr>
        <w:t>其中：年初结转和结余0.00万元，本年收入6,764.28万元。</w:t>
      </w:r>
      <w:r>
        <w:rPr>
          <w:rFonts w:ascii="仿宋_GB2312" w:hAnsi="仿宋_GB2312" w:eastAsia="仿宋_GB2312"/>
          <w:b/>
          <w:sz w:val="32"/>
        </w:rPr>
        <w:t>政府性基金预算财政拨款支出总计6,764.28万元，</w:t>
      </w:r>
      <w:r>
        <w:rPr>
          <w:rFonts w:ascii="仿宋_GB2312" w:hAnsi="仿宋_GB2312" w:eastAsia="仿宋_GB2312"/>
          <w:b w:val="0"/>
          <w:sz w:val="32"/>
        </w:rPr>
        <w:t>其中：年末结转和结余0.00万元，本年支出6,764.28万元。</w:t>
      </w:r>
    </w:p>
    <w:p w14:paraId="0140584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增加6,764.28万元，增长100.00%，主要原因是：本年增加叶城县煤炭储备交易基地建设项目经费，导致相关经费增加。</w:t>
      </w:r>
      <w:r>
        <w:rPr>
          <w:rFonts w:ascii="仿宋_GB2312" w:hAnsi="仿宋_GB2312" w:eastAsia="仿宋_GB2312"/>
          <w:b/>
          <w:sz w:val="32"/>
        </w:rPr>
        <w:t>与年初预算相比，</w:t>
      </w:r>
      <w:r>
        <w:rPr>
          <w:rFonts w:ascii="仿宋_GB2312" w:hAnsi="仿宋_GB2312" w:eastAsia="仿宋_GB2312"/>
          <w:b w:val="0"/>
          <w:sz w:val="32"/>
        </w:rPr>
        <w:t>年初预算数0.00万元，决算数6,764.28万元，预决算差异率100.00%，主要原因是：年中追加叶城县煤炭储备交易基地建设项目经费，导致预决算差异。</w:t>
      </w:r>
    </w:p>
    <w:p w14:paraId="2015531C">
      <w:pPr>
        <w:spacing w:line="580" w:lineRule="exact"/>
        <w:ind w:firstLine="640"/>
        <w:jc w:val="both"/>
      </w:pPr>
      <w:r>
        <w:rPr>
          <w:rFonts w:ascii="仿宋_GB2312" w:hAnsi="仿宋_GB2312" w:eastAsia="仿宋_GB2312"/>
          <w:b w:val="0"/>
          <w:sz w:val="32"/>
        </w:rPr>
        <w:t>政府性基金预算财政拨款支出6,764.28万元。</w:t>
      </w:r>
    </w:p>
    <w:p w14:paraId="296C74A7">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6,764.28万元，比上年决算增加6,764.28万元，增长100.00%,主要原因是：本年增加叶城县煤炭储备交易基地建设项目经费，导致相关经费增加。</w:t>
      </w:r>
    </w:p>
    <w:p w14:paraId="08C72581">
      <w:pPr>
        <w:spacing w:line="640" w:lineRule="exact"/>
        <w:ind w:firstLine="640"/>
        <w:jc w:val="both"/>
        <w:outlineLvl w:val="2"/>
      </w:pPr>
      <w:r>
        <w:rPr>
          <w:rFonts w:ascii="黑体" w:hAnsi="黑体" w:eastAsia="黑体"/>
          <w:sz w:val="32"/>
        </w:rPr>
        <w:t>八、国有资本经营预算财政拨款收入支出决算情况说明</w:t>
      </w:r>
    </w:p>
    <w:p w14:paraId="43EE6447">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E2677C">
      <w:pPr>
        <w:spacing w:line="640" w:lineRule="exact"/>
        <w:ind w:firstLine="640"/>
        <w:jc w:val="both"/>
        <w:outlineLvl w:val="2"/>
      </w:pPr>
      <w:r>
        <w:rPr>
          <w:rFonts w:ascii="黑体" w:hAnsi="黑体" w:eastAsia="黑体"/>
          <w:sz w:val="32"/>
        </w:rPr>
        <w:t>九、财政拨款“三公”经费支出决算情况说明</w:t>
      </w:r>
    </w:p>
    <w:p w14:paraId="4A6FF089">
      <w:pPr>
        <w:spacing w:line="580" w:lineRule="exact"/>
        <w:ind w:firstLine="640"/>
        <w:jc w:val="both"/>
      </w:pPr>
      <w:r>
        <w:rPr>
          <w:rFonts w:ascii="仿宋_GB2312" w:hAnsi="仿宋_GB2312" w:eastAsia="仿宋_GB2312"/>
          <w:b/>
          <w:sz w:val="32"/>
        </w:rPr>
        <w:t>2024年度财政拨款“三公”经费支出1.42万元，</w:t>
      </w:r>
      <w:r>
        <w:rPr>
          <w:rFonts w:ascii="仿宋_GB2312" w:hAnsi="仿宋_GB2312" w:eastAsia="仿宋_GB2312"/>
          <w:b w:val="0"/>
          <w:sz w:val="32"/>
        </w:rPr>
        <w:t>比上年减少0.31万元，下降17.92%，主要原因是：严格执行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其中：因公出国（境）费支出0.00万元，占0.00%，比上年增加0.00万元，增长0.00%，主要原因是：2023年与2024年均未安排因公出国（境）费支出。公务用车购置及运行维护费支出1.42万元，占100.00%，比上年减少0.31万元，下降17.92%，主要原因是：严格执行</w:t>
      </w:r>
      <w:r>
        <w:rPr>
          <w:rFonts w:hint="eastAsia" w:ascii="仿宋_GB2312" w:hAnsi="仿宋_GB2312" w:eastAsia="仿宋_GB2312"/>
          <w:b w:val="0"/>
          <w:sz w:val="32"/>
          <w:lang w:eastAsia="zh-CN"/>
        </w:rPr>
        <w:t>中央八项规定</w:t>
      </w:r>
      <w:r>
        <w:rPr>
          <w:rFonts w:ascii="仿宋_GB2312" w:hAnsi="仿宋_GB2312" w:eastAsia="仿宋_GB2312"/>
          <w:b w:val="0"/>
          <w:sz w:val="32"/>
        </w:rPr>
        <w:t>，厉行节约，减少公务用车运行维护费。公务接待费支出0.00万元，占0.00%，比上年增加0.00万元，增长0.00%，主要原因是：2023年与2024年均未安排公务接待费支出。</w:t>
      </w:r>
    </w:p>
    <w:p w14:paraId="49D4D886">
      <w:pPr>
        <w:spacing w:line="580" w:lineRule="exact"/>
        <w:ind w:firstLine="640"/>
        <w:jc w:val="both"/>
      </w:pPr>
      <w:r>
        <w:rPr>
          <w:rFonts w:ascii="仿宋_GB2312" w:hAnsi="仿宋_GB2312" w:eastAsia="仿宋_GB2312"/>
          <w:b/>
          <w:sz w:val="32"/>
        </w:rPr>
        <w:t>具体情况如下：</w:t>
      </w:r>
    </w:p>
    <w:p w14:paraId="4CE292EF">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F1BBB33">
      <w:pPr>
        <w:spacing w:line="580" w:lineRule="exact"/>
        <w:ind w:firstLine="640"/>
        <w:jc w:val="both"/>
      </w:pPr>
      <w:r>
        <w:rPr>
          <w:rFonts w:ascii="仿宋_GB2312" w:hAnsi="仿宋_GB2312" w:eastAsia="仿宋_GB2312"/>
          <w:b w:val="0"/>
          <w:sz w:val="32"/>
        </w:rPr>
        <w:t>公务用车购置及运行维护费1.42万元，其中：公务用车购置费0.00万元，公务用车运行维护费1.42万元。公务用车运行维护费开支内容包括车辆加油费、维修费、保险费、审车费。公务用车购置数0辆，公务用车保有量2辆。国有资产占用情况中固定资产车辆45辆，与公务用车保有量差异原因是：差异车辆为一般业务用车，预算未安排公务用车运行维护费。</w:t>
      </w:r>
    </w:p>
    <w:p w14:paraId="2842BFC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416FDF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1.42万元，决算数1.42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1.42万元，决算数1.42万元，预决算差异率0.00%，主要原因是：严格按照预算执行，预决算无差异。公务接待费全年预算数0.00万元，决算数0.00万元，预决算差异率0.00%，主要原因是：本单位无公务接待费。</w:t>
      </w:r>
    </w:p>
    <w:p w14:paraId="6D2630AE">
      <w:pPr>
        <w:spacing w:line="640" w:lineRule="exact"/>
        <w:ind w:firstLine="640"/>
        <w:jc w:val="both"/>
        <w:outlineLvl w:val="2"/>
      </w:pPr>
      <w:r>
        <w:rPr>
          <w:rFonts w:ascii="黑体" w:hAnsi="黑体" w:eastAsia="黑体"/>
          <w:sz w:val="32"/>
        </w:rPr>
        <w:t>十、其他重要事项的情况说明</w:t>
      </w:r>
    </w:p>
    <w:p w14:paraId="6EBE5DD7">
      <w:pPr>
        <w:spacing w:line="640" w:lineRule="exact"/>
        <w:ind w:firstLine="640"/>
        <w:jc w:val="both"/>
        <w:outlineLvl w:val="3"/>
      </w:pPr>
      <w:r>
        <w:rPr>
          <w:rFonts w:ascii="楷体_GB2312" w:hAnsi="楷体_GB2312" w:eastAsia="楷体_GB2312"/>
          <w:b/>
          <w:sz w:val="32"/>
        </w:rPr>
        <w:t>（一）机关运行经费及公用经费支出情况</w:t>
      </w:r>
    </w:p>
    <w:p w14:paraId="6044D11E">
      <w:pPr>
        <w:spacing w:line="580" w:lineRule="exact"/>
        <w:ind w:firstLine="640"/>
        <w:jc w:val="both"/>
      </w:pPr>
      <w:r>
        <w:rPr>
          <w:rFonts w:ascii="仿宋_GB2312" w:hAnsi="仿宋_GB2312" w:eastAsia="仿宋_GB2312"/>
          <w:b w:val="0"/>
          <w:sz w:val="32"/>
        </w:rPr>
        <w:t>2024年度叶城县供销合作社联合社（事业单位）公用经费支出5.18万元，比上年增加2.34万元，增长82.39%，主要原因是：本年更新、维护补充办公用品，导致公用经费较上年增加。</w:t>
      </w:r>
    </w:p>
    <w:p w14:paraId="7229B827">
      <w:pPr>
        <w:spacing w:line="640" w:lineRule="exact"/>
        <w:ind w:firstLine="640"/>
        <w:jc w:val="both"/>
        <w:outlineLvl w:val="3"/>
      </w:pPr>
      <w:r>
        <w:rPr>
          <w:rFonts w:ascii="楷体_GB2312" w:hAnsi="楷体_GB2312" w:eastAsia="楷体_GB2312"/>
          <w:b/>
          <w:sz w:val="32"/>
        </w:rPr>
        <w:t>（二）政府采购情况</w:t>
      </w:r>
    </w:p>
    <w:p w14:paraId="06E38659">
      <w:pPr>
        <w:spacing w:line="580" w:lineRule="exact"/>
        <w:ind w:firstLine="640"/>
        <w:jc w:val="both"/>
      </w:pPr>
      <w:r>
        <w:rPr>
          <w:rFonts w:ascii="仿宋_GB2312" w:hAnsi="仿宋_GB2312" w:eastAsia="仿宋_GB2312"/>
          <w:b w:val="0"/>
          <w:sz w:val="32"/>
        </w:rPr>
        <w:t>2024年度政府采购支出总额88.55万元，其中：政府采购货物支出86.25万元、政府采购工程支出0.00万元、政府采购服务支出2.30万元。</w:t>
      </w:r>
    </w:p>
    <w:p w14:paraId="6860CB1B">
      <w:pPr>
        <w:spacing w:line="580" w:lineRule="exact"/>
        <w:ind w:firstLine="640"/>
        <w:jc w:val="both"/>
      </w:pPr>
      <w:r>
        <w:rPr>
          <w:rFonts w:ascii="仿宋_GB2312" w:hAnsi="仿宋_GB2312" w:eastAsia="仿宋_GB2312"/>
          <w:b w:val="0"/>
          <w:sz w:val="32"/>
        </w:rPr>
        <w:t>授予中小企业合同金额88.55万元，占政府采购支出总额的100.00%，其中：授予小微企业合同金额88.55万元，占政府采购支出总额的100.00%。</w:t>
      </w:r>
    </w:p>
    <w:p w14:paraId="72EAC8E3">
      <w:pPr>
        <w:spacing w:line="640" w:lineRule="exact"/>
        <w:ind w:firstLine="640"/>
        <w:jc w:val="both"/>
        <w:outlineLvl w:val="3"/>
      </w:pPr>
      <w:r>
        <w:rPr>
          <w:rFonts w:ascii="楷体_GB2312" w:hAnsi="楷体_GB2312" w:eastAsia="楷体_GB2312"/>
          <w:b/>
          <w:sz w:val="32"/>
        </w:rPr>
        <w:t>（三）国有资产占用情况说明</w:t>
      </w:r>
    </w:p>
    <w:p w14:paraId="7B78C273">
      <w:pPr>
        <w:spacing w:line="580" w:lineRule="exact"/>
        <w:ind w:firstLine="640"/>
        <w:jc w:val="both"/>
      </w:pPr>
      <w:r>
        <w:rPr>
          <w:rFonts w:ascii="仿宋_GB2312" w:hAnsi="仿宋_GB2312" w:eastAsia="仿宋_GB2312"/>
          <w:b w:val="0"/>
          <w:sz w:val="32"/>
        </w:rPr>
        <w:t>截至2024年12月31日，房屋615.83平方米，价值30.69万元。车辆45辆，价值1,494.72万元，其中：副部（省）级及以上领导用车0辆、主要负责人用车0辆、机要通信用车0辆、应急保障用车0辆、执法执勤用车0辆、特种专业技术用车0辆、离退休干部服务用车0辆、其他用车45辆，其他用车主要是：一般公务用车和单位业务用车。单价100万元（含）以上设备（不含车辆）0台（套）。</w:t>
      </w:r>
    </w:p>
    <w:p w14:paraId="24C976EB">
      <w:pPr>
        <w:spacing w:line="640" w:lineRule="exact"/>
        <w:ind w:firstLine="640"/>
        <w:jc w:val="both"/>
        <w:outlineLvl w:val="2"/>
      </w:pPr>
      <w:r>
        <w:rPr>
          <w:rFonts w:ascii="黑体" w:hAnsi="黑体" w:eastAsia="黑体"/>
          <w:sz w:val="32"/>
        </w:rPr>
        <w:t>十一、预算绩效的情况说明</w:t>
      </w:r>
    </w:p>
    <w:p w14:paraId="4A4875D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7,316.48万元，实际执行总额7,316.48万元；预算绩效评价项目4个，全年预算数531.25万元，全年执行数284.96万元。预算绩效管理取得的成效：一是财政资金使用效率提高。预算绩效管理强调财政资金的有效使用，通过绩效目标的设定、绩效评估的开展，促使</w:t>
      </w:r>
      <w:r>
        <w:rPr>
          <w:rFonts w:hint="eastAsia" w:ascii="仿宋_GB2312" w:hAnsi="仿宋_GB2312" w:eastAsia="仿宋_GB2312"/>
          <w:b w:val="0"/>
          <w:sz w:val="32"/>
          <w:lang w:eastAsia="zh-CN"/>
        </w:rPr>
        <w:t>本单位</w:t>
      </w:r>
      <w:r>
        <w:rPr>
          <w:rFonts w:ascii="仿宋_GB2312" w:hAnsi="仿宋_GB2312" w:eastAsia="仿宋_GB2312"/>
          <w:b w:val="0"/>
          <w:sz w:val="32"/>
        </w:rPr>
        <w:t>优化资源配置，提高</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效率。二是预算与部门计划更加匹配。预算绩效管理要求在预算编制时明确绩效目标，使预算与部门计划更加匹配。这有效保障了</w:t>
      </w:r>
      <w:r>
        <w:rPr>
          <w:rFonts w:hint="eastAsia" w:ascii="仿宋_GB2312" w:hAnsi="仿宋_GB2312" w:eastAsia="仿宋_GB2312"/>
          <w:b w:val="0"/>
          <w:sz w:val="32"/>
          <w:lang w:eastAsia="zh-CN"/>
        </w:rPr>
        <w:t>本单位</w:t>
      </w:r>
      <w:r>
        <w:rPr>
          <w:rFonts w:ascii="仿宋_GB2312" w:hAnsi="仿宋_GB2312" w:eastAsia="仿宋_GB2312"/>
          <w:b w:val="0"/>
          <w:sz w:val="32"/>
        </w:rPr>
        <w:t>更好地规划资金使用，避免资金的浪费和滥用，使预算真正符合</w:t>
      </w:r>
      <w:r>
        <w:rPr>
          <w:rFonts w:hint="eastAsia" w:ascii="仿宋_GB2312" w:hAnsi="仿宋_GB2312" w:eastAsia="仿宋_GB2312"/>
          <w:b w:val="0"/>
          <w:sz w:val="32"/>
          <w:lang w:eastAsia="zh-CN"/>
        </w:rPr>
        <w:t>本单位</w:t>
      </w:r>
      <w:r>
        <w:rPr>
          <w:rFonts w:ascii="仿宋_GB2312" w:hAnsi="仿宋_GB2312" w:eastAsia="仿宋_GB2312"/>
          <w:b w:val="0"/>
          <w:sz w:val="32"/>
        </w:rPr>
        <w:t>发展的需要。三是项目管理水平提升。预算绩效管理强调绩效目标的设定、绩效计划的制定、绩效评估的开展，这有助于</w:t>
      </w:r>
      <w:r>
        <w:rPr>
          <w:rFonts w:hint="eastAsia" w:ascii="仿宋_GB2312" w:hAnsi="仿宋_GB2312" w:eastAsia="仿宋_GB2312"/>
          <w:b w:val="0"/>
          <w:sz w:val="32"/>
          <w:lang w:eastAsia="zh-CN"/>
        </w:rPr>
        <w:t>本单位</w:t>
      </w:r>
      <w:r>
        <w:rPr>
          <w:rFonts w:ascii="仿宋_GB2312" w:hAnsi="仿宋_GB2312" w:eastAsia="仿宋_GB2312"/>
          <w:b w:val="0"/>
          <w:sz w:val="32"/>
        </w:rPr>
        <w:t>加强项目管理，提高项目管理水平。促使</w:t>
      </w:r>
      <w:r>
        <w:rPr>
          <w:rFonts w:hint="eastAsia" w:ascii="仿宋_GB2312" w:hAnsi="仿宋_GB2312" w:eastAsia="仿宋_GB2312"/>
          <w:b w:val="0"/>
          <w:sz w:val="32"/>
          <w:lang w:eastAsia="zh-CN"/>
        </w:rPr>
        <w:t>本单位</w:t>
      </w:r>
      <w:r>
        <w:rPr>
          <w:rFonts w:ascii="仿宋_GB2312" w:hAnsi="仿宋_GB2312" w:eastAsia="仿宋_GB2312"/>
          <w:b w:val="0"/>
          <w:sz w:val="32"/>
        </w:rPr>
        <w:t>能够更好地规划项目进度，控制成本，保证项目质量，提高项目的绩效。发现的问题及原因：一是项目的前期准备工作不严谨，对项目实施未进行深入分析，没有合理的项目管理计划或方案；二是项目预算绩效管理工作不健全，管理意识薄弱预算管理意识不强，管理较混乱，没有建立专门的制度。在项目进行过程中，影响</w:t>
      </w:r>
      <w:r>
        <w:rPr>
          <w:rFonts w:hint="eastAsia" w:ascii="仿宋_GB2312" w:hAnsi="仿宋_GB2312" w:eastAsia="仿宋_GB2312"/>
          <w:b w:val="0"/>
          <w:sz w:val="32"/>
          <w:lang w:eastAsia="zh-CN"/>
        </w:rPr>
        <w:t>项目</w:t>
      </w:r>
      <w:r>
        <w:rPr>
          <w:rFonts w:ascii="仿宋_GB2312" w:hAnsi="仿宋_GB2312" w:eastAsia="仿宋_GB2312"/>
          <w:b w:val="0"/>
          <w:sz w:val="32"/>
        </w:rPr>
        <w:t>实施的效率及效益。下一步改进措施：一是强化前期准备，加大项目管理力度，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二是健全项目管理机制，加强管理意识，按照预算支出内容，以结果为导向，设置合理的绩效目标，加强项目实施效果的管理；完善资金管理制度，树立监督管理责任意识，加大资金监管力度，完善资金监管制度，建立“预算编制有目标，预算执行，预算完成有评价，评价结果有反馈，反馈结果有应用”的预算绩效管理机制。具体附整体支出绩效自评表，项目支出绩效自评表和评价报告。</w:t>
      </w:r>
    </w:p>
    <w:p w14:paraId="70C40AE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AE4E72B">
        <w:tc>
          <w:tcPr>
            <w:tcW w:w="8847" w:type="dxa"/>
            <w:gridSpan w:val="9"/>
            <w:vAlign w:val="center"/>
          </w:tcPr>
          <w:p w14:paraId="67BD82A3">
            <w:pPr>
              <w:jc w:val="center"/>
            </w:pPr>
            <w:r>
              <w:rPr>
                <w:rFonts w:ascii="宋体" w:hAnsi="宋体" w:eastAsia="宋体"/>
                <w:sz w:val="24"/>
              </w:rPr>
              <w:t>单位整体支出绩效自评表</w:t>
            </w:r>
          </w:p>
        </w:tc>
      </w:tr>
      <w:tr w14:paraId="2491E513">
        <w:tblPrEx>
          <w:tblCellMar>
            <w:top w:w="0" w:type="dxa"/>
            <w:left w:w="108" w:type="dxa"/>
            <w:bottom w:w="0" w:type="dxa"/>
            <w:right w:w="108" w:type="dxa"/>
          </w:tblCellMar>
        </w:tblPrEx>
        <w:tc>
          <w:tcPr>
            <w:tcW w:w="8847" w:type="dxa"/>
            <w:gridSpan w:val="9"/>
            <w:vAlign w:val="center"/>
          </w:tcPr>
          <w:p w14:paraId="193881FE">
            <w:pPr>
              <w:jc w:val="center"/>
            </w:pPr>
            <w:r>
              <w:rPr>
                <w:rFonts w:ascii="宋体" w:hAnsi="宋体" w:eastAsia="宋体"/>
                <w:sz w:val="24"/>
              </w:rPr>
              <w:t>（2024年度）</w:t>
            </w:r>
          </w:p>
        </w:tc>
      </w:tr>
      <w:tr w14:paraId="21DF34B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A023D">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984064">
            <w:pPr>
              <w:jc w:val="center"/>
            </w:pPr>
            <w:r>
              <w:rPr>
                <w:rFonts w:ascii="宋体" w:hAnsi="宋体" w:eastAsia="宋体"/>
                <w:sz w:val="16"/>
              </w:rPr>
              <w:t>叶城县供销合作社联合社</w:t>
            </w:r>
          </w:p>
        </w:tc>
      </w:tr>
      <w:tr w14:paraId="769E77C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2477F0">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D5C7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CADA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8D0AF">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C947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EC75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5EAD7">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605D4">
            <w:pPr>
              <w:jc w:val="center"/>
            </w:pPr>
            <w:r>
              <w:rPr>
                <w:rFonts w:ascii="宋体" w:hAnsi="宋体" w:eastAsia="宋体"/>
                <w:sz w:val="16"/>
              </w:rPr>
              <w:t>得分</w:t>
            </w:r>
          </w:p>
        </w:tc>
      </w:tr>
      <w:tr w14:paraId="6BB6FC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84678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85DFB">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BEA2C">
            <w:pPr>
              <w:jc w:val="center"/>
            </w:pPr>
            <w:r>
              <w:rPr>
                <w:rFonts w:ascii="宋体" w:hAnsi="宋体" w:eastAsia="宋体"/>
                <w:sz w:val="16"/>
              </w:rPr>
              <w:t>188.40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EDF6F">
            <w:pPr>
              <w:jc w:val="center"/>
            </w:pPr>
            <w:r>
              <w:rPr>
                <w:rFonts w:ascii="宋体" w:hAnsi="宋体" w:eastAsia="宋体"/>
                <w:sz w:val="16"/>
              </w:rPr>
              <w:t>7,316.48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C0E36">
            <w:pPr>
              <w:jc w:val="center"/>
            </w:pPr>
            <w:r>
              <w:rPr>
                <w:rFonts w:ascii="宋体" w:hAnsi="宋体" w:eastAsia="宋体"/>
                <w:sz w:val="16"/>
              </w:rPr>
              <w:t>7,316.48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CBF00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8C28B">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969DA0">
            <w:pPr>
              <w:jc w:val="center"/>
            </w:pPr>
            <w:r>
              <w:rPr>
                <w:rFonts w:ascii="宋体" w:hAnsi="宋体" w:eastAsia="宋体"/>
                <w:sz w:val="16"/>
              </w:rPr>
              <w:t>10</w:t>
            </w:r>
          </w:p>
        </w:tc>
      </w:tr>
      <w:tr w14:paraId="59FDC92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BD6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82E7F">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E05AF">
            <w:pPr>
              <w:jc w:val="center"/>
            </w:pPr>
            <w:r>
              <w:rPr>
                <w:rFonts w:ascii="宋体" w:hAnsi="宋体" w:eastAsia="宋体"/>
                <w:sz w:val="16"/>
              </w:rPr>
              <w:t>13.38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D382F">
            <w:pPr>
              <w:jc w:val="center"/>
            </w:pPr>
            <w:r>
              <w:rPr>
                <w:rFonts w:ascii="宋体" w:hAnsi="宋体" w:eastAsia="宋体"/>
                <w:sz w:val="16"/>
              </w:rPr>
              <w:t>278.47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57A8B">
            <w:pPr>
              <w:jc w:val="center"/>
            </w:pPr>
            <w:r>
              <w:rPr>
                <w:rFonts w:ascii="宋体" w:hAnsi="宋体" w:eastAsia="宋体"/>
                <w:sz w:val="16"/>
              </w:rPr>
              <w:t>278.47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97BD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9B291">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547D7">
            <w:pPr>
              <w:jc w:val="center"/>
            </w:pPr>
            <w:r>
              <w:rPr>
                <w:rFonts w:ascii="宋体" w:hAnsi="宋体" w:eastAsia="宋体"/>
                <w:sz w:val="16"/>
              </w:rPr>
              <w:t>—</w:t>
            </w:r>
          </w:p>
        </w:tc>
      </w:tr>
      <w:tr w14:paraId="1236EC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8B4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32F6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2A2C1">
            <w:pPr>
              <w:jc w:val="center"/>
            </w:pPr>
            <w:r>
              <w:rPr>
                <w:rFonts w:ascii="宋体" w:hAnsi="宋体" w:eastAsia="宋体"/>
                <w:sz w:val="16"/>
              </w:rPr>
              <w:t>175.02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BB34D3">
            <w:pPr>
              <w:jc w:val="center"/>
            </w:pPr>
            <w:r>
              <w:rPr>
                <w:rFonts w:ascii="宋体" w:hAnsi="宋体" w:eastAsia="宋体"/>
                <w:sz w:val="16"/>
              </w:rPr>
              <w:t>273.73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B3010">
            <w:pPr>
              <w:jc w:val="center"/>
            </w:pPr>
            <w:r>
              <w:rPr>
                <w:rFonts w:ascii="宋体" w:hAnsi="宋体" w:eastAsia="宋体"/>
                <w:sz w:val="16"/>
              </w:rPr>
              <w:t>273.73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ADA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6A3A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B4784">
            <w:pPr>
              <w:jc w:val="center"/>
            </w:pPr>
            <w:r>
              <w:rPr>
                <w:rFonts w:ascii="宋体" w:hAnsi="宋体" w:eastAsia="宋体"/>
                <w:sz w:val="16"/>
              </w:rPr>
              <w:t>—</w:t>
            </w:r>
          </w:p>
        </w:tc>
      </w:tr>
      <w:tr w14:paraId="6C8633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28410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85CB2">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0E8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81562">
            <w:pPr>
              <w:jc w:val="center"/>
            </w:pPr>
            <w:r>
              <w:rPr>
                <w:rFonts w:ascii="宋体" w:hAnsi="宋体" w:eastAsia="宋体"/>
                <w:sz w:val="16"/>
              </w:rPr>
              <w:t>6,764.28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D3827">
            <w:pPr>
              <w:jc w:val="center"/>
            </w:pPr>
            <w:r>
              <w:rPr>
                <w:rFonts w:ascii="宋体" w:hAnsi="宋体" w:eastAsia="宋体"/>
                <w:sz w:val="16"/>
              </w:rPr>
              <w:t>6,764.28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178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8CE4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B5AA8">
            <w:pPr>
              <w:jc w:val="center"/>
            </w:pPr>
            <w:r>
              <w:rPr>
                <w:rFonts w:ascii="宋体" w:hAnsi="宋体" w:eastAsia="宋体"/>
                <w:sz w:val="16"/>
              </w:rPr>
              <w:t>—</w:t>
            </w:r>
          </w:p>
        </w:tc>
      </w:tr>
      <w:tr w14:paraId="3EAD774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F260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5BFD0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1AC7EC">
            <w:pPr>
              <w:jc w:val="center"/>
            </w:pPr>
            <w:r>
              <w:rPr>
                <w:rFonts w:ascii="宋体" w:hAnsi="宋体" w:eastAsia="宋体"/>
                <w:sz w:val="16"/>
              </w:rPr>
              <w:t>实际完成情况</w:t>
            </w:r>
          </w:p>
        </w:tc>
      </w:tr>
      <w:tr w14:paraId="3C7478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E705B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E575115">
            <w:pPr>
              <w:jc w:val="both"/>
            </w:pPr>
            <w:r>
              <w:rPr>
                <w:rFonts w:ascii="宋体" w:hAnsi="宋体" w:eastAsia="宋体"/>
                <w:sz w:val="16"/>
              </w:rPr>
              <w:t>贯彻执行党和国家的经济方针、政策和法律、法规及地方的有关政策、规定；对本级社有资产行使出资代表管理职能，监督社有资产保值增值；围绕建立和完善农业社会化服务体系，做好农业、农村、农民服务的工作；负责对全县重要农业生产资料、生活资料、农副产品经营进行组织、协调、管理；负责调查研究全县供销企业的业务经营情况，调整经营结构和经营方针。</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2038C5">
            <w:pPr>
              <w:jc w:val="both"/>
            </w:pPr>
            <w:r>
              <w:rPr>
                <w:rFonts w:hint="eastAsia" w:ascii="宋体" w:hAnsi="宋体"/>
                <w:sz w:val="16"/>
                <w:lang w:eastAsia="zh-CN"/>
              </w:rPr>
              <w:t>截至2024</w:t>
            </w:r>
            <w:r>
              <w:rPr>
                <w:rFonts w:ascii="宋体" w:hAnsi="宋体" w:eastAsia="宋体"/>
                <w:sz w:val="16"/>
              </w:rPr>
              <w:t>年12月31日，</w:t>
            </w:r>
            <w:r>
              <w:rPr>
                <w:rFonts w:hint="eastAsia" w:ascii="宋体" w:hAnsi="宋体"/>
                <w:sz w:val="16"/>
                <w:lang w:eastAsia="zh-CN"/>
              </w:rPr>
              <w:t>本单位</w:t>
            </w:r>
            <w:r>
              <w:rPr>
                <w:rFonts w:ascii="宋体" w:hAnsi="宋体" w:eastAsia="宋体"/>
                <w:sz w:val="16"/>
              </w:rPr>
              <w:t>贯彻执行党和国家的经济方针、政策和法律、法规及地方的有关政策、规定;对本级社有资产行使出资代表管理职能，监督社有资产保值增值;围绕建立和完善农业社会化服务体系，</w:t>
            </w:r>
            <w:r>
              <w:rPr>
                <w:rFonts w:hint="eastAsia" w:ascii="宋体" w:hAnsi="宋体"/>
                <w:sz w:val="16"/>
                <w:lang w:eastAsia="zh-CN"/>
              </w:rPr>
              <w:t>做好</w:t>
            </w:r>
            <w:r>
              <w:rPr>
                <w:rFonts w:ascii="宋体" w:hAnsi="宋体" w:eastAsia="宋体"/>
                <w:sz w:val="16"/>
              </w:rPr>
              <w:t>农业、农村、农民服务的工作;负责对全县重要农业生产资料、</w:t>
            </w:r>
            <w:r>
              <w:rPr>
                <w:rFonts w:hint="eastAsia" w:ascii="宋体" w:hAnsi="宋体"/>
                <w:sz w:val="16"/>
                <w:lang w:eastAsia="zh-CN"/>
              </w:rPr>
              <w:t>生活资料</w:t>
            </w:r>
            <w:r>
              <w:rPr>
                <w:rFonts w:ascii="宋体" w:hAnsi="宋体" w:eastAsia="宋体"/>
                <w:sz w:val="16"/>
              </w:rPr>
              <w:t>、农副产品经营进行组织、协调、管理;负责调查研究全县供销企业的业务经营情况，调整经营结构和经营方针。2024年已完成提升改造薄弱基层社7个、乡镇基层信用社覆盖率100%，负责全县农产品各项工作综合协调率100%，确保年销售额1000万元、通过供销渠道帮助销售各类产品300万元。</w:t>
            </w:r>
          </w:p>
        </w:tc>
      </w:tr>
      <w:tr w14:paraId="590252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3EA7C">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7FE4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9155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17D4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DAE3F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0F90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F6D3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F7F6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D2E20">
            <w:pPr>
              <w:jc w:val="center"/>
            </w:pPr>
            <w:r>
              <w:rPr>
                <w:rFonts w:ascii="宋体" w:hAnsi="宋体" w:eastAsia="宋体"/>
                <w:sz w:val="16"/>
              </w:rPr>
              <w:t>得分</w:t>
            </w:r>
          </w:p>
        </w:tc>
      </w:tr>
      <w:tr w14:paraId="0C66193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86AF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C7A5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7D4AA">
            <w:pPr>
              <w:jc w:val="center"/>
            </w:pPr>
            <w:r>
              <w:rPr>
                <w:rFonts w:ascii="宋体" w:hAnsi="宋体" w:eastAsia="宋体"/>
                <w:sz w:val="16"/>
              </w:rPr>
              <w:t>提升改造薄弱基层社数量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540749">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A43E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B70B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B03521">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FD6D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487C5">
            <w:pPr>
              <w:jc w:val="center"/>
            </w:pPr>
            <w:r>
              <w:rPr>
                <w:rFonts w:ascii="宋体" w:hAnsi="宋体" w:eastAsia="宋体"/>
                <w:sz w:val="16"/>
              </w:rPr>
              <w:t>20</w:t>
            </w:r>
          </w:p>
        </w:tc>
      </w:tr>
      <w:tr w14:paraId="32D750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D55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AAE2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9B29B">
            <w:pPr>
              <w:jc w:val="center"/>
            </w:pPr>
            <w:r>
              <w:rPr>
                <w:rFonts w:ascii="宋体" w:hAnsi="宋体" w:eastAsia="宋体"/>
                <w:sz w:val="16"/>
              </w:rPr>
              <w:t>确保年销售额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59632">
            <w:pPr>
              <w:jc w:val="center"/>
            </w:pPr>
            <w:r>
              <w:rPr>
                <w:rFonts w:ascii="宋体" w:hAnsi="宋体" w:eastAsia="宋体"/>
                <w:sz w:val="16"/>
              </w:rPr>
              <w:t>&gt;=1000万元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3C38F">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BBB3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A1698">
            <w:pPr>
              <w:jc w:val="center"/>
            </w:pPr>
            <w:r>
              <w:rPr>
                <w:rFonts w:ascii="宋体" w:hAnsi="宋体" w:eastAsia="宋体"/>
                <w:sz w:val="16"/>
              </w:rPr>
              <w:t>=1000万元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C88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929C13">
            <w:pPr>
              <w:jc w:val="center"/>
            </w:pPr>
            <w:r>
              <w:rPr>
                <w:rFonts w:ascii="宋体" w:hAnsi="宋体" w:eastAsia="宋体"/>
                <w:sz w:val="16"/>
              </w:rPr>
              <w:t>20</w:t>
            </w:r>
          </w:p>
        </w:tc>
      </w:tr>
      <w:tr w14:paraId="3AB3DF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4B74C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C454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D22EDC">
            <w:pPr>
              <w:jc w:val="center"/>
            </w:pPr>
            <w:r>
              <w:rPr>
                <w:rFonts w:ascii="宋体" w:hAnsi="宋体" w:eastAsia="宋体"/>
                <w:sz w:val="16"/>
              </w:rPr>
              <w:t>负责全县农产品各项工作综合协调率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B14D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2786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6C9F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F60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4EF4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31786">
            <w:pPr>
              <w:jc w:val="center"/>
            </w:pPr>
            <w:r>
              <w:rPr>
                <w:rFonts w:ascii="宋体" w:hAnsi="宋体" w:eastAsia="宋体"/>
                <w:sz w:val="16"/>
              </w:rPr>
              <w:t>20</w:t>
            </w:r>
          </w:p>
        </w:tc>
      </w:tr>
      <w:tr w14:paraId="074956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5B0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D60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50F73">
            <w:pPr>
              <w:jc w:val="center"/>
            </w:pPr>
            <w:r>
              <w:rPr>
                <w:rFonts w:ascii="宋体" w:hAnsi="宋体" w:eastAsia="宋体"/>
                <w:sz w:val="16"/>
              </w:rPr>
              <w:t>乡镇基层信用社覆盖率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CD78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068B9">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57055">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3C8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21E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720D9">
            <w:pPr>
              <w:jc w:val="center"/>
            </w:pPr>
            <w:r>
              <w:rPr>
                <w:rFonts w:ascii="宋体" w:hAnsi="宋体" w:eastAsia="宋体"/>
                <w:sz w:val="16"/>
              </w:rPr>
              <w:t>15</w:t>
            </w:r>
          </w:p>
        </w:tc>
      </w:tr>
      <w:tr w14:paraId="7724F9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9F0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1EEE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49D60">
            <w:pPr>
              <w:jc w:val="center"/>
            </w:pPr>
            <w:r>
              <w:rPr>
                <w:rFonts w:ascii="宋体" w:hAnsi="宋体" w:eastAsia="宋体"/>
                <w:sz w:val="16"/>
              </w:rPr>
              <w:t>通过供销渠道帮助销售各类产品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A28CB">
            <w:pPr>
              <w:jc w:val="center"/>
            </w:pPr>
            <w:r>
              <w:rPr>
                <w:rFonts w:ascii="宋体" w:hAnsi="宋体" w:eastAsia="宋体"/>
                <w:sz w:val="16"/>
              </w:rPr>
              <w:t>=300万元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9C3BC">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DC8BB">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6288B">
            <w:pPr>
              <w:jc w:val="center"/>
            </w:pPr>
            <w:r>
              <w:rPr>
                <w:rFonts w:ascii="宋体" w:hAnsi="宋体" w:eastAsia="宋体"/>
                <w:sz w:val="16"/>
              </w:rPr>
              <w:t>=300万元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795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C0FD8">
            <w:pPr>
              <w:jc w:val="center"/>
            </w:pPr>
            <w:r>
              <w:rPr>
                <w:rFonts w:ascii="宋体" w:hAnsi="宋体" w:eastAsia="宋体"/>
                <w:sz w:val="16"/>
              </w:rPr>
              <w:t>15</w:t>
            </w:r>
          </w:p>
        </w:tc>
      </w:tr>
    </w:tbl>
    <w:p w14:paraId="1A6E84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65C48CDF">
        <w:tblPrEx>
          <w:tblCellMar>
            <w:top w:w="0" w:type="dxa"/>
            <w:left w:w="108" w:type="dxa"/>
            <w:bottom w:w="0" w:type="dxa"/>
            <w:right w:w="108" w:type="dxa"/>
          </w:tblCellMar>
        </w:tblPrEx>
        <w:tc>
          <w:tcPr>
            <w:tcW w:w="8848" w:type="dxa"/>
            <w:gridSpan w:val="14"/>
            <w:vAlign w:val="center"/>
          </w:tcPr>
          <w:p w14:paraId="393E118F">
            <w:pPr>
              <w:jc w:val="center"/>
            </w:pPr>
            <w:r>
              <w:rPr>
                <w:rFonts w:ascii="宋体" w:hAnsi="宋体" w:eastAsia="宋体"/>
                <w:sz w:val="24"/>
              </w:rPr>
              <w:t>项目支出绩效自评表</w:t>
            </w:r>
          </w:p>
        </w:tc>
      </w:tr>
      <w:tr w14:paraId="0312DE31">
        <w:tblPrEx>
          <w:tblCellMar>
            <w:top w:w="0" w:type="dxa"/>
            <w:left w:w="108" w:type="dxa"/>
            <w:bottom w:w="0" w:type="dxa"/>
            <w:right w:w="108" w:type="dxa"/>
          </w:tblCellMar>
        </w:tblPrEx>
        <w:tc>
          <w:tcPr>
            <w:tcW w:w="8848" w:type="dxa"/>
            <w:gridSpan w:val="14"/>
            <w:vAlign w:val="center"/>
          </w:tcPr>
          <w:p w14:paraId="453126C1">
            <w:pPr>
              <w:jc w:val="center"/>
            </w:pPr>
            <w:r>
              <w:rPr>
                <w:rFonts w:ascii="宋体" w:hAnsi="宋体" w:eastAsia="宋体"/>
                <w:sz w:val="24"/>
              </w:rPr>
              <w:t>(2024年度)</w:t>
            </w:r>
          </w:p>
        </w:tc>
      </w:tr>
      <w:tr w14:paraId="58E7C9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99DE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4A10BD">
            <w:pPr>
              <w:jc w:val="center"/>
            </w:pPr>
            <w:r>
              <w:rPr>
                <w:rFonts w:ascii="宋体" w:hAnsi="宋体" w:eastAsia="宋体"/>
                <w:sz w:val="16"/>
              </w:rPr>
              <w:t>供销社基层社改造重建费用</w:t>
            </w:r>
          </w:p>
        </w:tc>
      </w:tr>
      <w:tr w14:paraId="23FAD7B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7EB2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1D67B3">
            <w:pPr>
              <w:jc w:val="center"/>
            </w:pPr>
            <w:r>
              <w:rPr>
                <w:rFonts w:ascii="宋体" w:hAnsi="宋体" w:eastAsia="宋体"/>
                <w:sz w:val="16"/>
              </w:rPr>
              <w:t>叶城县供销合作社联合社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D06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8069694">
            <w:pPr>
              <w:jc w:val="center"/>
            </w:pPr>
            <w:r>
              <w:rPr>
                <w:rFonts w:ascii="宋体" w:hAnsi="宋体" w:eastAsia="宋体"/>
                <w:sz w:val="16"/>
              </w:rPr>
              <w:t>叶城县供销合作社联合社</w:t>
            </w:r>
          </w:p>
        </w:tc>
      </w:tr>
      <w:tr w14:paraId="1C0BDE0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5A701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4C42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CCD5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EE89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4753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2CE8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D08F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DB68D">
            <w:pPr>
              <w:jc w:val="center"/>
            </w:pPr>
            <w:r>
              <w:rPr>
                <w:rFonts w:ascii="宋体" w:hAnsi="宋体" w:eastAsia="宋体"/>
                <w:sz w:val="16"/>
              </w:rPr>
              <w:t>得分</w:t>
            </w:r>
          </w:p>
        </w:tc>
      </w:tr>
      <w:tr w14:paraId="09923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A18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F6A9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0A793">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96739E">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73DE4">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F46F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CEBD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174A">
            <w:pPr>
              <w:jc w:val="center"/>
            </w:pPr>
            <w:r>
              <w:rPr>
                <w:rFonts w:ascii="宋体" w:hAnsi="宋体" w:eastAsia="宋体"/>
                <w:sz w:val="16"/>
              </w:rPr>
              <w:t>10.00分</w:t>
            </w:r>
          </w:p>
        </w:tc>
      </w:tr>
      <w:tr w14:paraId="4F0D77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E893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FD55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6E15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346FC">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5A3D8">
            <w:pPr>
              <w:jc w:val="center"/>
            </w:pPr>
            <w:r>
              <w:rPr>
                <w:rFonts w:ascii="宋体" w:hAnsi="宋体" w:eastAsia="宋体"/>
                <w:sz w:val="16"/>
              </w:rPr>
              <w:t>30.00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CF20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2FE8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FC33">
            <w:pPr>
              <w:jc w:val="center"/>
            </w:pPr>
            <w:r>
              <w:rPr>
                <w:rFonts w:ascii="宋体" w:hAnsi="宋体" w:eastAsia="宋体"/>
                <w:sz w:val="16"/>
              </w:rPr>
              <w:t>—</w:t>
            </w:r>
          </w:p>
        </w:tc>
      </w:tr>
      <w:tr w14:paraId="015A14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D85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CA66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51A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A9D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F76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C3D6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1634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8352A">
            <w:pPr>
              <w:jc w:val="center"/>
            </w:pPr>
            <w:r>
              <w:rPr>
                <w:rFonts w:ascii="宋体" w:hAnsi="宋体" w:eastAsia="宋体"/>
                <w:sz w:val="16"/>
              </w:rPr>
              <w:t>—</w:t>
            </w:r>
          </w:p>
        </w:tc>
      </w:tr>
      <w:tr w14:paraId="2B1240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0792A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8E1E7C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D04C0B">
            <w:pPr>
              <w:jc w:val="center"/>
            </w:pPr>
            <w:r>
              <w:rPr>
                <w:rFonts w:ascii="宋体" w:hAnsi="宋体" w:eastAsia="宋体"/>
                <w:sz w:val="16"/>
              </w:rPr>
              <w:t>实际完成情况</w:t>
            </w:r>
          </w:p>
        </w:tc>
      </w:tr>
      <w:tr w14:paraId="76CBE9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F3AE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879B4C">
            <w:pPr>
              <w:jc w:val="both"/>
            </w:pPr>
            <w:r>
              <w:rPr>
                <w:rFonts w:ascii="宋体" w:hAnsi="宋体" w:eastAsia="宋体"/>
                <w:sz w:val="16"/>
              </w:rPr>
              <w:t>该项目下达资金30万元，用于支付改造重建基层社工程款，项目的实施将有效提高周围群众生活水平。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B4B7B41">
            <w:pPr>
              <w:jc w:val="both"/>
            </w:pPr>
            <w:r>
              <w:rPr>
                <w:rFonts w:ascii="宋体" w:hAnsi="宋体" w:eastAsia="宋体"/>
                <w:sz w:val="16"/>
              </w:rPr>
              <w:t>该项目总</w:t>
            </w:r>
            <w:r>
              <w:rPr>
                <w:rFonts w:hint="eastAsia" w:ascii="宋体" w:hAnsi="宋体"/>
                <w:sz w:val="16"/>
                <w:lang w:eastAsia="zh-CN"/>
              </w:rPr>
              <w:t>资金</w:t>
            </w:r>
            <w:r>
              <w:rPr>
                <w:rFonts w:ascii="宋体" w:hAnsi="宋体" w:eastAsia="宋体"/>
                <w:sz w:val="16"/>
              </w:rPr>
              <w:t>30万元，截至2024年12月31日，到位资金30万元，执行资金30万元，执行率100%。主要用于支付建设1个乡基层社尾款，项目完工及时率100%，项目验收合格率100%。项目的实施将有效提高周围群众生活水平。</w:t>
            </w:r>
          </w:p>
        </w:tc>
      </w:tr>
      <w:tr w14:paraId="0530C35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3EC8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806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C9E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51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744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23B6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38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7B1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F986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142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6CB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33C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628EB">
            <w:pPr>
              <w:jc w:val="center"/>
            </w:pPr>
            <w:r>
              <w:rPr>
                <w:rFonts w:ascii="宋体" w:hAnsi="宋体" w:eastAsia="宋体"/>
                <w:sz w:val="16"/>
              </w:rPr>
              <w:t>偏差原因分析及改进措施</w:t>
            </w:r>
          </w:p>
        </w:tc>
      </w:tr>
      <w:tr w14:paraId="4D4619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0CEE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A69C4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BAE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698D0">
            <w:pPr>
              <w:jc w:val="center"/>
            </w:pPr>
            <w:r>
              <w:rPr>
                <w:rFonts w:ascii="宋体" w:hAnsi="宋体" w:eastAsia="宋体"/>
                <w:sz w:val="16"/>
              </w:rPr>
              <w:t>建设1个乡基层社数量（个）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BB5E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DFC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AD3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9EC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771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66C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4C0B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11D8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7070B">
            <w:pPr>
              <w:jc w:val="center"/>
            </w:pPr>
          </w:p>
        </w:tc>
      </w:tr>
      <w:tr w14:paraId="697320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8886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93F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1F05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4DC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21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D14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E89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584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502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9D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37E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1028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7AF7E">
            <w:pPr>
              <w:jc w:val="center"/>
            </w:pPr>
          </w:p>
        </w:tc>
      </w:tr>
      <w:tr w14:paraId="62E745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B70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0C56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98CE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0371">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0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894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1D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B4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BB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091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C58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A80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4827A">
            <w:pPr>
              <w:jc w:val="center"/>
            </w:pPr>
          </w:p>
        </w:tc>
      </w:tr>
      <w:tr w14:paraId="5934B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D27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E19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5D5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68FA">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005DE">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932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891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ECE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F224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04B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C9C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FC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50E9B">
            <w:pPr>
              <w:jc w:val="center"/>
            </w:pPr>
          </w:p>
        </w:tc>
      </w:tr>
      <w:tr w14:paraId="2C5A5F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F919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5BAE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3C8C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DC5AA">
            <w:pPr>
              <w:jc w:val="center"/>
            </w:pPr>
            <w:r>
              <w:rPr>
                <w:rFonts w:ascii="宋体" w:hAnsi="宋体" w:eastAsia="宋体"/>
                <w:sz w:val="16"/>
              </w:rPr>
              <w:t>建设成本（万元）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ECA7">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5FF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ED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C837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C2D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2F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F8E1">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867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EC945">
            <w:pPr>
              <w:jc w:val="center"/>
            </w:pPr>
          </w:p>
        </w:tc>
      </w:tr>
      <w:tr w14:paraId="2D7434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C0A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F502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41E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A055">
            <w:pPr>
              <w:jc w:val="center"/>
            </w:pPr>
            <w:r>
              <w:rPr>
                <w:rFonts w:ascii="宋体" w:hAnsi="宋体" w:eastAsia="宋体"/>
                <w:sz w:val="16"/>
              </w:rPr>
              <w:t>提高生活品质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A079">
            <w:pPr>
              <w:jc w:val="center"/>
            </w:pPr>
            <w:r>
              <w:rPr>
                <w:rFonts w:ascii="宋体" w:hAnsi="宋体" w:eastAsia="宋体"/>
                <w:sz w:val="16"/>
              </w:rPr>
              <w:t>长期保持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F2A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77E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E5D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62A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67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341DC">
            <w:pPr>
              <w:jc w:val="center"/>
            </w:pPr>
            <w:r>
              <w:rPr>
                <w:rFonts w:ascii="宋体" w:hAnsi="宋体" w:eastAsia="宋体"/>
                <w:sz w:val="16"/>
              </w:rPr>
              <w:t>长期保持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4203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FE6C7">
            <w:pPr>
              <w:jc w:val="center"/>
            </w:pPr>
          </w:p>
        </w:tc>
      </w:tr>
      <w:tr w14:paraId="324D3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234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8B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4B5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F476F">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58D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D23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2D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F3E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B91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FB9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20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339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280D1">
            <w:pPr>
              <w:jc w:val="center"/>
            </w:pPr>
            <w:r>
              <w:rPr>
                <w:rFonts w:ascii="宋体" w:hAnsi="宋体" w:eastAsia="宋体"/>
                <w:sz w:val="16"/>
              </w:rPr>
              <w:t>受益群众对项目实施基本满意；</w:t>
            </w:r>
            <w:r>
              <w:rPr>
                <w:rFonts w:hint="eastAsia" w:ascii="宋体" w:hAnsi="宋体"/>
                <w:sz w:val="16"/>
                <w:lang w:eastAsia="zh-CN"/>
              </w:rPr>
              <w:t>不</w:t>
            </w:r>
            <w:r>
              <w:rPr>
                <w:rFonts w:ascii="宋体" w:hAnsi="宋体" w:eastAsia="宋体"/>
                <w:sz w:val="16"/>
              </w:rPr>
              <w:t>产生偏差；做好年初预算。</w:t>
            </w:r>
          </w:p>
        </w:tc>
      </w:tr>
      <w:tr w14:paraId="4C12BA6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033FC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7A36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26551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905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D677F60"/>
        </w:tc>
      </w:tr>
    </w:tbl>
    <w:p w14:paraId="116948C9">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776"/>
        <w:gridCol w:w="626"/>
        <w:gridCol w:w="626"/>
        <w:gridCol w:w="628"/>
        <w:gridCol w:w="626"/>
        <w:gridCol w:w="626"/>
        <w:gridCol w:w="696"/>
        <w:gridCol w:w="632"/>
        <w:gridCol w:w="618"/>
        <w:gridCol w:w="630"/>
      </w:tblGrid>
      <w:tr w14:paraId="39E7F718">
        <w:tblPrEx>
          <w:tblCellMar>
            <w:top w:w="0" w:type="dxa"/>
            <w:left w:w="108" w:type="dxa"/>
            <w:bottom w:w="0" w:type="dxa"/>
            <w:right w:w="108" w:type="dxa"/>
          </w:tblCellMar>
        </w:tblPrEx>
        <w:tc>
          <w:tcPr>
            <w:tcW w:w="8848" w:type="dxa"/>
            <w:gridSpan w:val="14"/>
            <w:vAlign w:val="center"/>
          </w:tcPr>
          <w:p w14:paraId="08F5FBE3">
            <w:pPr>
              <w:jc w:val="center"/>
            </w:pPr>
            <w:r>
              <w:rPr>
                <w:rFonts w:ascii="宋体" w:hAnsi="宋体" w:eastAsia="宋体"/>
                <w:sz w:val="24"/>
              </w:rPr>
              <w:t>项目支出绩效自评表</w:t>
            </w:r>
          </w:p>
        </w:tc>
      </w:tr>
      <w:tr w14:paraId="56D2271E">
        <w:tblPrEx>
          <w:tblCellMar>
            <w:top w:w="0" w:type="dxa"/>
            <w:left w:w="108" w:type="dxa"/>
            <w:bottom w:w="0" w:type="dxa"/>
            <w:right w:w="108" w:type="dxa"/>
          </w:tblCellMar>
        </w:tblPrEx>
        <w:tc>
          <w:tcPr>
            <w:tcW w:w="8848" w:type="dxa"/>
            <w:gridSpan w:val="14"/>
            <w:vAlign w:val="center"/>
          </w:tcPr>
          <w:p w14:paraId="475DD5B7">
            <w:pPr>
              <w:jc w:val="center"/>
            </w:pPr>
            <w:r>
              <w:rPr>
                <w:rFonts w:ascii="宋体" w:hAnsi="宋体" w:eastAsia="宋体"/>
                <w:sz w:val="24"/>
              </w:rPr>
              <w:t>(2024年度)</w:t>
            </w:r>
          </w:p>
        </w:tc>
      </w:tr>
      <w:tr w14:paraId="7DF5DDA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297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5E85F4">
            <w:pPr>
              <w:jc w:val="center"/>
            </w:pPr>
            <w:r>
              <w:rPr>
                <w:rFonts w:ascii="宋体" w:hAnsi="宋体" w:eastAsia="宋体"/>
                <w:sz w:val="16"/>
              </w:rPr>
              <w:t>水土保持补偿费、叶城宾馆租赁补偿费、退休人员医疗保险、办公费项目</w:t>
            </w:r>
          </w:p>
        </w:tc>
      </w:tr>
      <w:tr w14:paraId="7A6B40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0523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63CCE7">
            <w:pPr>
              <w:jc w:val="center"/>
            </w:pPr>
            <w:r>
              <w:rPr>
                <w:rFonts w:ascii="宋体" w:hAnsi="宋体" w:eastAsia="宋体"/>
                <w:sz w:val="16"/>
              </w:rPr>
              <w:t>叶城县供销合作社联合社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B83D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CCCD97F">
            <w:pPr>
              <w:jc w:val="center"/>
            </w:pPr>
            <w:r>
              <w:rPr>
                <w:rFonts w:ascii="宋体" w:hAnsi="宋体" w:eastAsia="宋体"/>
                <w:sz w:val="16"/>
              </w:rPr>
              <w:t>叶城县供销合作社联合社</w:t>
            </w:r>
          </w:p>
        </w:tc>
      </w:tr>
      <w:tr w14:paraId="7DE10F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DC8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672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01FC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8D83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C93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42A8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3ACF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3394">
            <w:pPr>
              <w:jc w:val="center"/>
            </w:pPr>
            <w:r>
              <w:rPr>
                <w:rFonts w:ascii="宋体" w:hAnsi="宋体" w:eastAsia="宋体"/>
                <w:sz w:val="16"/>
              </w:rPr>
              <w:t>得分</w:t>
            </w:r>
          </w:p>
        </w:tc>
      </w:tr>
      <w:tr w14:paraId="30268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48E2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90D8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82420">
            <w:pPr>
              <w:jc w:val="center"/>
            </w:pPr>
            <w:r>
              <w:rPr>
                <w:rFonts w:ascii="宋体" w:hAnsi="宋体" w:eastAsia="宋体"/>
                <w:sz w:val="16"/>
              </w:rPr>
              <w:t>44.49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3DF95">
            <w:pPr>
              <w:jc w:val="center"/>
            </w:pPr>
            <w:r>
              <w:rPr>
                <w:rFonts w:ascii="宋体" w:hAnsi="宋体" w:eastAsia="宋体"/>
                <w:sz w:val="16"/>
              </w:rPr>
              <w:t>44.49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72434A">
            <w:pPr>
              <w:jc w:val="center"/>
            </w:pPr>
            <w:r>
              <w:rPr>
                <w:rFonts w:ascii="宋体" w:hAnsi="宋体" w:eastAsia="宋体"/>
                <w:sz w:val="16"/>
              </w:rPr>
              <w:t>36.93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64BF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B5EAC">
            <w:pPr>
              <w:jc w:val="center"/>
            </w:pPr>
            <w:r>
              <w:rPr>
                <w:rFonts w:ascii="宋体" w:hAnsi="宋体" w:eastAsia="宋体"/>
                <w:sz w:val="16"/>
              </w:rPr>
              <w:t>83.01%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89EA">
            <w:pPr>
              <w:jc w:val="center"/>
            </w:pPr>
            <w:r>
              <w:rPr>
                <w:rFonts w:ascii="宋体" w:hAnsi="宋体" w:eastAsia="宋体"/>
                <w:sz w:val="16"/>
              </w:rPr>
              <w:t>5.75分</w:t>
            </w:r>
          </w:p>
        </w:tc>
      </w:tr>
      <w:tr w14:paraId="4A176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975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2C22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F08D6">
            <w:pPr>
              <w:jc w:val="center"/>
            </w:pPr>
            <w:r>
              <w:rPr>
                <w:rFonts w:ascii="宋体" w:hAnsi="宋体" w:eastAsia="宋体"/>
                <w:sz w:val="16"/>
              </w:rPr>
              <w:t>44.49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3E00B">
            <w:pPr>
              <w:jc w:val="center"/>
            </w:pPr>
            <w:r>
              <w:rPr>
                <w:rFonts w:ascii="宋体" w:hAnsi="宋体" w:eastAsia="宋体"/>
                <w:sz w:val="16"/>
              </w:rPr>
              <w:t>44.49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D510C">
            <w:pPr>
              <w:jc w:val="center"/>
            </w:pPr>
            <w:r>
              <w:rPr>
                <w:rFonts w:ascii="宋体" w:hAnsi="宋体" w:eastAsia="宋体"/>
                <w:sz w:val="16"/>
              </w:rPr>
              <w:t>36.93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EDE3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66E1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D16DD">
            <w:pPr>
              <w:jc w:val="center"/>
            </w:pPr>
            <w:r>
              <w:rPr>
                <w:rFonts w:ascii="宋体" w:hAnsi="宋体" w:eastAsia="宋体"/>
                <w:sz w:val="16"/>
              </w:rPr>
              <w:t>—</w:t>
            </w:r>
          </w:p>
        </w:tc>
      </w:tr>
      <w:tr w14:paraId="550EE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FF3BC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D900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7E5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807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E64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58D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6A9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07B7C">
            <w:pPr>
              <w:jc w:val="center"/>
            </w:pPr>
            <w:r>
              <w:rPr>
                <w:rFonts w:ascii="宋体" w:hAnsi="宋体" w:eastAsia="宋体"/>
                <w:sz w:val="16"/>
              </w:rPr>
              <w:t>—</w:t>
            </w:r>
          </w:p>
        </w:tc>
      </w:tr>
      <w:tr w14:paraId="5E8F87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3B33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68B4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DAFDA0">
            <w:pPr>
              <w:jc w:val="center"/>
            </w:pPr>
            <w:r>
              <w:rPr>
                <w:rFonts w:ascii="宋体" w:hAnsi="宋体" w:eastAsia="宋体"/>
                <w:sz w:val="16"/>
              </w:rPr>
              <w:t>实际完成情况</w:t>
            </w:r>
          </w:p>
        </w:tc>
      </w:tr>
      <w:tr w14:paraId="63339B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7F90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9C535F">
            <w:pPr>
              <w:jc w:val="both"/>
            </w:pPr>
            <w:r>
              <w:rPr>
                <w:rFonts w:ascii="宋体" w:hAnsi="宋体" w:eastAsia="宋体"/>
                <w:sz w:val="16"/>
              </w:rPr>
              <w:t>该项目下达资金44.49万元，主要用于缴纳2022年项目水土保持补偿费、2020年强制划扣叶城宾馆租赁补偿费、2022年退休人员医疗保险、2019年至2023年办公费等费用共计44.49万元，项目的实施有效保障各项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A837A0">
            <w:pPr>
              <w:jc w:val="both"/>
            </w:pPr>
            <w:r>
              <w:rPr>
                <w:rFonts w:hint="eastAsia" w:ascii="宋体" w:hAnsi="宋体"/>
                <w:sz w:val="16"/>
                <w:lang w:eastAsia="zh-CN"/>
              </w:rPr>
              <w:t>截至</w:t>
            </w:r>
            <w:r>
              <w:rPr>
                <w:rFonts w:ascii="宋体" w:hAnsi="宋体" w:eastAsia="宋体"/>
                <w:sz w:val="16"/>
              </w:rPr>
              <w:t>2024年12月31日，该项目总资金44.49万元，到位资金44.49万元，执行实际支出合计36.93万元，执行率83%。项目用于缴纳2022年项目水土保持补偿费、2020年强制划扣叶城宾馆租赁补偿费、2022年退休人员医疗保险、共计支付36.93万元，拨付历史年度基本支出每笔费用成本12.31万元。项目的实施有效保障各项工作正常开展。</w:t>
            </w:r>
          </w:p>
        </w:tc>
      </w:tr>
      <w:tr w14:paraId="056BA1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3922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D5F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279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90E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BC1E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1C4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D3F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CA4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0DAC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6C70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C96C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0F40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EC936">
            <w:pPr>
              <w:jc w:val="center"/>
            </w:pPr>
            <w:r>
              <w:rPr>
                <w:rFonts w:ascii="宋体" w:hAnsi="宋体" w:eastAsia="宋体"/>
                <w:sz w:val="16"/>
              </w:rPr>
              <w:t>偏差原因分析及改进措施</w:t>
            </w:r>
          </w:p>
        </w:tc>
      </w:tr>
      <w:tr w14:paraId="078D88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D74C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8E37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32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B1232">
            <w:pPr>
              <w:jc w:val="center"/>
            </w:pPr>
            <w:r>
              <w:rPr>
                <w:rFonts w:ascii="宋体" w:hAnsi="宋体" w:eastAsia="宋体"/>
                <w:sz w:val="16"/>
              </w:rPr>
              <w:t>拨付历史年度基本支出笔数（笔）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1FA92">
            <w:pPr>
              <w:jc w:val="center"/>
            </w:pPr>
            <w:r>
              <w:rPr>
                <w:rFonts w:ascii="宋体" w:hAnsi="宋体" w:eastAsia="宋体"/>
                <w:sz w:val="16"/>
              </w:rPr>
              <w:t>=4笔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40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263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146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7F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F9C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1A04A">
            <w:pPr>
              <w:jc w:val="center"/>
            </w:pPr>
            <w:r>
              <w:rPr>
                <w:rFonts w:ascii="宋体" w:hAnsi="宋体" w:eastAsia="宋体"/>
                <w:sz w:val="16"/>
              </w:rPr>
              <w:t>=3笔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35E6">
            <w:pPr>
              <w:jc w:val="center"/>
            </w:pPr>
            <w:r>
              <w:rPr>
                <w:rFonts w:ascii="宋体" w:hAnsi="宋体" w:eastAsia="宋体"/>
                <w:sz w:val="16"/>
              </w:rPr>
              <w:t>3.75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BA006">
            <w:pPr>
              <w:jc w:val="center"/>
            </w:pPr>
            <w:r>
              <w:rPr>
                <w:rFonts w:ascii="宋体" w:hAnsi="宋体" w:eastAsia="宋体"/>
                <w:sz w:val="16"/>
              </w:rPr>
              <w:t>资金拨付手续提交较晚，导致支付进度缓慢；加快资金支付进度</w:t>
            </w:r>
          </w:p>
        </w:tc>
      </w:tr>
      <w:tr w14:paraId="67DE1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78DB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6EB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37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18BE">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B6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B1E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089E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D3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94C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EA7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A9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CE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FC818">
            <w:pPr>
              <w:jc w:val="center"/>
            </w:pPr>
          </w:p>
        </w:tc>
      </w:tr>
      <w:tr w14:paraId="77D631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A00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5C664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6DD59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AB34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4C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AE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83F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F3C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FD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B98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47C6">
            <w:pPr>
              <w:jc w:val="center"/>
            </w:pPr>
            <w:r>
              <w:rPr>
                <w:rFonts w:ascii="宋体" w:hAnsi="宋体" w:eastAsia="宋体"/>
                <w:sz w:val="16"/>
              </w:rPr>
              <w:t>=83%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8BE81">
            <w:pPr>
              <w:jc w:val="center"/>
            </w:pPr>
            <w:r>
              <w:rPr>
                <w:rFonts w:ascii="宋体" w:hAnsi="宋体" w:eastAsia="宋体"/>
                <w:sz w:val="16"/>
              </w:rPr>
              <w:t>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54100">
            <w:pPr>
              <w:jc w:val="center"/>
            </w:pPr>
            <w:r>
              <w:rPr>
                <w:rFonts w:ascii="宋体" w:hAnsi="宋体" w:eastAsia="宋体"/>
                <w:sz w:val="16"/>
              </w:rPr>
              <w:t>资金支付及时率较低，资金拨付手续提交较晚，导致支付进度缓慢；加快资金支付进度</w:t>
            </w:r>
          </w:p>
        </w:tc>
      </w:tr>
      <w:tr w14:paraId="12CD12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3EE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5A2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9FD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9FC8F">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285FC">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22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F9E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57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64B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EA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A09A">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11E7A">
            <w:pPr>
              <w:jc w:val="center"/>
            </w:pPr>
            <w:r>
              <w:rPr>
                <w:rFonts w:ascii="宋体" w:hAnsi="宋体" w:eastAsia="宋体"/>
                <w:sz w:val="16"/>
              </w:rPr>
              <w:t>5.75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C9DA0">
            <w:pPr>
              <w:jc w:val="center"/>
            </w:pPr>
            <w:r>
              <w:rPr>
                <w:rFonts w:ascii="宋体" w:hAnsi="宋体" w:eastAsia="宋体"/>
                <w:sz w:val="16"/>
              </w:rPr>
              <w:t>资金拨付手续提交较晚，导致支付进度缓慢；加快资金支付进度</w:t>
            </w:r>
          </w:p>
        </w:tc>
      </w:tr>
      <w:tr w14:paraId="4B793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74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F266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3391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1B2F">
            <w:pPr>
              <w:jc w:val="center"/>
            </w:pPr>
            <w:r>
              <w:rPr>
                <w:rFonts w:ascii="宋体" w:hAnsi="宋体" w:eastAsia="宋体"/>
                <w:sz w:val="16"/>
              </w:rPr>
              <w:t>拨付历史年度基本支出每笔费用成本（万元/笔）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AF7A">
            <w:pPr>
              <w:jc w:val="center"/>
            </w:pPr>
            <w:r>
              <w:rPr>
                <w:rFonts w:ascii="宋体" w:hAnsi="宋体" w:eastAsia="宋体"/>
                <w:sz w:val="16"/>
              </w:rPr>
              <w:t>&lt;=11.12万元/笔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D16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DD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A1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285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9E79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56CE4">
            <w:pPr>
              <w:jc w:val="center"/>
            </w:pPr>
            <w:r>
              <w:rPr>
                <w:rFonts w:ascii="宋体" w:hAnsi="宋体" w:eastAsia="宋体"/>
                <w:sz w:val="16"/>
              </w:rPr>
              <w:t>=12.31万元/笔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4CC9">
            <w:pPr>
              <w:jc w:val="center"/>
            </w:pPr>
            <w:r>
              <w:rPr>
                <w:rFonts w:ascii="宋体" w:hAnsi="宋体" w:eastAsia="宋体"/>
                <w:sz w:val="16"/>
              </w:rPr>
              <w:t>18.04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B22D69">
            <w:pPr>
              <w:jc w:val="center"/>
            </w:pPr>
            <w:r>
              <w:rPr>
                <w:rFonts w:ascii="宋体" w:hAnsi="宋体" w:eastAsia="宋体"/>
                <w:sz w:val="16"/>
              </w:rPr>
              <w:t>资金拨付手续提交较晚，导致支付进度缓慢；加快资金支付进度</w:t>
            </w:r>
          </w:p>
        </w:tc>
      </w:tr>
      <w:tr w14:paraId="55E275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208D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3A23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ED7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6018A">
            <w:pPr>
              <w:jc w:val="center"/>
            </w:pPr>
            <w:r>
              <w:rPr>
                <w:rFonts w:ascii="宋体" w:hAnsi="宋体" w:eastAsia="宋体"/>
                <w:sz w:val="16"/>
              </w:rPr>
              <w:t>保障日常工作正常开展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EE9C5">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ED4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0EE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FC2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73FC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D9E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294E">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315B6">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BEE0A2">
            <w:pPr>
              <w:jc w:val="center"/>
            </w:pPr>
            <w:r>
              <w:rPr>
                <w:rFonts w:ascii="宋体" w:hAnsi="宋体" w:eastAsia="宋体"/>
                <w:sz w:val="16"/>
              </w:rPr>
              <w:t>部分资金未支完，导致剩余1笔资金未拨付；加快资金支付进度</w:t>
            </w:r>
          </w:p>
        </w:tc>
      </w:tr>
      <w:tr w14:paraId="2F3ED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B20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81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A740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1D00">
            <w:pPr>
              <w:jc w:val="center"/>
            </w:pPr>
            <w:r>
              <w:rPr>
                <w:rFonts w:ascii="宋体" w:hAnsi="宋体" w:eastAsia="宋体"/>
                <w:sz w:val="16"/>
              </w:rPr>
              <w:t>受益职工满意度（%）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A974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BF9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31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84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CEBA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55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01A2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B2D1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0A8D6">
            <w:pPr>
              <w:jc w:val="center"/>
            </w:pPr>
          </w:p>
        </w:tc>
      </w:tr>
      <w:tr w14:paraId="3ACA99A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9AC3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02B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9A5E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C426">
            <w:pPr>
              <w:jc w:val="center"/>
            </w:pPr>
            <w:r>
              <w:rPr>
                <w:rFonts w:ascii="宋体" w:hAnsi="宋体" w:eastAsia="宋体"/>
                <w:sz w:val="16"/>
              </w:rPr>
              <w:t>71.04分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0C67BC7"/>
        </w:tc>
      </w:tr>
    </w:tbl>
    <w:p w14:paraId="1315BE0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2BEAAEA7">
        <w:tblPrEx>
          <w:tblCellMar>
            <w:top w:w="0" w:type="dxa"/>
            <w:left w:w="108" w:type="dxa"/>
            <w:bottom w:w="0" w:type="dxa"/>
            <w:right w:w="108" w:type="dxa"/>
          </w:tblCellMar>
        </w:tblPrEx>
        <w:tc>
          <w:tcPr>
            <w:tcW w:w="8848" w:type="dxa"/>
            <w:gridSpan w:val="14"/>
            <w:vAlign w:val="center"/>
          </w:tcPr>
          <w:p w14:paraId="0090D389">
            <w:pPr>
              <w:jc w:val="center"/>
            </w:pPr>
            <w:r>
              <w:rPr>
                <w:rFonts w:ascii="宋体" w:hAnsi="宋体" w:eastAsia="宋体"/>
                <w:sz w:val="24"/>
              </w:rPr>
              <w:t>项目支出绩效自评表</w:t>
            </w:r>
          </w:p>
        </w:tc>
      </w:tr>
      <w:tr w14:paraId="7C6724D6">
        <w:tblPrEx>
          <w:tblCellMar>
            <w:top w:w="0" w:type="dxa"/>
            <w:left w:w="108" w:type="dxa"/>
            <w:bottom w:w="0" w:type="dxa"/>
            <w:right w:w="108" w:type="dxa"/>
          </w:tblCellMar>
        </w:tblPrEx>
        <w:tc>
          <w:tcPr>
            <w:tcW w:w="8848" w:type="dxa"/>
            <w:gridSpan w:val="14"/>
            <w:vAlign w:val="center"/>
          </w:tcPr>
          <w:p w14:paraId="0A6A4E7C">
            <w:pPr>
              <w:jc w:val="center"/>
            </w:pPr>
            <w:r>
              <w:rPr>
                <w:rFonts w:ascii="宋体" w:hAnsi="宋体" w:eastAsia="宋体"/>
                <w:sz w:val="24"/>
              </w:rPr>
              <w:t>(2024年度)</w:t>
            </w:r>
          </w:p>
        </w:tc>
      </w:tr>
      <w:tr w14:paraId="52103D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85A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A2A5D3">
            <w:pPr>
              <w:jc w:val="center"/>
            </w:pPr>
            <w:r>
              <w:rPr>
                <w:rFonts w:ascii="宋体" w:hAnsi="宋体" w:eastAsia="宋体"/>
                <w:sz w:val="16"/>
              </w:rPr>
              <w:t>叶城县供销社缴纳印花税资金项目</w:t>
            </w:r>
          </w:p>
        </w:tc>
      </w:tr>
      <w:tr w14:paraId="48F3DD5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233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05F6CB">
            <w:pPr>
              <w:jc w:val="center"/>
            </w:pPr>
            <w:r>
              <w:rPr>
                <w:rFonts w:ascii="宋体" w:hAnsi="宋体" w:eastAsia="宋体"/>
                <w:sz w:val="16"/>
              </w:rPr>
              <w:t>叶城县供销合作社联合社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51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44F47B">
            <w:pPr>
              <w:jc w:val="center"/>
            </w:pPr>
            <w:r>
              <w:rPr>
                <w:rFonts w:ascii="宋体" w:hAnsi="宋体" w:eastAsia="宋体"/>
                <w:sz w:val="16"/>
              </w:rPr>
              <w:t>叶城县供销合作社联合社</w:t>
            </w:r>
          </w:p>
        </w:tc>
      </w:tr>
      <w:tr w14:paraId="725467D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971A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5E0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AE6A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8CAF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219F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9364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C02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9A215">
            <w:pPr>
              <w:jc w:val="center"/>
            </w:pPr>
            <w:r>
              <w:rPr>
                <w:rFonts w:ascii="宋体" w:hAnsi="宋体" w:eastAsia="宋体"/>
                <w:sz w:val="16"/>
              </w:rPr>
              <w:t>得分</w:t>
            </w:r>
          </w:p>
        </w:tc>
      </w:tr>
      <w:tr w14:paraId="2E80D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4BC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7192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F3296">
            <w:pPr>
              <w:jc w:val="center"/>
            </w:pPr>
            <w:r>
              <w:rPr>
                <w:rFonts w:ascii="宋体" w:hAnsi="宋体" w:eastAsia="宋体"/>
                <w:sz w:val="16"/>
              </w:rPr>
              <w:t>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02F37">
            <w:pPr>
              <w:jc w:val="center"/>
            </w:pPr>
            <w:r>
              <w:rPr>
                <w:rFonts w:ascii="宋体" w:hAnsi="宋体" w:eastAsia="宋体"/>
                <w:sz w:val="16"/>
              </w:rPr>
              <w:t>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C445A4">
            <w:pPr>
              <w:jc w:val="center"/>
            </w:pPr>
            <w:r>
              <w:rPr>
                <w:rFonts w:ascii="宋体" w:hAnsi="宋体" w:eastAsia="宋体"/>
                <w:sz w:val="16"/>
              </w:rPr>
              <w:t>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B8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C38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5A14E">
            <w:pPr>
              <w:jc w:val="center"/>
            </w:pPr>
            <w:r>
              <w:rPr>
                <w:rFonts w:ascii="宋体" w:hAnsi="宋体" w:eastAsia="宋体"/>
                <w:sz w:val="16"/>
              </w:rPr>
              <w:t>10.00分</w:t>
            </w:r>
          </w:p>
        </w:tc>
      </w:tr>
      <w:tr w14:paraId="0D2F0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C397F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0837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45A54">
            <w:pPr>
              <w:jc w:val="center"/>
            </w:pPr>
            <w:r>
              <w:rPr>
                <w:rFonts w:ascii="宋体" w:hAnsi="宋体" w:eastAsia="宋体"/>
                <w:sz w:val="16"/>
              </w:rPr>
              <w:t>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A5525">
            <w:pPr>
              <w:jc w:val="center"/>
            </w:pPr>
            <w:r>
              <w:rPr>
                <w:rFonts w:ascii="宋体" w:hAnsi="宋体" w:eastAsia="宋体"/>
                <w:sz w:val="16"/>
              </w:rPr>
              <w:t>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5D201">
            <w:pPr>
              <w:jc w:val="center"/>
            </w:pPr>
            <w:r>
              <w:rPr>
                <w:rFonts w:ascii="宋体" w:hAnsi="宋体" w:eastAsia="宋体"/>
                <w:sz w:val="16"/>
              </w:rPr>
              <w:t>6.76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E8E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4249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0036">
            <w:pPr>
              <w:jc w:val="center"/>
            </w:pPr>
            <w:r>
              <w:rPr>
                <w:rFonts w:ascii="宋体" w:hAnsi="宋体" w:eastAsia="宋体"/>
                <w:sz w:val="16"/>
              </w:rPr>
              <w:t>—</w:t>
            </w:r>
          </w:p>
        </w:tc>
      </w:tr>
      <w:tr w14:paraId="4CAFD0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C92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E319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3195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740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2F5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CB3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BDB84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7CD99">
            <w:pPr>
              <w:jc w:val="center"/>
            </w:pPr>
            <w:r>
              <w:rPr>
                <w:rFonts w:ascii="宋体" w:hAnsi="宋体" w:eastAsia="宋体"/>
                <w:sz w:val="16"/>
              </w:rPr>
              <w:t>—</w:t>
            </w:r>
          </w:p>
        </w:tc>
      </w:tr>
      <w:tr w14:paraId="4429A0D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BB4F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93557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CF2EB9A">
            <w:pPr>
              <w:jc w:val="center"/>
            </w:pPr>
            <w:r>
              <w:rPr>
                <w:rFonts w:ascii="宋体" w:hAnsi="宋体" w:eastAsia="宋体"/>
                <w:sz w:val="16"/>
              </w:rPr>
              <w:t>实际完成情况</w:t>
            </w:r>
          </w:p>
        </w:tc>
      </w:tr>
      <w:tr w14:paraId="0DDD4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A508F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58334A">
            <w:pPr>
              <w:jc w:val="both"/>
            </w:pPr>
            <w:r>
              <w:rPr>
                <w:rFonts w:ascii="宋体" w:hAnsi="宋体" w:eastAsia="宋体"/>
                <w:sz w:val="16"/>
              </w:rPr>
              <w:t>该项目下达资金6.76万元，主要用于缴纳2020</w:t>
            </w:r>
            <w:r>
              <w:rPr>
                <w:rFonts w:hint="eastAsia" w:ascii="宋体" w:hAnsi="宋体"/>
                <w:sz w:val="16"/>
                <w:lang w:eastAsia="zh-CN"/>
              </w:rPr>
              <w:t>—</w:t>
            </w:r>
            <w:r>
              <w:rPr>
                <w:rFonts w:ascii="宋体" w:hAnsi="宋体" w:eastAsia="宋体"/>
                <w:sz w:val="16"/>
              </w:rPr>
              <w:t>2024年项目资金印花税，项目的实施有效保障各项工作正常开展。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39DA11">
            <w:pPr>
              <w:jc w:val="both"/>
            </w:pPr>
            <w:r>
              <w:rPr>
                <w:rFonts w:ascii="宋体" w:hAnsi="宋体" w:eastAsia="宋体"/>
                <w:sz w:val="16"/>
              </w:rPr>
              <w:t>截至自评节点，该项目总资金6.76万元，到位资金6.76万元，实际支出合计6.76万元，执行率100%。项目主要用于缴纳2020</w:t>
            </w:r>
            <w:r>
              <w:rPr>
                <w:rFonts w:hint="eastAsia" w:ascii="宋体" w:hAnsi="宋体"/>
                <w:sz w:val="16"/>
                <w:lang w:eastAsia="zh-CN"/>
              </w:rPr>
              <w:t>—</w:t>
            </w:r>
            <w:r>
              <w:rPr>
                <w:rFonts w:ascii="宋体" w:hAnsi="宋体" w:eastAsia="宋体"/>
                <w:sz w:val="16"/>
              </w:rPr>
              <w:t>2024年项目资金印花税。项目的实施有效保障各项工作正常开展。</w:t>
            </w:r>
          </w:p>
        </w:tc>
      </w:tr>
      <w:tr w14:paraId="1AB651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DD342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091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958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EA8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C73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7A09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5FFA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F7A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440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C1E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0D1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DB22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9CF92">
            <w:pPr>
              <w:jc w:val="center"/>
            </w:pPr>
            <w:r>
              <w:rPr>
                <w:rFonts w:ascii="宋体" w:hAnsi="宋体" w:eastAsia="宋体"/>
                <w:sz w:val="16"/>
              </w:rPr>
              <w:t>偏差原因分析及改进措施</w:t>
            </w:r>
          </w:p>
        </w:tc>
      </w:tr>
      <w:tr w14:paraId="0C18D5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6B00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C958BE">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8580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70AAC">
            <w:pPr>
              <w:jc w:val="center"/>
            </w:pPr>
            <w:r>
              <w:rPr>
                <w:rFonts w:ascii="宋体" w:hAnsi="宋体" w:eastAsia="宋体"/>
                <w:sz w:val="16"/>
              </w:rPr>
              <w:t>缴纳印花税（笔）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01ED">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3C3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CA8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CB86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41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79F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6F29">
            <w:pPr>
              <w:jc w:val="center"/>
            </w:pPr>
            <w:r>
              <w:rPr>
                <w:rFonts w:ascii="宋体" w:hAnsi="宋体" w:eastAsia="宋体"/>
                <w:sz w:val="16"/>
              </w:rPr>
              <w:t>=1笔</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F1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5A07C">
            <w:pPr>
              <w:jc w:val="center"/>
            </w:pPr>
          </w:p>
        </w:tc>
      </w:tr>
      <w:tr w14:paraId="3DF26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86B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37C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B98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4F062">
            <w:pPr>
              <w:jc w:val="center"/>
            </w:pPr>
            <w:r>
              <w:rPr>
                <w:rFonts w:ascii="宋体" w:hAnsi="宋体" w:eastAsia="宋体"/>
                <w:sz w:val="16"/>
              </w:rPr>
              <w:t>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8E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058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94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B5B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7ED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054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12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8C39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33292">
            <w:pPr>
              <w:jc w:val="center"/>
            </w:pPr>
          </w:p>
        </w:tc>
      </w:tr>
      <w:tr w14:paraId="26123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D70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C0B9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CA609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892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D6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148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3096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9E7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F6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A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859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DD5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35A296">
            <w:pPr>
              <w:jc w:val="center"/>
            </w:pPr>
          </w:p>
        </w:tc>
      </w:tr>
      <w:tr w14:paraId="619959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68D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176F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26F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6B5B">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9158">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045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45F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D8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0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184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47995">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00D9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75E4B">
            <w:pPr>
              <w:jc w:val="center"/>
            </w:pPr>
          </w:p>
        </w:tc>
      </w:tr>
      <w:tr w14:paraId="088552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93F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C6D1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4D8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DC90E">
            <w:pPr>
              <w:jc w:val="center"/>
            </w:pPr>
            <w:r>
              <w:rPr>
                <w:rFonts w:ascii="宋体" w:hAnsi="宋体" w:eastAsia="宋体"/>
                <w:sz w:val="16"/>
              </w:rPr>
              <w:t>缴纳印花税费用（万元）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B1E30">
            <w:pPr>
              <w:jc w:val="center"/>
            </w:pPr>
            <w:r>
              <w:rPr>
                <w:rFonts w:ascii="宋体" w:hAnsi="宋体" w:eastAsia="宋体"/>
                <w:sz w:val="16"/>
              </w:rPr>
              <w:t>&lt;=6.76万元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BE73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2E0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B4E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DAF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6D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33A8E">
            <w:pPr>
              <w:jc w:val="center"/>
            </w:pPr>
            <w:r>
              <w:rPr>
                <w:rFonts w:ascii="宋体" w:hAnsi="宋体" w:eastAsia="宋体"/>
                <w:sz w:val="16"/>
              </w:rPr>
              <w:t>=6.76万元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8CA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C01FB">
            <w:pPr>
              <w:jc w:val="center"/>
            </w:pPr>
          </w:p>
        </w:tc>
      </w:tr>
      <w:tr w14:paraId="7475C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2BE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2564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7B4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5CB1E">
            <w:pPr>
              <w:jc w:val="center"/>
            </w:pPr>
            <w:r>
              <w:rPr>
                <w:rFonts w:ascii="宋体" w:hAnsi="宋体" w:eastAsia="宋体"/>
                <w:sz w:val="16"/>
              </w:rPr>
              <w:t>保障各项工作正常开展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9613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2B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05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7F7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2037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086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80A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79DE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FA430">
            <w:pPr>
              <w:jc w:val="center"/>
            </w:pPr>
          </w:p>
        </w:tc>
      </w:tr>
      <w:tr w14:paraId="79ECD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0B65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346D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1B1C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E8F1D">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CDAF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636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FE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B1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3F8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A17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166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1D7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CA3A7">
            <w:pPr>
              <w:jc w:val="center"/>
            </w:pPr>
            <w:r>
              <w:rPr>
                <w:rFonts w:ascii="宋体" w:hAnsi="宋体" w:eastAsia="宋体"/>
                <w:sz w:val="16"/>
              </w:rPr>
              <w:t>受益企业对项目实施基本满意；做好年初预算。</w:t>
            </w:r>
          </w:p>
        </w:tc>
      </w:tr>
      <w:tr w14:paraId="51EF12B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950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79C4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A5F9E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1838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721C747"/>
        </w:tc>
      </w:tr>
    </w:tbl>
    <w:p w14:paraId="7C5AE1EA">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96"/>
        <w:gridCol w:w="626"/>
        <w:gridCol w:w="626"/>
        <w:gridCol w:w="628"/>
        <w:gridCol w:w="626"/>
        <w:gridCol w:w="626"/>
        <w:gridCol w:w="776"/>
        <w:gridCol w:w="631"/>
        <w:gridCol w:w="619"/>
        <w:gridCol w:w="630"/>
      </w:tblGrid>
      <w:tr w14:paraId="69958E09">
        <w:tblPrEx>
          <w:tblCellMar>
            <w:top w:w="0" w:type="dxa"/>
            <w:left w:w="108" w:type="dxa"/>
            <w:bottom w:w="0" w:type="dxa"/>
            <w:right w:w="108" w:type="dxa"/>
          </w:tblCellMar>
        </w:tblPrEx>
        <w:tc>
          <w:tcPr>
            <w:tcW w:w="8848" w:type="dxa"/>
            <w:gridSpan w:val="14"/>
            <w:vAlign w:val="center"/>
          </w:tcPr>
          <w:p w14:paraId="28A37901">
            <w:pPr>
              <w:jc w:val="center"/>
            </w:pPr>
            <w:r>
              <w:rPr>
                <w:rFonts w:ascii="宋体" w:hAnsi="宋体" w:eastAsia="宋体"/>
                <w:sz w:val="24"/>
              </w:rPr>
              <w:t>项目支出绩效自评表</w:t>
            </w:r>
          </w:p>
        </w:tc>
      </w:tr>
      <w:tr w14:paraId="4043E039">
        <w:tblPrEx>
          <w:tblCellMar>
            <w:top w:w="0" w:type="dxa"/>
            <w:left w:w="108" w:type="dxa"/>
            <w:bottom w:w="0" w:type="dxa"/>
            <w:right w:w="108" w:type="dxa"/>
          </w:tblCellMar>
        </w:tblPrEx>
        <w:tc>
          <w:tcPr>
            <w:tcW w:w="8848" w:type="dxa"/>
            <w:gridSpan w:val="14"/>
            <w:vAlign w:val="center"/>
          </w:tcPr>
          <w:p w14:paraId="560A9445">
            <w:pPr>
              <w:jc w:val="center"/>
            </w:pPr>
            <w:r>
              <w:rPr>
                <w:rFonts w:ascii="宋体" w:hAnsi="宋体" w:eastAsia="宋体"/>
                <w:sz w:val="24"/>
              </w:rPr>
              <w:t>(2024年度)</w:t>
            </w:r>
          </w:p>
        </w:tc>
      </w:tr>
      <w:tr w14:paraId="2BB391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AC0F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58C044">
            <w:pPr>
              <w:jc w:val="center"/>
            </w:pPr>
            <w:r>
              <w:rPr>
                <w:rFonts w:ascii="宋体" w:hAnsi="宋体" w:eastAsia="宋体"/>
                <w:sz w:val="16"/>
              </w:rPr>
              <w:t>叶城县煤炭储备交易基地建设项目</w:t>
            </w:r>
          </w:p>
        </w:tc>
      </w:tr>
      <w:tr w14:paraId="18671A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5EEC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1276B">
            <w:pPr>
              <w:jc w:val="center"/>
            </w:pPr>
            <w:r>
              <w:rPr>
                <w:rFonts w:ascii="宋体" w:hAnsi="宋体" w:eastAsia="宋体"/>
                <w:sz w:val="16"/>
              </w:rPr>
              <w:t>叶城县供销合作社联合社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68AF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6F56E4">
            <w:pPr>
              <w:jc w:val="center"/>
            </w:pPr>
            <w:r>
              <w:rPr>
                <w:rFonts w:ascii="宋体" w:hAnsi="宋体" w:eastAsia="宋体"/>
                <w:sz w:val="16"/>
              </w:rPr>
              <w:t>叶城县供销合作社联合社</w:t>
            </w:r>
          </w:p>
        </w:tc>
      </w:tr>
      <w:tr w14:paraId="0AE95F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62D0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88D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B4B0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F57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EABA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285B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51B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C4B3">
            <w:pPr>
              <w:jc w:val="center"/>
            </w:pPr>
            <w:r>
              <w:rPr>
                <w:rFonts w:ascii="宋体" w:hAnsi="宋体" w:eastAsia="宋体"/>
                <w:sz w:val="16"/>
              </w:rPr>
              <w:t>得分</w:t>
            </w:r>
          </w:p>
        </w:tc>
      </w:tr>
      <w:tr w14:paraId="25421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C09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A82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AE85F">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0DD61">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263A8">
            <w:pPr>
              <w:jc w:val="center"/>
            </w:pPr>
            <w:r>
              <w:rPr>
                <w:rFonts w:ascii="宋体" w:hAnsi="宋体" w:eastAsia="宋体"/>
                <w:sz w:val="16"/>
              </w:rPr>
              <w:t>211.27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21042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1C06B">
            <w:pPr>
              <w:jc w:val="center"/>
            </w:pPr>
            <w:r>
              <w:rPr>
                <w:rFonts w:ascii="宋体" w:hAnsi="宋体" w:eastAsia="宋体"/>
                <w:sz w:val="16"/>
              </w:rPr>
              <w:t>46.95%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27393">
            <w:pPr>
              <w:jc w:val="center"/>
            </w:pPr>
            <w:r>
              <w:rPr>
                <w:rFonts w:ascii="宋体" w:hAnsi="宋体" w:eastAsia="宋体"/>
                <w:sz w:val="16"/>
              </w:rPr>
              <w:t>0.00分</w:t>
            </w:r>
          </w:p>
        </w:tc>
      </w:tr>
      <w:tr w14:paraId="1878DF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6B9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3C1A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73DEF">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4A1B2">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4CDD3E">
            <w:pPr>
              <w:jc w:val="center"/>
            </w:pPr>
            <w:r>
              <w:rPr>
                <w:rFonts w:ascii="宋体" w:hAnsi="宋体" w:eastAsia="宋体"/>
                <w:sz w:val="16"/>
              </w:rPr>
              <w:t>211.27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BBE4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F8C71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4A42">
            <w:pPr>
              <w:jc w:val="center"/>
            </w:pPr>
            <w:r>
              <w:rPr>
                <w:rFonts w:ascii="宋体" w:hAnsi="宋体" w:eastAsia="宋体"/>
                <w:sz w:val="16"/>
              </w:rPr>
              <w:t>—</w:t>
            </w:r>
          </w:p>
        </w:tc>
      </w:tr>
      <w:tr w14:paraId="353754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06F8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9E3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6C1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601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5D2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3A8E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5249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B0C50">
            <w:pPr>
              <w:jc w:val="center"/>
            </w:pPr>
            <w:r>
              <w:rPr>
                <w:rFonts w:ascii="宋体" w:hAnsi="宋体" w:eastAsia="宋体"/>
                <w:sz w:val="16"/>
              </w:rPr>
              <w:t>—</w:t>
            </w:r>
          </w:p>
        </w:tc>
      </w:tr>
      <w:tr w14:paraId="69304C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4097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076F4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A402BF">
            <w:pPr>
              <w:jc w:val="center"/>
            </w:pPr>
            <w:r>
              <w:rPr>
                <w:rFonts w:ascii="宋体" w:hAnsi="宋体" w:eastAsia="宋体"/>
                <w:sz w:val="16"/>
              </w:rPr>
              <w:t>实际完成情况</w:t>
            </w:r>
          </w:p>
        </w:tc>
      </w:tr>
      <w:tr w14:paraId="575CD3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11117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F1E5A1">
            <w:pPr>
              <w:jc w:val="both"/>
            </w:pPr>
            <w:r>
              <w:rPr>
                <w:rFonts w:ascii="宋体" w:hAnsi="宋体" w:eastAsia="宋体"/>
                <w:sz w:val="16"/>
              </w:rPr>
              <w:t>该项目预算资金450万元，主要用于新建一座煤炭储备交易基地一座，项目的实施有效保障高原山区及阿里地区用煤需求，保障居民冬季取暖等用煤需求，提高居民生活质量和满意度。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FC2D03">
            <w:pPr>
              <w:jc w:val="both"/>
            </w:pPr>
            <w:r>
              <w:rPr>
                <w:rFonts w:hint="eastAsia" w:ascii="宋体" w:hAnsi="宋体"/>
                <w:sz w:val="16"/>
                <w:lang w:eastAsia="zh-CN"/>
              </w:rPr>
              <w:t>截至</w:t>
            </w:r>
            <w:r>
              <w:rPr>
                <w:rFonts w:ascii="宋体" w:hAnsi="宋体" w:eastAsia="宋体"/>
                <w:sz w:val="16"/>
              </w:rPr>
              <w:t>自评节点，该项目总资金450万元，到位资金450万元，实际执行资金211.27万元，执行率47%。主要用于新建一座煤炭储备交易基地一座，项目的实施有效保障高原山区及阿里地区用煤需求，保障居民冬季取暖等用煤需求，提高居民生活质量和满意度。不断提高乡村农民就业10人。</w:t>
            </w:r>
          </w:p>
        </w:tc>
      </w:tr>
      <w:tr w14:paraId="7E79A3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265A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0740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0B5B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066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9F51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0E0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F72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66E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544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CAE8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86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F81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AC230C">
            <w:pPr>
              <w:jc w:val="center"/>
            </w:pPr>
            <w:r>
              <w:rPr>
                <w:rFonts w:ascii="宋体" w:hAnsi="宋体" w:eastAsia="宋体"/>
                <w:sz w:val="16"/>
              </w:rPr>
              <w:t>偏差原因分析及改进措施</w:t>
            </w:r>
          </w:p>
        </w:tc>
      </w:tr>
      <w:tr w14:paraId="128522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C575A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A260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CF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251C7">
            <w:pPr>
              <w:jc w:val="center"/>
            </w:pPr>
            <w:r>
              <w:rPr>
                <w:rFonts w:ascii="宋体" w:hAnsi="宋体" w:eastAsia="宋体"/>
                <w:sz w:val="16"/>
              </w:rPr>
              <w:t>新建一座煤炭储备交易基地</w:t>
            </w:r>
            <w:bookmarkStart w:id="0" w:name="_GoBack"/>
            <w:r>
              <w:rPr>
                <w:rFonts w:ascii="宋体" w:hAnsi="宋体" w:eastAsia="宋体"/>
                <w:sz w:val="16"/>
              </w:rPr>
              <w:t>（</w:t>
            </w:r>
            <w:bookmarkEnd w:id="0"/>
            <w:r>
              <w:rPr>
                <w:rFonts w:ascii="宋体" w:hAnsi="宋体" w:eastAsia="宋体"/>
                <w:sz w:val="16"/>
              </w:rPr>
              <w:t>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B60F5">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0DE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4A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975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2C1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22E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2BB0D">
            <w:pPr>
              <w:jc w:val="center"/>
            </w:pPr>
            <w:r>
              <w:rPr>
                <w:rFonts w:ascii="宋体" w:hAnsi="宋体" w:eastAsia="宋体"/>
                <w:sz w:val="16"/>
              </w:rPr>
              <w:t>=1座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B86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10A22">
            <w:pPr>
              <w:jc w:val="center"/>
            </w:pPr>
          </w:p>
        </w:tc>
      </w:tr>
      <w:tr w14:paraId="01933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ABE9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DDB4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B7AB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1E2B2">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07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E07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396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679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39F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F5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9C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5B80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9E2A0">
            <w:pPr>
              <w:jc w:val="center"/>
            </w:pPr>
          </w:p>
        </w:tc>
      </w:tr>
      <w:tr w14:paraId="68EB2C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9A1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A17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D017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47099">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A2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56B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F6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24C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E1B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2D3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3B6F8">
            <w:pPr>
              <w:jc w:val="center"/>
            </w:pPr>
            <w:r>
              <w:rPr>
                <w:rFonts w:ascii="宋体" w:hAnsi="宋体" w:eastAsia="宋体"/>
                <w:sz w:val="16"/>
              </w:rPr>
              <w:t>=47%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FC29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06F7C">
            <w:pPr>
              <w:jc w:val="center"/>
            </w:pPr>
            <w:r>
              <w:rPr>
                <w:rFonts w:ascii="宋体" w:hAnsi="宋体" w:eastAsia="宋体"/>
                <w:sz w:val="16"/>
              </w:rPr>
              <w:t>煤炭储备交易基地成本支付211.27万元，项目正在实施中；剩余资金等完工再支付；</w:t>
            </w:r>
            <w:r>
              <w:rPr>
                <w:rFonts w:hint="eastAsia" w:ascii="宋体" w:hAnsi="宋体"/>
                <w:sz w:val="16"/>
                <w:lang w:eastAsia="zh-CN"/>
              </w:rPr>
              <w:t>加快</w:t>
            </w:r>
            <w:r>
              <w:rPr>
                <w:rFonts w:ascii="宋体" w:hAnsi="宋体" w:eastAsia="宋体"/>
                <w:sz w:val="16"/>
              </w:rPr>
              <w:t>项目进度</w:t>
            </w:r>
          </w:p>
        </w:tc>
      </w:tr>
      <w:tr w14:paraId="5C97E7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5CC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9B61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DC8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E20C1">
            <w:pPr>
              <w:jc w:val="center"/>
            </w:pPr>
            <w:r>
              <w:rPr>
                <w:rFonts w:ascii="宋体" w:hAnsi="宋体" w:eastAsia="宋体"/>
                <w:sz w:val="16"/>
              </w:rPr>
              <w:t>项目完工时间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DA149">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CC6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225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7D5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ACC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98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2882F">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08BC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EFDA2">
            <w:pPr>
              <w:jc w:val="center"/>
            </w:pPr>
            <w:r>
              <w:rPr>
                <w:rFonts w:ascii="宋体" w:hAnsi="宋体" w:eastAsia="宋体"/>
                <w:sz w:val="16"/>
              </w:rPr>
              <w:t>项目正实施中，未完工；预计2025年完成；改进措施：督促项目进度。</w:t>
            </w:r>
          </w:p>
        </w:tc>
      </w:tr>
      <w:tr w14:paraId="20576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80DB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62AD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127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7BD0">
            <w:pPr>
              <w:jc w:val="center"/>
            </w:pPr>
            <w:r>
              <w:rPr>
                <w:rFonts w:ascii="宋体" w:hAnsi="宋体" w:eastAsia="宋体"/>
                <w:sz w:val="16"/>
              </w:rPr>
              <w:t>煤炭储备交易基地成本（万元）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DE656">
            <w:pPr>
              <w:jc w:val="center"/>
            </w:pPr>
            <w:r>
              <w:rPr>
                <w:rFonts w:ascii="宋体" w:hAnsi="宋体" w:eastAsia="宋体"/>
                <w:sz w:val="16"/>
              </w:rPr>
              <w:t>&lt;=450万元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F17D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4C6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42C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4A9D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55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8C323">
            <w:pPr>
              <w:jc w:val="center"/>
            </w:pPr>
            <w:r>
              <w:rPr>
                <w:rFonts w:ascii="宋体" w:hAnsi="宋体" w:eastAsia="宋体"/>
                <w:sz w:val="16"/>
              </w:rPr>
              <w:t>=211.27万元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F86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A158D">
            <w:pPr>
              <w:jc w:val="center"/>
            </w:pPr>
            <w:r>
              <w:rPr>
                <w:rFonts w:ascii="宋体" w:hAnsi="宋体" w:eastAsia="宋体"/>
                <w:sz w:val="16"/>
              </w:rPr>
              <w:t>煤炭储备交易基地成本支付211.27万元，项目正在实施中；剩余资金等完工再支付；</w:t>
            </w:r>
            <w:r>
              <w:rPr>
                <w:rFonts w:hint="eastAsia" w:ascii="宋体" w:hAnsi="宋体"/>
                <w:sz w:val="16"/>
                <w:lang w:eastAsia="zh-CN"/>
              </w:rPr>
              <w:t>加快</w:t>
            </w:r>
            <w:r>
              <w:rPr>
                <w:rFonts w:ascii="宋体" w:hAnsi="宋体" w:eastAsia="宋体"/>
                <w:sz w:val="16"/>
              </w:rPr>
              <w:t>项目进度</w:t>
            </w:r>
          </w:p>
        </w:tc>
      </w:tr>
      <w:tr w14:paraId="410DA8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E44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C0F1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7B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77C68">
            <w:pPr>
              <w:jc w:val="center"/>
            </w:pPr>
            <w:r>
              <w:rPr>
                <w:rFonts w:ascii="宋体" w:hAnsi="宋体" w:eastAsia="宋体"/>
                <w:sz w:val="16"/>
              </w:rPr>
              <w:t>不断提高乡村农民就业（人）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F82FB">
            <w:pPr>
              <w:jc w:val="center"/>
            </w:pPr>
            <w:r>
              <w:rPr>
                <w:rFonts w:ascii="宋体" w:hAnsi="宋体" w:eastAsia="宋体"/>
                <w:sz w:val="16"/>
              </w:rPr>
              <w:t>&gt;=20人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BD0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11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F1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D9D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6D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E2DA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C920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41774">
            <w:pPr>
              <w:jc w:val="center"/>
            </w:pPr>
            <w:r>
              <w:rPr>
                <w:rFonts w:ascii="宋体" w:hAnsi="宋体" w:eastAsia="宋体"/>
                <w:sz w:val="16"/>
              </w:rPr>
              <w:t>项目正在实施中，目前还未完工，未达到预期效益；加强项目管理制度</w:t>
            </w:r>
          </w:p>
        </w:tc>
      </w:tr>
      <w:tr w14:paraId="16C5A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2AE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22F6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3D1D">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48DB1">
            <w:pPr>
              <w:jc w:val="center"/>
            </w:pPr>
            <w:r>
              <w:rPr>
                <w:rFonts w:ascii="宋体" w:hAnsi="宋体" w:eastAsia="宋体"/>
                <w:sz w:val="16"/>
              </w:rPr>
              <w:t>提高县煤炭交易基地存储能力（吨）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80F3C">
            <w:pPr>
              <w:jc w:val="center"/>
            </w:pPr>
            <w:r>
              <w:rPr>
                <w:rFonts w:ascii="宋体" w:hAnsi="宋体" w:eastAsia="宋体"/>
                <w:sz w:val="16"/>
              </w:rPr>
              <w:t>&gt;=1000吨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7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D7C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EF4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26E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A78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8A16">
            <w:pPr>
              <w:jc w:val="center"/>
            </w:pPr>
            <w:r>
              <w:rPr>
                <w:rFonts w:ascii="宋体" w:hAnsi="宋体" w:eastAsia="宋体"/>
                <w:sz w:val="16"/>
              </w:rPr>
              <w:t>=1000吨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24A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4D1ED">
            <w:pPr>
              <w:jc w:val="center"/>
            </w:pPr>
            <w:r>
              <w:rPr>
                <w:rFonts w:ascii="宋体" w:hAnsi="宋体" w:eastAsia="宋体"/>
                <w:sz w:val="16"/>
              </w:rPr>
              <w:t>此项目还未完工，预计2025年完工，未达到储存能力；加强项目管理制度</w:t>
            </w:r>
          </w:p>
        </w:tc>
      </w:tr>
      <w:tr w14:paraId="136813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895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9E5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73FF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3320">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8B2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C94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504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55A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75C5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A8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C4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E1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3FD027">
            <w:pPr>
              <w:jc w:val="center"/>
            </w:pPr>
            <w:r>
              <w:rPr>
                <w:rFonts w:ascii="宋体" w:hAnsi="宋体" w:eastAsia="宋体"/>
                <w:sz w:val="16"/>
              </w:rPr>
              <w:t>受益群众对项目实施基本满意；做好年初预算。</w:t>
            </w:r>
          </w:p>
        </w:tc>
      </w:tr>
      <w:tr w14:paraId="0499DF0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1816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409A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3A4A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4A5CC">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FDE8BE2"/>
        </w:tc>
      </w:tr>
    </w:tbl>
    <w:p w14:paraId="3F6CD008">
      <w:r>
        <w:br w:type="page"/>
      </w:r>
    </w:p>
    <w:p w14:paraId="2EA27919">
      <w:pPr>
        <w:spacing w:line="640" w:lineRule="exact"/>
        <w:ind w:firstLine="640"/>
        <w:jc w:val="both"/>
        <w:outlineLvl w:val="2"/>
      </w:pPr>
      <w:r>
        <w:rPr>
          <w:rFonts w:ascii="黑体" w:hAnsi="黑体" w:eastAsia="黑体"/>
          <w:sz w:val="32"/>
        </w:rPr>
        <w:t>十二、其他需说明的事项</w:t>
      </w:r>
    </w:p>
    <w:p w14:paraId="699DD4A9">
      <w:pPr>
        <w:spacing w:line="580" w:lineRule="exact"/>
        <w:ind w:firstLine="640"/>
        <w:jc w:val="both"/>
      </w:pPr>
      <w:r>
        <w:rPr>
          <w:rFonts w:ascii="仿宋_GB2312" w:hAnsi="仿宋_GB2312" w:eastAsia="仿宋_GB2312"/>
          <w:b w:val="0"/>
          <w:sz w:val="32"/>
        </w:rPr>
        <w:t>本单位无其他需说明的事项。</w:t>
      </w:r>
    </w:p>
    <w:p w14:paraId="3E9562DF">
      <w:r>
        <w:br w:type="page"/>
      </w:r>
    </w:p>
    <w:p w14:paraId="34E6AF23">
      <w:pPr>
        <w:spacing w:line="240" w:lineRule="auto"/>
        <w:jc w:val="center"/>
        <w:outlineLvl w:val="1"/>
      </w:pPr>
      <w:r>
        <w:rPr>
          <w:rFonts w:ascii="黑体" w:hAnsi="黑体" w:eastAsia="黑体"/>
          <w:sz w:val="32"/>
        </w:rPr>
        <w:t>第三部分 专业名词解释</w:t>
      </w:r>
    </w:p>
    <w:p w14:paraId="523134C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EED12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5042A29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99B418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D5CB84F">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CAE0D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B646B0E">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982F91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FF2DB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754DD9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EA2360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158D82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6C8B7B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7009F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FC91AB0">
      <w:r>
        <w:br w:type="page"/>
      </w:r>
    </w:p>
    <w:p w14:paraId="310EFCA6">
      <w:pPr>
        <w:spacing w:line="240" w:lineRule="auto"/>
        <w:jc w:val="center"/>
        <w:outlineLvl w:val="1"/>
      </w:pPr>
      <w:r>
        <w:rPr>
          <w:rFonts w:ascii="黑体" w:hAnsi="黑体" w:eastAsia="黑体"/>
          <w:sz w:val="32"/>
        </w:rPr>
        <w:t>第四部分 部门决算报表（见附表）</w:t>
      </w:r>
    </w:p>
    <w:p w14:paraId="7FEC1A64">
      <w:pPr>
        <w:spacing w:line="240" w:lineRule="auto"/>
        <w:ind w:firstLine="640"/>
        <w:jc w:val="both"/>
      </w:pPr>
      <w:r>
        <w:rPr>
          <w:rFonts w:ascii="仿宋_GB2312" w:hAnsi="仿宋_GB2312" w:eastAsia="仿宋_GB2312"/>
          <w:b w:val="0"/>
          <w:sz w:val="32"/>
        </w:rPr>
        <w:t>一、《收入支出决算总表》</w:t>
      </w:r>
    </w:p>
    <w:p w14:paraId="18C20AA6">
      <w:pPr>
        <w:spacing w:line="240" w:lineRule="auto"/>
        <w:ind w:firstLine="640"/>
        <w:jc w:val="both"/>
      </w:pPr>
      <w:r>
        <w:rPr>
          <w:rFonts w:ascii="仿宋_GB2312" w:hAnsi="仿宋_GB2312" w:eastAsia="仿宋_GB2312"/>
          <w:b w:val="0"/>
          <w:sz w:val="32"/>
        </w:rPr>
        <w:t>二、《收入决算表》</w:t>
      </w:r>
    </w:p>
    <w:p w14:paraId="7F9DEAB3">
      <w:pPr>
        <w:spacing w:line="240" w:lineRule="auto"/>
        <w:ind w:firstLine="640"/>
        <w:jc w:val="both"/>
      </w:pPr>
      <w:r>
        <w:rPr>
          <w:rFonts w:ascii="仿宋_GB2312" w:hAnsi="仿宋_GB2312" w:eastAsia="仿宋_GB2312"/>
          <w:b w:val="0"/>
          <w:sz w:val="32"/>
        </w:rPr>
        <w:t>三、《支出决算表》</w:t>
      </w:r>
    </w:p>
    <w:p w14:paraId="4FBA664B">
      <w:pPr>
        <w:spacing w:line="240" w:lineRule="auto"/>
        <w:ind w:firstLine="640"/>
        <w:jc w:val="both"/>
      </w:pPr>
      <w:r>
        <w:rPr>
          <w:rFonts w:ascii="仿宋_GB2312" w:hAnsi="仿宋_GB2312" w:eastAsia="仿宋_GB2312"/>
          <w:b w:val="0"/>
          <w:sz w:val="32"/>
        </w:rPr>
        <w:t>四、《财政拨款收入支出决算总表》</w:t>
      </w:r>
    </w:p>
    <w:p w14:paraId="30916A86">
      <w:pPr>
        <w:spacing w:line="240" w:lineRule="auto"/>
        <w:ind w:firstLine="640"/>
        <w:jc w:val="both"/>
      </w:pPr>
      <w:r>
        <w:rPr>
          <w:rFonts w:ascii="仿宋_GB2312" w:hAnsi="仿宋_GB2312" w:eastAsia="仿宋_GB2312"/>
          <w:b w:val="0"/>
          <w:sz w:val="32"/>
        </w:rPr>
        <w:t>五、《一般公共预算财政拨款支出决算表》</w:t>
      </w:r>
    </w:p>
    <w:p w14:paraId="4B4F7DAD">
      <w:pPr>
        <w:spacing w:line="240" w:lineRule="auto"/>
        <w:ind w:firstLine="640"/>
        <w:jc w:val="both"/>
      </w:pPr>
      <w:r>
        <w:rPr>
          <w:rFonts w:ascii="仿宋_GB2312" w:hAnsi="仿宋_GB2312" w:eastAsia="仿宋_GB2312"/>
          <w:b w:val="0"/>
          <w:sz w:val="32"/>
        </w:rPr>
        <w:t>六、《一般公共预算财政拨款基本支出决算表》</w:t>
      </w:r>
    </w:p>
    <w:p w14:paraId="0EBDDA61">
      <w:pPr>
        <w:spacing w:line="240" w:lineRule="auto"/>
        <w:ind w:firstLine="640"/>
        <w:jc w:val="both"/>
      </w:pPr>
      <w:r>
        <w:rPr>
          <w:rFonts w:ascii="仿宋_GB2312" w:hAnsi="仿宋_GB2312" w:eastAsia="仿宋_GB2312"/>
          <w:b w:val="0"/>
          <w:sz w:val="32"/>
        </w:rPr>
        <w:t>七、《政府性基金预算财政拨款收入支出决算表》</w:t>
      </w:r>
    </w:p>
    <w:p w14:paraId="1E1349CE">
      <w:pPr>
        <w:spacing w:line="240" w:lineRule="auto"/>
        <w:ind w:firstLine="640"/>
        <w:jc w:val="both"/>
      </w:pPr>
      <w:r>
        <w:rPr>
          <w:rFonts w:ascii="仿宋_GB2312" w:hAnsi="仿宋_GB2312" w:eastAsia="仿宋_GB2312"/>
          <w:b w:val="0"/>
          <w:sz w:val="32"/>
        </w:rPr>
        <w:t>八、《国有资本经营预算财政拨款收入支出决算表》</w:t>
      </w:r>
    </w:p>
    <w:p w14:paraId="33692FE3">
      <w:pPr>
        <w:spacing w:line="240" w:lineRule="auto"/>
        <w:ind w:firstLine="640"/>
        <w:jc w:val="both"/>
      </w:pPr>
      <w:r>
        <w:rPr>
          <w:rFonts w:ascii="仿宋_GB2312" w:hAnsi="仿宋_GB2312" w:eastAsia="仿宋_GB2312"/>
          <w:b w:val="0"/>
          <w:sz w:val="32"/>
        </w:rPr>
        <w:t>九、《财政拨款“三公”经费支出决算表》</w:t>
      </w:r>
    </w:p>
    <w:p w14:paraId="1E31D6C4">
      <w:pPr>
        <w:spacing w:line="240" w:lineRule="auto"/>
        <w:ind w:firstLine="640"/>
        <w:jc w:val="both"/>
      </w:pPr>
    </w:p>
    <w:p w14:paraId="3B33F491">
      <w:pPr>
        <w:spacing w:line="240" w:lineRule="auto"/>
        <w:ind w:firstLine="640"/>
        <w:jc w:val="both"/>
      </w:pPr>
    </w:p>
    <w:p w14:paraId="31A9844C">
      <w:pPr>
        <w:spacing w:line="240" w:lineRule="auto"/>
        <w:ind w:firstLine="640"/>
        <w:jc w:val="both"/>
      </w:pPr>
    </w:p>
    <w:p w14:paraId="73CD3B6A">
      <w:pPr>
        <w:spacing w:line="240" w:lineRule="auto"/>
        <w:ind w:firstLine="640"/>
        <w:jc w:val="both"/>
      </w:pPr>
    </w:p>
    <w:p w14:paraId="61751CB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6ECA45-9633-42F0-AA58-5BA1D991352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AB7B3A2-9E67-468C-B1D1-9C78108CB751}"/>
  </w:font>
  <w:font w:name="仿宋_GB2312">
    <w:panose1 w:val="02010609030101010101"/>
    <w:charset w:val="86"/>
    <w:family w:val="modern"/>
    <w:pitch w:val="default"/>
    <w:sig w:usb0="00000001" w:usb1="080E0000" w:usb2="00000000" w:usb3="00000000" w:csb0="00040000" w:csb1="00000000"/>
    <w:embedRegular r:id="rId3" w:fontKey="{1360EECA-9F61-4C6F-9305-0540347D93C5}"/>
  </w:font>
  <w:font w:name="楷体_GB2312">
    <w:panose1 w:val="02010609030101010101"/>
    <w:charset w:val="86"/>
    <w:family w:val="auto"/>
    <w:pitch w:val="default"/>
    <w:sig w:usb0="00000001" w:usb1="080E0000" w:usb2="00000000" w:usb3="00000000" w:csb0="00040000" w:csb1="00000000"/>
    <w:embedRegular r:id="rId4" w:fontKey="{3549599F-FBAC-4E42-95A1-E8ED31B221D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4"/>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DF90BED"/>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AB749F"/>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6044</Words>
  <Characters>7028</Characters>
  <Lines>0</Lines>
  <Paragraphs>0</Paragraphs>
  <TotalTime>6</TotalTime>
  <ScaleCrop>false</ScaleCrop>
  <LinksUpToDate>false</LinksUpToDate>
  <CharactersWithSpaces>7036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2025-09-29T09:20:59Z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eyJoZGlkIjoiYjM4NWYyMWE2NWU1OGNiMmIxMmZkYzA5MWEwNzJlZmIiLCJ1c2VySWQiOiI0MzE2NzY3NzkifQ==</vt:lpwstr>
  </property>
</Properties>
</file>