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sz w:val="44"/>
          <w:szCs w:val="44"/>
        </w:rPr>
      </w:pPr>
      <w:r>
        <w:rPr>
          <w:rFonts w:ascii="仿宋_GB2312" w:eastAsia="仿宋_GB2312" w:cs="仿宋_GB2312"/>
          <w:sz w:val="44"/>
          <w:szCs w:val="44"/>
        </w:rPr>
        <w:t>2015</w:t>
      </w:r>
      <w:r>
        <w:rPr>
          <w:rFonts w:hint="eastAsia" w:ascii="仿宋_GB2312" w:eastAsia="仿宋_GB2312" w:cs="仿宋_GB2312"/>
          <w:sz w:val="44"/>
          <w:szCs w:val="44"/>
        </w:rPr>
        <w:t>年叶城县铁提乡人民政府部门决算</w:t>
      </w:r>
    </w:p>
    <w:p>
      <w:pPr>
        <w:spacing w:line="560" w:lineRule="exact"/>
        <w:jc w:val="center"/>
        <w:rPr>
          <w:rFonts w:ascii="仿宋_GB2312" w:eastAsia="仿宋_GB2312"/>
          <w:b/>
          <w:bCs/>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第一部分单位概述</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铁提乡单位性质为行政单位，全额拨款，执行会计制度为行政会计制度。独立编制机构</w:t>
      </w:r>
      <w:r>
        <w:rPr>
          <w:rFonts w:ascii="仿宋_GB2312" w:eastAsia="仿宋_GB2312" w:cs="仿宋_GB2312"/>
          <w:sz w:val="32"/>
          <w:szCs w:val="32"/>
        </w:rPr>
        <w:t>3</w:t>
      </w:r>
      <w:r>
        <w:rPr>
          <w:rFonts w:hint="eastAsia" w:ascii="仿宋_GB2312" w:eastAsia="仿宋_GB2312" w:cs="仿宋_GB2312"/>
          <w:sz w:val="32"/>
          <w:szCs w:val="32"/>
        </w:rPr>
        <w:t>个，独立编制机构与上年一致。</w:t>
      </w:r>
      <w:bookmarkStart w:id="1" w:name="_GoBack"/>
      <w:bookmarkEnd w:id="1"/>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一、主要职能：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叶城县铁提乡属党政机关行政部门，乡科级行政单位，负责全乡党政行政管理事务。以科学发展观为指导，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二、机构人员情况：</w:t>
      </w:r>
      <w:r>
        <w:rPr>
          <w:rFonts w:hint="eastAsia" w:ascii="仿宋_GB2312" w:eastAsia="仿宋_GB2312"/>
          <w:sz w:val="32"/>
          <w:szCs w:val="32"/>
        </w:rPr>
        <w:t>编制</w:t>
      </w:r>
      <w:r>
        <w:rPr>
          <w:rFonts w:ascii="仿宋_GB2312" w:eastAsia="仿宋_GB2312"/>
          <w:sz w:val="32"/>
          <w:szCs w:val="32"/>
        </w:rPr>
        <w:t>81</w:t>
      </w:r>
      <w:r>
        <w:rPr>
          <w:rFonts w:hint="eastAsia" w:ascii="仿宋_GB2312" w:eastAsia="仿宋_GB2312"/>
          <w:sz w:val="32"/>
          <w:szCs w:val="32"/>
        </w:rPr>
        <w:t>人，按照编委文件填报，实际实有在职人数</w:t>
      </w:r>
      <w:r>
        <w:rPr>
          <w:rFonts w:ascii="仿宋_GB2312" w:eastAsia="仿宋_GB2312"/>
          <w:sz w:val="32"/>
          <w:szCs w:val="32"/>
        </w:rPr>
        <w:t>78</w:t>
      </w:r>
      <w:r>
        <w:rPr>
          <w:rFonts w:hint="eastAsia" w:ascii="仿宋_GB2312" w:eastAsia="仿宋_GB2312"/>
          <w:sz w:val="32"/>
          <w:szCs w:val="32"/>
        </w:rPr>
        <w:t>人，退休</w:t>
      </w:r>
      <w:r>
        <w:rPr>
          <w:rFonts w:ascii="仿宋_GB2312" w:eastAsia="仿宋_GB2312"/>
          <w:sz w:val="32"/>
          <w:szCs w:val="32"/>
        </w:rPr>
        <w:t>10</w:t>
      </w:r>
      <w:r>
        <w:rPr>
          <w:rFonts w:hint="eastAsia" w:ascii="仿宋_GB2312" w:eastAsia="仿宋_GB2312"/>
          <w:sz w:val="32"/>
          <w:szCs w:val="32"/>
        </w:rPr>
        <w:t>人，属于一般公共预算财政拨款开支</w:t>
      </w:r>
      <w:r>
        <w:rPr>
          <w:rFonts w:ascii="仿宋_GB2312" w:eastAsia="仿宋_GB2312"/>
          <w:sz w:val="32"/>
          <w:szCs w:val="32"/>
        </w:rPr>
        <w:t>62</w:t>
      </w:r>
      <w:r>
        <w:rPr>
          <w:rFonts w:hint="eastAsia" w:ascii="仿宋_GB2312" w:eastAsia="仿宋_GB2312"/>
          <w:sz w:val="32"/>
          <w:szCs w:val="32"/>
        </w:rPr>
        <w:t>人，其中：在职</w:t>
      </w:r>
      <w:r>
        <w:rPr>
          <w:rFonts w:ascii="仿宋_GB2312" w:eastAsia="仿宋_GB2312"/>
          <w:sz w:val="32"/>
          <w:szCs w:val="32"/>
        </w:rPr>
        <w:t>52</w:t>
      </w:r>
      <w:r>
        <w:rPr>
          <w:rFonts w:hint="eastAsia" w:ascii="仿宋_GB2312" w:eastAsia="仿宋_GB2312"/>
          <w:sz w:val="32"/>
          <w:szCs w:val="32"/>
        </w:rPr>
        <w:t>人，退休</w:t>
      </w:r>
      <w:r>
        <w:rPr>
          <w:rFonts w:ascii="仿宋_GB2312" w:eastAsia="仿宋_GB2312"/>
          <w:sz w:val="32"/>
          <w:szCs w:val="32"/>
        </w:rPr>
        <w:t>10</w:t>
      </w:r>
      <w:r>
        <w:rPr>
          <w:rFonts w:hint="eastAsia" w:ascii="仿宋_GB2312" w:eastAsia="仿宋_GB2312"/>
          <w:sz w:val="32"/>
          <w:szCs w:val="32"/>
        </w:rPr>
        <w:t>人。一般公共预算财补助开支</w:t>
      </w:r>
      <w:r>
        <w:rPr>
          <w:rFonts w:ascii="仿宋_GB2312" w:eastAsia="仿宋_GB2312"/>
          <w:sz w:val="32"/>
          <w:szCs w:val="32"/>
        </w:rPr>
        <w:t>26</w:t>
      </w:r>
      <w:r>
        <w:rPr>
          <w:rFonts w:hint="eastAsia" w:ascii="仿宋_GB2312" w:eastAsia="仿宋_GB2312"/>
          <w:sz w:val="32"/>
          <w:szCs w:val="32"/>
        </w:rPr>
        <w:t>人，其中：在职</w:t>
      </w:r>
      <w:r>
        <w:rPr>
          <w:rFonts w:ascii="仿宋_GB2312" w:eastAsia="仿宋_GB2312"/>
          <w:sz w:val="32"/>
          <w:szCs w:val="32"/>
        </w:rPr>
        <w:t>26</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纳入铁提乡</w:t>
      </w:r>
      <w:r>
        <w:rPr>
          <w:rFonts w:ascii="仿宋_GB2312" w:eastAsia="仿宋_GB2312" w:cs="仿宋_GB2312"/>
          <w:sz w:val="32"/>
          <w:szCs w:val="32"/>
        </w:rPr>
        <w:t>2015</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eastAsia="仿宋_GB2312"/>
                <w:sz w:val="32"/>
                <w:szCs w:val="32"/>
              </w:rPr>
            </w:pPr>
            <w:r>
              <w:rPr>
                <w:rFonts w:ascii="仿宋_GB2312" w:eastAsia="仿宋_GB2312"/>
                <w:sz w:val="32"/>
                <w:szCs w:val="32"/>
              </w:rPr>
              <w:t>1</w:t>
            </w:r>
          </w:p>
        </w:tc>
        <w:tc>
          <w:tcPr>
            <w:tcW w:w="2841" w:type="dxa"/>
          </w:tcPr>
          <w:p>
            <w:pPr>
              <w:spacing w:line="560" w:lineRule="exact"/>
              <w:rPr>
                <w:rFonts w:ascii="仿宋_GB2312" w:eastAsia="仿宋_GB2312"/>
                <w:sz w:val="32"/>
                <w:szCs w:val="32"/>
              </w:rPr>
            </w:pPr>
            <w:r>
              <w:rPr>
                <w:rFonts w:hint="eastAsia" w:ascii="仿宋_GB2312" w:eastAsia="仿宋_GB2312"/>
                <w:sz w:val="32"/>
                <w:szCs w:val="32"/>
              </w:rPr>
              <w:t>铁提乡人民政府</w:t>
            </w:r>
          </w:p>
        </w:tc>
        <w:tc>
          <w:tcPr>
            <w:tcW w:w="2841" w:type="dxa"/>
          </w:tcPr>
          <w:p>
            <w:pPr>
              <w:spacing w:line="560" w:lineRule="exact"/>
              <w:rPr>
                <w:rFonts w:ascii="仿宋_GB2312" w:eastAsia="仿宋_GB2312"/>
                <w:sz w:val="32"/>
                <w:szCs w:val="32"/>
              </w:rPr>
            </w:pPr>
          </w:p>
        </w:tc>
      </w:tr>
    </w:tbl>
    <w:p>
      <w:pPr>
        <w:snapToGrid w:val="0"/>
        <w:spacing w:line="360" w:lineRule="auto"/>
        <w:ind w:firstLine="602" w:firstLineChars="200"/>
        <w:rPr>
          <w:rFonts w:ascii="仿宋_GB2312" w:eastAsia="仿宋_GB2312"/>
          <w:b/>
          <w:bCs/>
          <w:sz w:val="30"/>
          <w:szCs w:val="30"/>
        </w:rPr>
      </w:pPr>
      <w:bookmarkStart w:id="0" w:name="YS060102"/>
    </w:p>
    <w:p>
      <w:pPr>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第二部分铁提乡2015年度部门决算报表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二、财政拨款收入支出决算总表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四、收入决算表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七、基本支出决算明细表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八、项目支出决算明细表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九、项目收入支出决算表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十、行政事业类项目收入支出决算表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十一、基本建设类项目收入支出决算表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十二、一般公共预算财政拨款收入支出决算表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十三、一般公共预算财政拨款支出决算明细表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十四、一般公共预算财政拨款基本支出决算表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十五、一般公共预算财政拨款项目支出决算表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十六、政府性基金预算财政拨款收入支出决算表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宋体" w:eastAsia="仿宋_GB2312" w:cs="仿宋_GB2312"/>
          <w:sz w:val="32"/>
          <w:szCs w:val="32"/>
        </w:rPr>
        <w:t>十九、政府性基金预算财政拨款项目支出决算明细表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二十、财政专户管理资金收入支出决算表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二十一、资产负债表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二十二、资产情况表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二十三、国有资产收益征缴情况表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二十四、部门决算相关信息统计表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二十五、政府采购情况表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二十六、2016年项目支出专项资金决算公开表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二十七、2016年对个人和家庭的补助项目支出专项资金决算公开表</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二十八、2016年度财政拨款“三公”经费支出表及说明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第三部分铁提乡2015年度部门决算情况说明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2015年全年收入合计20001705.35元，支出合计20001705.35元，其中基本支出7763273.88元，项目支出12238431.47元。</w:t>
      </w:r>
    </w:p>
    <w:bookmarkEnd w:id="0"/>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2015年本年收入合计20001705.35元，其中：财政拨款收入20001705.35元，事业收入0元，经营收入0元，其他收入0元。</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三、支出情况说明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本年支出合计20001705.35元，其中：基本支出7763273.88元，项目支出12238431.47元，经营支出0元。</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四、年末结转结余情况说明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2015年无结转结余资金</w:t>
      </w:r>
      <w:r>
        <w:rPr>
          <w:rFonts w:hint="eastAsia" w:ascii="仿宋_GB2312" w:hAnsi="仿宋" w:eastAsia="仿宋_GB2312" w:cs="仿宋_GB2312"/>
          <w:color w:val="000000"/>
          <w:sz w:val="32"/>
          <w:szCs w:val="32"/>
        </w:rPr>
        <w:t>（其中：财政拨款基本支出结转结余0元，项目支出结转结余0元）。</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五、“三公”经费、会议费和培训费支出情况说明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2015年“三公”经费实际支出45000.00元，其中：外出费用0元,公务接待费0元，公务用车购置0元，年末公务用车保有量为2辆；公务用车维护费45000.00元。</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“三公”经费较上年相比无变化。</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2015年无会议费。</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2015年培训费100000.00元，主要是：干部增加，乡党校培训课程增加，购买培训书籍增加。</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六、预算执行情况说明</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2015年本年收入20001705.35元，比2014年减少1011377.41元，减少原因：项目比去年少。 </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2015年本年支出20001705.35元，比2014年减少1011377.41元，减少原因：项目比去年少。</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2015年财政拨款支出20001705.35元，年初预算数6577805.52元，差异原因：因七站八所划归乡镇。</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七、决算公开其他重要事项情况说明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（一）机关运行经费支出情况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2015年铁提乡机关运行经费支出216500元，比2014年增加14000元，增长6.91% ，主要原因是：因七站八所划归乡镇。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（二）政府采购支出情况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2015年，铁提乡政府采购支出总额731077.00元，其中政府采购货物支出591077.00元，政府采购工程支出140000.00元，政府采购服务支出0元。喀什地区为偏远地区，参与招投标的供应商基本为中小微企业。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（三）国有资产占用情况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2015年12月31日，本单位共有车辆5辆，其中一般公务用车2辆，一般用车1辆，专业技术用车2辆，其他车辆0辆，无其他用车，单位价值在20万元以上的设备0台（套），价值0元。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（四）民生项目、重点支出项目绩效评价结果</w:t>
      </w:r>
    </w:p>
    <w:p>
      <w:pPr>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2015年，铁提乡共组织对7个项目进行了预算绩效评价，涉及一般公共预算当年财政拨款12010931.47元。绩效评价结果：能源节约利用项目资金安装太阳能路灯，改善了农牧民夜间行走安全，大大减少村级经费支出；利用对村级一事一议的补助，修建村级便民服务及防渗渠，大力改善农牧民娱乐文化活动，改善农民交通便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（五）事业收入明细、经营收入明细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本单位无事业收入和经营收入。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八、专业名词解释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（七）结余分配：指事业单位按规定提取的职工福利基金、事业基金和缴纳的所得税，以及建设单位按规定应交回的基本建设竣工项目结余资金。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（八）年末结转和结余：指本年度或以前年度预算安排、因客观条件发生变化无法按原计划实施，需要延迟到以后年度按有关规定继续使用的资金。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二）“三公”经费：纳入财政预决算管理的“三公”经费，是指各单位用财政拨款安排的外出、公务用车购置及运行费和公务接待费。其中，外出反映单位公务外出的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notBeside"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5</w:t>
    </w:r>
    <w:r>
      <w:rPr>
        <w:rStyle w:val="8"/>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useFELayout/>
    <w:underlineTabInNumList/>
    <w:compatSetting w:name="compatibilityMode" w:uri="http://schemas.microsoft.com/office/word" w:val="12"/>
  </w:compat>
  <w:rsids>
    <w:rsidRoot w:val="004B5863"/>
    <w:rsid w:val="00064290"/>
    <w:rsid w:val="000B7581"/>
    <w:rsid w:val="00181217"/>
    <w:rsid w:val="00222041"/>
    <w:rsid w:val="00244BC3"/>
    <w:rsid w:val="00335F68"/>
    <w:rsid w:val="00396341"/>
    <w:rsid w:val="004B5863"/>
    <w:rsid w:val="004D64CA"/>
    <w:rsid w:val="00770D9D"/>
    <w:rsid w:val="008272F1"/>
    <w:rsid w:val="009653FF"/>
    <w:rsid w:val="00973D9F"/>
    <w:rsid w:val="00982F74"/>
    <w:rsid w:val="00A046B3"/>
    <w:rsid w:val="00A05E4A"/>
    <w:rsid w:val="00AB2FCB"/>
    <w:rsid w:val="00AC764D"/>
    <w:rsid w:val="00B1034C"/>
    <w:rsid w:val="00B82F0F"/>
    <w:rsid w:val="00BA7CAA"/>
    <w:rsid w:val="00CB4890"/>
    <w:rsid w:val="00D7366F"/>
    <w:rsid w:val="03090FA4"/>
    <w:rsid w:val="1E7402CC"/>
    <w:rsid w:val="210346BE"/>
    <w:rsid w:val="21BA7CFD"/>
    <w:rsid w:val="2C22420F"/>
    <w:rsid w:val="3CC00287"/>
    <w:rsid w:val="4F9B02B0"/>
    <w:rsid w:val="4FBD5C33"/>
    <w:rsid w:val="6C25200B"/>
    <w:rsid w:val="7C6304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qFormat/>
    <w:uiPriority w:val="99"/>
    <w:pPr>
      <w:ind w:left="2500" w:leftChars="2500"/>
    </w:pPr>
    <w:rPr>
      <w:kern w:val="0"/>
    </w:rPr>
  </w:style>
  <w:style w:type="paragraph" w:styleId="3">
    <w:name w:val="Balloon Text"/>
    <w:basedOn w:val="1"/>
    <w:link w:val="12"/>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rPr>
      <w:rFonts w:cs="Times New Roman"/>
    </w:rPr>
  </w:style>
  <w:style w:type="character" w:customStyle="1" w:styleId="9">
    <w:name w:val="日期 Char"/>
    <w:basedOn w:val="7"/>
    <w:link w:val="2"/>
    <w:semiHidden/>
    <w:qFormat/>
    <w:uiPriority w:val="99"/>
    <w:rPr>
      <w:szCs w:val="21"/>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 w:type="character" w:customStyle="1" w:styleId="12">
    <w:name w:val="批注框文本 Char"/>
    <w:basedOn w:val="7"/>
    <w:link w:val="3"/>
    <w:semiHidden/>
    <w:qFormat/>
    <w:uiPriority w:val="99"/>
    <w:rPr>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458</Words>
  <Characters>2613</Characters>
  <Lines>21</Lines>
  <Paragraphs>6</Paragraphs>
  <TotalTime>6</TotalTime>
  <ScaleCrop>false</ScaleCrop>
  <LinksUpToDate>false</LinksUpToDate>
  <CharactersWithSpaces>3065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2023-12-01T10:57:03Z</dcterms:modified>
  <dc:title>喀什地区部门决算和三公经费</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