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sz w:val="32"/>
          <w:szCs w:val="32"/>
        </w:rPr>
      </w:pPr>
      <w:r>
        <w:rPr>
          <w:rFonts w:hint="eastAsia" w:ascii="仿宋_GB2312" w:eastAsia="仿宋_GB2312" w:cs="仿宋_GB2312"/>
          <w:sz w:val="32"/>
          <w:szCs w:val="32"/>
        </w:rPr>
        <w:t>附件</w:t>
      </w:r>
      <w:r>
        <w:rPr>
          <w:rFonts w:ascii="仿宋_GB2312" w:eastAsia="仿宋_GB2312" w:cs="仿宋_GB2312"/>
          <w:sz w:val="32"/>
          <w:szCs w:val="32"/>
        </w:rPr>
        <w:t>1</w:t>
      </w:r>
      <w:r>
        <w:rPr>
          <w:rFonts w:hint="eastAsia" w:ascii="仿宋_GB2312" w:eastAsia="仿宋_GB2312" w:cs="仿宋_GB2312"/>
          <w:sz w:val="32"/>
          <w:szCs w:val="32"/>
        </w:rPr>
        <w:t>：</w:t>
      </w:r>
    </w:p>
    <w:p>
      <w:pPr>
        <w:spacing w:line="560" w:lineRule="exact"/>
        <w:jc w:val="center"/>
        <w:rPr>
          <w:rFonts w:ascii="仿宋_GB2312" w:hAnsi="宋体" w:eastAsia="仿宋_GB2312" w:cs="仿宋_GB2312"/>
          <w:b/>
          <w:sz w:val="44"/>
          <w:szCs w:val="44"/>
        </w:rPr>
      </w:pPr>
      <w:r>
        <w:rPr>
          <w:rFonts w:ascii="仿宋_GB2312" w:hAnsi="宋体" w:eastAsia="仿宋_GB2312" w:cs="仿宋_GB2312"/>
          <w:b/>
          <w:sz w:val="44"/>
          <w:szCs w:val="44"/>
        </w:rPr>
        <w:t>2016</w:t>
      </w:r>
      <w:r>
        <w:rPr>
          <w:rFonts w:hint="eastAsia" w:ascii="仿宋_GB2312" w:hAnsi="宋体" w:eastAsia="仿宋_GB2312" w:cs="仿宋_GB2312"/>
          <w:b/>
          <w:sz w:val="44"/>
          <w:szCs w:val="44"/>
        </w:rPr>
        <w:t>年喀什地区叶城县乌吉热克乡人民政府部门决算</w:t>
      </w:r>
    </w:p>
    <w:p>
      <w:pPr>
        <w:spacing w:line="560" w:lineRule="exact"/>
        <w:jc w:val="center"/>
        <w:rPr>
          <w:rFonts w:ascii="仿宋_GB2312" w:eastAsia="仿宋_GB2312"/>
          <w:b/>
          <w:bCs/>
          <w:sz w:val="32"/>
          <w:szCs w:val="32"/>
        </w:rPr>
      </w:pPr>
      <w:r>
        <w:rPr>
          <w:rFonts w:hint="eastAsia" w:ascii="仿宋_GB2312" w:eastAsia="仿宋_GB2312" w:cs="仿宋_GB2312"/>
          <w:b/>
          <w:bCs/>
          <w:sz w:val="32"/>
          <w:szCs w:val="32"/>
        </w:rPr>
        <w:t>第一部分</w:t>
      </w:r>
      <w:r>
        <w:rPr>
          <w:rFonts w:ascii="仿宋_GB2312" w:eastAsia="仿宋_GB2312" w:cs="仿宋_GB2312"/>
          <w:b/>
          <w:bCs/>
          <w:sz w:val="32"/>
          <w:szCs w:val="32"/>
        </w:rPr>
        <w:t xml:space="preserve"> </w:t>
      </w:r>
      <w:r>
        <w:rPr>
          <w:rFonts w:hint="eastAsia" w:ascii="仿宋_GB2312" w:eastAsia="仿宋_GB2312" w:cs="仿宋_GB2312"/>
          <w:b/>
          <w:bCs/>
          <w:sz w:val="32"/>
          <w:szCs w:val="32"/>
        </w:rPr>
        <w:t>单位概述</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单位性质为行政单位，全额拨款，执行会计制度为行政会计制度。独立编制机构</w:t>
      </w:r>
      <w:r>
        <w:rPr>
          <w:rFonts w:ascii="仿宋_GB2312" w:hAnsi="宋体" w:eastAsia="仿宋_GB2312"/>
          <w:sz w:val="32"/>
          <w:szCs w:val="32"/>
        </w:rPr>
        <w:t>3</w:t>
      </w:r>
      <w:r>
        <w:rPr>
          <w:rFonts w:hint="eastAsia" w:ascii="仿宋_GB2312" w:hAnsi="宋体" w:eastAsia="仿宋_GB2312"/>
          <w:sz w:val="32"/>
          <w:szCs w:val="32"/>
        </w:rPr>
        <w:t>个，独立编制机构与上年无变动。</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一、主要职能：</w:t>
      </w:r>
    </w:p>
    <w:p>
      <w:pPr>
        <w:spacing w:line="560" w:lineRule="exact"/>
        <w:ind w:firstLine="800" w:firstLineChars="250"/>
        <w:rPr>
          <w:rFonts w:ascii="仿宋_GB2312" w:eastAsia="仿宋_GB2312"/>
          <w:sz w:val="32"/>
          <w:szCs w:val="32"/>
        </w:rPr>
      </w:pPr>
      <w:r>
        <w:rPr>
          <w:rFonts w:hint="eastAsia" w:ascii="仿宋_GB2312" w:eastAsia="仿宋_GB2312"/>
          <w:sz w:val="32"/>
          <w:szCs w:val="32"/>
        </w:rPr>
        <w:t>叶城县乌吉热克乡属党政机关行政部门，乡科级行政单位，主要职能为负责全乡党政行政管理事务。坚决贯彻执行上级的有关方</w:t>
      </w:r>
      <w:r>
        <w:rPr>
          <w:rFonts w:hint="eastAsia" w:ascii="仿宋_GB2312" w:eastAsia="仿宋_GB2312"/>
          <w:sz w:val="32"/>
          <w:szCs w:val="32"/>
          <w:lang w:eastAsia="zh-CN"/>
        </w:rPr>
        <w:t>针</w:t>
      </w:r>
      <w:bookmarkStart w:id="1" w:name="_GoBack"/>
      <w:bookmarkEnd w:id="1"/>
      <w:r>
        <w:rPr>
          <w:rFonts w:hint="eastAsia" w:ascii="仿宋_GB2312" w:eastAsia="仿宋_GB2312"/>
          <w:sz w:val="32"/>
          <w:szCs w:val="32"/>
        </w:rPr>
        <w:t>政策指示，把党的各项优惠政策落实到实处，负责全乡经济社会发展、社会事务管理、基层组织建设等全面工作。以全面建设社会主义新农村为根本出发点，不断深化美丽乡、村建设，不断铸牢全乡经济社会发展基础，为全乡人民群众提供社会服务。</w:t>
      </w:r>
    </w:p>
    <w:p>
      <w:pPr>
        <w:spacing w:line="560" w:lineRule="exact"/>
        <w:ind w:firstLine="640" w:firstLineChars="200"/>
        <w:rPr>
          <w:rFonts w:ascii="仿宋_GB2312" w:eastAsia="仿宋_GB2312"/>
          <w:sz w:val="32"/>
          <w:szCs w:val="32"/>
        </w:rPr>
      </w:pPr>
      <w:r>
        <w:rPr>
          <w:rFonts w:hint="eastAsia" w:ascii="仿宋_GB2312" w:hAnsi="宋体" w:eastAsia="仿宋_GB2312" w:cs="仿宋_GB2312"/>
          <w:sz w:val="32"/>
          <w:szCs w:val="32"/>
        </w:rPr>
        <w:t>二、机构人员情况：</w:t>
      </w:r>
      <w:r>
        <w:rPr>
          <w:rFonts w:hint="eastAsia" w:ascii="仿宋_GB2312" w:hAnsi="宋体" w:eastAsia="仿宋_GB2312"/>
          <w:sz w:val="32"/>
          <w:szCs w:val="32"/>
        </w:rPr>
        <w:t>编制</w:t>
      </w:r>
      <w:r>
        <w:rPr>
          <w:rFonts w:ascii="仿宋_GB2312" w:hAnsi="宋体" w:eastAsia="仿宋_GB2312"/>
          <w:sz w:val="32"/>
          <w:szCs w:val="32"/>
        </w:rPr>
        <w:t>89</w:t>
      </w:r>
      <w:r>
        <w:rPr>
          <w:rFonts w:hint="eastAsia" w:ascii="仿宋_GB2312" w:hAnsi="宋体" w:eastAsia="仿宋_GB2312"/>
          <w:sz w:val="32"/>
          <w:szCs w:val="32"/>
        </w:rPr>
        <w:t>人，按照编委文件填报，实际实有在职人数</w:t>
      </w:r>
      <w:r>
        <w:rPr>
          <w:rFonts w:ascii="仿宋_GB2312" w:hAnsi="宋体" w:eastAsia="仿宋_GB2312"/>
          <w:sz w:val="32"/>
          <w:szCs w:val="32"/>
        </w:rPr>
        <w:t>83</w:t>
      </w:r>
      <w:r>
        <w:rPr>
          <w:rFonts w:hint="eastAsia" w:ascii="仿宋_GB2312" w:hAnsi="宋体" w:eastAsia="仿宋_GB2312"/>
          <w:sz w:val="32"/>
          <w:szCs w:val="32"/>
        </w:rPr>
        <w:t>人，离退休</w:t>
      </w:r>
      <w:r>
        <w:rPr>
          <w:rFonts w:ascii="仿宋_GB2312" w:hAnsi="宋体" w:eastAsia="仿宋_GB2312"/>
          <w:sz w:val="32"/>
          <w:szCs w:val="32"/>
        </w:rPr>
        <w:t>0</w:t>
      </w:r>
      <w:r>
        <w:rPr>
          <w:rFonts w:hint="eastAsia" w:ascii="仿宋_GB2312" w:hAnsi="宋体" w:eastAsia="仿宋_GB2312"/>
          <w:sz w:val="32"/>
          <w:szCs w:val="32"/>
        </w:rPr>
        <w:t>人，属于一般公共预算财政拨款开支</w:t>
      </w:r>
      <w:r>
        <w:rPr>
          <w:rFonts w:ascii="仿宋_GB2312" w:hAnsi="宋体" w:eastAsia="仿宋_GB2312"/>
          <w:sz w:val="32"/>
          <w:szCs w:val="32"/>
        </w:rPr>
        <w:t>57</w:t>
      </w:r>
      <w:r>
        <w:rPr>
          <w:rFonts w:hint="eastAsia" w:ascii="仿宋_GB2312" w:hAnsi="宋体" w:eastAsia="仿宋_GB2312"/>
          <w:sz w:val="32"/>
          <w:szCs w:val="32"/>
        </w:rPr>
        <w:t>人，其中：在职</w:t>
      </w:r>
      <w:r>
        <w:rPr>
          <w:rFonts w:ascii="仿宋_GB2312" w:hAnsi="宋体" w:eastAsia="仿宋_GB2312"/>
          <w:sz w:val="32"/>
          <w:szCs w:val="32"/>
        </w:rPr>
        <w:t>57</w:t>
      </w:r>
      <w:r>
        <w:rPr>
          <w:rFonts w:hint="eastAsia" w:ascii="仿宋_GB2312" w:hAnsi="宋体" w:eastAsia="仿宋_GB2312"/>
          <w:sz w:val="32"/>
          <w:szCs w:val="32"/>
        </w:rPr>
        <w:t>人，离退休</w:t>
      </w:r>
      <w:r>
        <w:rPr>
          <w:rFonts w:ascii="仿宋_GB2312" w:hAnsi="宋体" w:eastAsia="仿宋_GB2312"/>
          <w:sz w:val="32"/>
          <w:szCs w:val="32"/>
        </w:rPr>
        <w:t>0</w:t>
      </w:r>
      <w:r>
        <w:rPr>
          <w:rFonts w:hint="eastAsia" w:ascii="仿宋_GB2312" w:hAnsi="宋体" w:eastAsia="仿宋_GB2312"/>
          <w:sz w:val="32"/>
          <w:szCs w:val="32"/>
        </w:rPr>
        <w:t>人</w:t>
      </w:r>
      <w:r>
        <w:rPr>
          <w:rFonts w:ascii="仿宋_GB2312" w:hAnsi="宋体" w:eastAsia="仿宋_GB2312"/>
          <w:sz w:val="32"/>
          <w:szCs w:val="32"/>
        </w:rPr>
        <w:t xml:space="preserve">; </w:t>
      </w:r>
      <w:r>
        <w:rPr>
          <w:rFonts w:hint="eastAsia" w:ascii="仿宋_GB2312" w:hAnsi="宋体" w:eastAsia="仿宋_GB2312"/>
          <w:sz w:val="32"/>
          <w:szCs w:val="32"/>
        </w:rPr>
        <w:t>属于一般公共预算财政补助开支</w:t>
      </w:r>
      <w:r>
        <w:rPr>
          <w:rFonts w:ascii="仿宋_GB2312" w:hAnsi="宋体" w:eastAsia="仿宋_GB2312"/>
          <w:sz w:val="32"/>
          <w:szCs w:val="32"/>
        </w:rPr>
        <w:t>20</w:t>
      </w:r>
      <w:r>
        <w:rPr>
          <w:rFonts w:hint="eastAsia" w:ascii="仿宋_GB2312" w:hAnsi="宋体" w:eastAsia="仿宋_GB2312"/>
          <w:sz w:val="32"/>
          <w:szCs w:val="32"/>
        </w:rPr>
        <w:t>人，其中：在职</w:t>
      </w:r>
      <w:r>
        <w:rPr>
          <w:rFonts w:ascii="仿宋_GB2312" w:hAnsi="宋体" w:eastAsia="仿宋_GB2312"/>
          <w:sz w:val="32"/>
          <w:szCs w:val="32"/>
        </w:rPr>
        <w:t>20</w:t>
      </w:r>
      <w:r>
        <w:rPr>
          <w:rFonts w:hint="eastAsia" w:ascii="仿宋_GB2312" w:hAnsi="宋体" w:eastAsia="仿宋_GB2312"/>
          <w:sz w:val="32"/>
          <w:szCs w:val="32"/>
        </w:rPr>
        <w:t>人，离退休</w:t>
      </w:r>
      <w:r>
        <w:rPr>
          <w:rFonts w:ascii="仿宋_GB2312" w:hAnsi="宋体" w:eastAsia="仿宋_GB2312"/>
          <w:sz w:val="32"/>
          <w:szCs w:val="32"/>
        </w:rPr>
        <w:t>0</w:t>
      </w:r>
      <w:r>
        <w:rPr>
          <w:rFonts w:hint="eastAsia" w:ascii="仿宋_GB2312" w:hAnsi="宋体" w:eastAsia="仿宋_GB2312"/>
          <w:sz w:val="32"/>
          <w:szCs w:val="32"/>
        </w:rPr>
        <w:t>人</w:t>
      </w:r>
      <w:r>
        <w:rPr>
          <w:rFonts w:ascii="仿宋_GB2312" w:hAnsi="宋体" w:eastAsia="仿宋_GB2312"/>
          <w:sz w:val="32"/>
          <w:szCs w:val="32"/>
        </w:rPr>
        <w:t>;</w:t>
      </w:r>
      <w:r>
        <w:rPr>
          <w:rFonts w:hint="eastAsia" w:ascii="仿宋_GB2312" w:eastAsia="仿宋_GB2312"/>
          <w:sz w:val="32"/>
          <w:szCs w:val="32"/>
        </w:rPr>
        <w:t>经费自理</w:t>
      </w:r>
      <w:r>
        <w:rPr>
          <w:rFonts w:ascii="仿宋_GB2312" w:eastAsia="仿宋_GB2312"/>
          <w:sz w:val="32"/>
          <w:szCs w:val="32"/>
        </w:rPr>
        <w:t>6</w:t>
      </w:r>
      <w:r>
        <w:rPr>
          <w:rFonts w:hint="eastAsia" w:ascii="仿宋_GB2312" w:eastAsia="仿宋_GB2312"/>
          <w:sz w:val="32"/>
          <w:szCs w:val="32"/>
        </w:rPr>
        <w:t>人，其中：在职</w:t>
      </w:r>
      <w:r>
        <w:rPr>
          <w:rFonts w:ascii="仿宋_GB2312" w:eastAsia="仿宋_GB2312"/>
          <w:sz w:val="32"/>
          <w:szCs w:val="32"/>
        </w:rPr>
        <w:t>6</w:t>
      </w:r>
      <w:r>
        <w:rPr>
          <w:rFonts w:hint="eastAsia" w:ascii="仿宋_GB2312" w:eastAsia="仿宋_GB2312"/>
          <w:sz w:val="32"/>
          <w:szCs w:val="32"/>
        </w:rPr>
        <w:t>人，退休</w:t>
      </w:r>
      <w:r>
        <w:rPr>
          <w:rFonts w:ascii="仿宋_GB2312" w:eastAsia="仿宋_GB2312"/>
          <w:sz w:val="32"/>
          <w:szCs w:val="32"/>
        </w:rPr>
        <w:t>0</w:t>
      </w:r>
      <w:r>
        <w:rPr>
          <w:rFonts w:hint="eastAsia" w:ascii="仿宋_GB2312" w:eastAsia="仿宋_GB2312"/>
          <w:sz w:val="32"/>
          <w:szCs w:val="32"/>
        </w:rPr>
        <w:t>人。</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三、决算单位构成</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纳入叶城县乌吉热克乡人民政府</w:t>
      </w:r>
      <w:r>
        <w:rPr>
          <w:rFonts w:ascii="仿宋_GB2312" w:eastAsia="仿宋_GB2312" w:cs="仿宋_GB2312"/>
          <w:sz w:val="32"/>
          <w:szCs w:val="32"/>
        </w:rPr>
        <w:t>2016</w:t>
      </w:r>
      <w:r>
        <w:rPr>
          <w:rFonts w:hint="eastAsia" w:ascii="仿宋_GB2312" w:eastAsia="仿宋_GB2312" w:cs="仿宋_GB2312"/>
          <w:sz w:val="32"/>
          <w:szCs w:val="32"/>
        </w:rPr>
        <w:t>年部门决算编制范围的单位名单见下表：</w:t>
      </w:r>
    </w:p>
    <w:p>
      <w:pPr>
        <w:spacing w:line="560" w:lineRule="exact"/>
        <w:ind w:firstLine="640" w:firstLineChars="200"/>
        <w:rPr>
          <w:rFonts w:ascii="仿宋_GB2312" w:eastAsia="仿宋_GB2312"/>
          <w:sz w:val="32"/>
          <w:szCs w:val="32"/>
        </w:rPr>
      </w:pPr>
    </w:p>
    <w:tbl>
      <w:tblPr>
        <w:tblStyle w:val="6"/>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4616"/>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60" w:lineRule="exact"/>
              <w:rPr>
                <w:rFonts w:ascii="仿宋_GB2312" w:eastAsia="仿宋_GB2312"/>
                <w:sz w:val="32"/>
                <w:szCs w:val="32"/>
              </w:rPr>
            </w:pPr>
            <w:r>
              <w:rPr>
                <w:rFonts w:hint="eastAsia" w:ascii="仿宋_GB2312" w:eastAsia="仿宋_GB2312" w:cs="仿宋_GB2312"/>
                <w:sz w:val="32"/>
                <w:szCs w:val="32"/>
              </w:rPr>
              <w:t>序号</w:t>
            </w:r>
          </w:p>
        </w:tc>
        <w:tc>
          <w:tcPr>
            <w:tcW w:w="4616" w:type="dxa"/>
          </w:tcPr>
          <w:p>
            <w:pPr>
              <w:spacing w:line="560" w:lineRule="exact"/>
              <w:rPr>
                <w:rFonts w:ascii="仿宋_GB2312" w:eastAsia="仿宋_GB2312"/>
                <w:sz w:val="32"/>
                <w:szCs w:val="32"/>
              </w:rPr>
            </w:pPr>
            <w:r>
              <w:rPr>
                <w:rFonts w:hint="eastAsia" w:ascii="仿宋_GB2312" w:eastAsia="仿宋_GB2312" w:cs="仿宋_GB2312"/>
                <w:sz w:val="32"/>
                <w:szCs w:val="32"/>
              </w:rPr>
              <w:t>单位名称</w:t>
            </w:r>
          </w:p>
        </w:tc>
        <w:tc>
          <w:tcPr>
            <w:tcW w:w="2841" w:type="dxa"/>
          </w:tcPr>
          <w:p>
            <w:pPr>
              <w:spacing w:line="560" w:lineRule="exact"/>
              <w:rPr>
                <w:rFonts w:ascii="仿宋_GB2312" w:eastAsia="仿宋_GB2312"/>
                <w:sz w:val="32"/>
                <w:szCs w:val="32"/>
              </w:rPr>
            </w:pPr>
            <w:r>
              <w:rPr>
                <w:rFonts w:hint="eastAsia" w:asci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60" w:lineRule="exact"/>
              <w:rPr>
                <w:rFonts w:ascii="仿宋_GB2312" w:eastAsia="仿宋_GB2312"/>
                <w:sz w:val="32"/>
                <w:szCs w:val="32"/>
              </w:rPr>
            </w:pPr>
            <w:r>
              <w:rPr>
                <w:rFonts w:ascii="仿宋_GB2312" w:eastAsia="仿宋_GB2312"/>
                <w:sz w:val="32"/>
                <w:szCs w:val="32"/>
              </w:rPr>
              <w:t>1</w:t>
            </w:r>
          </w:p>
        </w:tc>
        <w:tc>
          <w:tcPr>
            <w:tcW w:w="4616" w:type="dxa"/>
          </w:tcPr>
          <w:p>
            <w:pPr>
              <w:spacing w:line="560" w:lineRule="exact"/>
              <w:rPr>
                <w:rFonts w:ascii="仿宋_GB2312" w:eastAsia="仿宋_GB2312"/>
                <w:sz w:val="32"/>
                <w:szCs w:val="32"/>
              </w:rPr>
            </w:pPr>
            <w:r>
              <w:rPr>
                <w:rFonts w:hint="eastAsia" w:ascii="仿宋_GB2312" w:hAnsi="宋体" w:eastAsia="仿宋_GB2312"/>
                <w:sz w:val="32"/>
                <w:szCs w:val="32"/>
              </w:rPr>
              <w:t>叶城县乌吉热克乡人民政府</w:t>
            </w:r>
          </w:p>
        </w:tc>
        <w:tc>
          <w:tcPr>
            <w:tcW w:w="2841" w:type="dxa"/>
          </w:tcPr>
          <w:p>
            <w:pPr>
              <w:spacing w:line="560" w:lineRule="exact"/>
              <w:rPr>
                <w:rFonts w:ascii="仿宋_GB2312" w:eastAsia="仿宋_GB2312"/>
                <w:sz w:val="32"/>
                <w:szCs w:val="32"/>
              </w:rPr>
            </w:pPr>
          </w:p>
        </w:tc>
      </w:tr>
    </w:tbl>
    <w:p>
      <w:pPr>
        <w:pStyle w:val="15"/>
        <w:numPr>
          <w:ilvl w:val="0"/>
          <w:numId w:val="1"/>
        </w:numPr>
        <w:spacing w:after="0" w:line="560" w:lineRule="exact"/>
        <w:ind w:firstLine="640" w:firstLineChars="200"/>
        <w:jc w:val="both"/>
        <w:rPr>
          <w:rFonts w:ascii="仿宋_GB2312" w:hAnsi="Times New Roman" w:eastAsia="仿宋_GB2312" w:cs="Times New Roman"/>
          <w:b w:val="0"/>
          <w:color w:val="auto"/>
          <w:sz w:val="32"/>
          <w:szCs w:val="32"/>
        </w:rPr>
      </w:pPr>
      <w:bookmarkStart w:id="0" w:name="YS060102"/>
      <w:r>
        <w:rPr>
          <w:rFonts w:hint="eastAsia" w:ascii="仿宋_GB2312" w:hAnsi="Times New Roman" w:eastAsia="仿宋_GB2312" w:cs="Times New Roman"/>
          <w:b w:val="0"/>
          <w:color w:val="auto"/>
          <w:sz w:val="32"/>
          <w:szCs w:val="32"/>
        </w:rPr>
        <w:t>机构设置</w:t>
      </w:r>
    </w:p>
    <w:p>
      <w:pPr>
        <w:pStyle w:val="15"/>
        <w:spacing w:after="0" w:line="560" w:lineRule="exact"/>
        <w:ind w:firstLine="640" w:firstLineChars="200"/>
        <w:jc w:val="both"/>
        <w:rPr>
          <w:rFonts w:ascii="仿宋_GB2312" w:hAnsi="Times New Roman" w:eastAsia="仿宋_GB2312" w:cs="Times New Roman"/>
          <w:b w:val="0"/>
          <w:color w:val="auto"/>
          <w:sz w:val="32"/>
          <w:szCs w:val="32"/>
        </w:rPr>
      </w:pPr>
      <w:r>
        <w:rPr>
          <w:rFonts w:hint="eastAsia" w:ascii="仿宋_GB2312" w:hAnsi="Times New Roman" w:eastAsia="仿宋_GB2312" w:cs="Times New Roman"/>
          <w:b w:val="0"/>
          <w:color w:val="auto"/>
          <w:sz w:val="32"/>
          <w:szCs w:val="32"/>
        </w:rPr>
        <w:t>根据职责，纳入</w:t>
      </w:r>
      <w:r>
        <w:rPr>
          <w:rFonts w:ascii="仿宋_GB2312" w:hAnsi="Times New Roman" w:eastAsia="仿宋_GB2312" w:cs="Times New Roman"/>
          <w:b w:val="0"/>
          <w:color w:val="auto"/>
          <w:sz w:val="32"/>
          <w:szCs w:val="32"/>
        </w:rPr>
        <w:t>2016</w:t>
      </w:r>
      <w:r>
        <w:rPr>
          <w:rFonts w:hint="eastAsia" w:ascii="仿宋_GB2312" w:hAnsi="Times New Roman" w:eastAsia="仿宋_GB2312" w:cs="Times New Roman"/>
          <w:b w:val="0"/>
          <w:color w:val="auto"/>
          <w:sz w:val="32"/>
          <w:szCs w:val="32"/>
        </w:rPr>
        <w:t>年部门决算编制范围的有</w:t>
      </w:r>
      <w:r>
        <w:rPr>
          <w:rFonts w:ascii="仿宋_GB2312" w:hAnsi="Times New Roman" w:eastAsia="仿宋_GB2312" w:cs="Times New Roman"/>
          <w:b w:val="0"/>
          <w:color w:val="auto"/>
          <w:sz w:val="32"/>
          <w:szCs w:val="32"/>
        </w:rPr>
        <w:t>7</w:t>
      </w:r>
      <w:r>
        <w:rPr>
          <w:rFonts w:hint="eastAsia" w:ascii="仿宋_GB2312" w:hAnsi="Times New Roman" w:eastAsia="仿宋_GB2312" w:cs="Times New Roman"/>
          <w:b w:val="0"/>
          <w:color w:val="auto"/>
          <w:sz w:val="32"/>
          <w:szCs w:val="32"/>
        </w:rPr>
        <w:t>个内设机构，七站八所划归乡镇农业农村经济办、党建办、社会事务办、财政所、民政所、计生站等机构。</w:t>
      </w:r>
    </w:p>
    <w:p>
      <w:pPr>
        <w:snapToGrid w:val="0"/>
        <w:spacing w:line="560" w:lineRule="exact"/>
        <w:jc w:val="center"/>
        <w:rPr>
          <w:rFonts w:ascii="仿宋_GB2312" w:hAnsi="宋体" w:eastAsia="仿宋_GB2312" w:cs="仿宋_GB2312"/>
          <w:b/>
          <w:bCs/>
          <w:sz w:val="32"/>
          <w:szCs w:val="32"/>
        </w:rPr>
      </w:pPr>
      <w:r>
        <w:rPr>
          <w:rFonts w:hint="eastAsia" w:ascii="仿宋_GB2312" w:hAnsi="宋体" w:eastAsia="仿宋_GB2312" w:cs="仿宋_GB2312"/>
          <w:b/>
          <w:bCs/>
          <w:sz w:val="32"/>
          <w:szCs w:val="32"/>
        </w:rPr>
        <w:t>第二部分</w:t>
      </w:r>
      <w:r>
        <w:rPr>
          <w:rFonts w:ascii="仿宋_GB2312" w:hAnsi="宋体" w:eastAsia="仿宋_GB2312" w:cs="仿宋_GB2312"/>
          <w:b/>
          <w:bCs/>
          <w:sz w:val="32"/>
          <w:szCs w:val="32"/>
        </w:rPr>
        <w:t xml:space="preserve">  </w:t>
      </w:r>
      <w:r>
        <w:rPr>
          <w:rFonts w:hint="eastAsia" w:ascii="仿宋_GB2312" w:hAnsi="宋体" w:eastAsia="仿宋_GB2312" w:cs="仿宋_GB2312"/>
          <w:b/>
          <w:bCs/>
          <w:sz w:val="32"/>
          <w:szCs w:val="32"/>
        </w:rPr>
        <w:t>叶城县乌吉热克乡人民政府</w:t>
      </w:r>
      <w:r>
        <w:rPr>
          <w:rFonts w:ascii="仿宋_GB2312" w:hAnsi="宋体" w:eastAsia="仿宋_GB2312" w:cs="仿宋_GB2312"/>
          <w:b/>
          <w:bCs/>
          <w:sz w:val="32"/>
          <w:szCs w:val="32"/>
        </w:rPr>
        <w:t>2016</w:t>
      </w:r>
      <w:r>
        <w:rPr>
          <w:rFonts w:hint="eastAsia" w:ascii="仿宋_GB2312" w:hAnsi="宋体" w:eastAsia="仿宋_GB2312" w:cs="仿宋_GB2312"/>
          <w:b/>
          <w:bCs/>
          <w:sz w:val="32"/>
          <w:szCs w:val="32"/>
        </w:rPr>
        <w:t>年度部门</w:t>
      </w:r>
    </w:p>
    <w:p>
      <w:pPr>
        <w:snapToGrid w:val="0"/>
        <w:spacing w:line="560" w:lineRule="exact"/>
        <w:jc w:val="center"/>
        <w:rPr>
          <w:rFonts w:ascii="仿宋_GB2312" w:hAnsi="宋体" w:eastAsia="仿宋_GB2312"/>
          <w:b/>
          <w:bCs/>
          <w:sz w:val="32"/>
          <w:szCs w:val="32"/>
        </w:rPr>
      </w:pPr>
      <w:r>
        <w:rPr>
          <w:rFonts w:hint="eastAsia" w:ascii="仿宋_GB2312" w:hAnsi="宋体" w:eastAsia="仿宋_GB2312" w:cs="仿宋_GB2312"/>
          <w:b/>
          <w:bCs/>
          <w:sz w:val="32"/>
          <w:szCs w:val="32"/>
        </w:rPr>
        <w:t>决算报表</w:t>
      </w:r>
    </w:p>
    <w:p>
      <w:pPr>
        <w:numPr>
          <w:ilvl w:val="0"/>
          <w:numId w:val="2"/>
        </w:numPr>
        <w:snapToGrid w:val="0"/>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收入支出决算总表</w:t>
      </w:r>
    </w:p>
    <w:p>
      <w:pPr>
        <w:numPr>
          <w:ilvl w:val="0"/>
          <w:numId w:val="2"/>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财政拨款收入支出决算总表</w:t>
      </w:r>
    </w:p>
    <w:p>
      <w:pPr>
        <w:numPr>
          <w:ilvl w:val="0"/>
          <w:numId w:val="2"/>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四、收入决算表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五、支出决算表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六、支出决算明细表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七、基本支出决算明细表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八、项目支出决算明细表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九、项目收入支出决算表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十、行政事业类项目收入支出决算表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十一、基本建设类项目收入支出决算表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十二、一般公共预算财政拨款收入支出决算表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十三、一般公共预算财政拨款支出决算明细表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十四、一般公共预算财政拨款基本支出决算表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十五、一般公共预算财政拨款项目支出决算表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十六、政府性基金预算财政拨款收入支出决算表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十七、政府性基金预算财政拨款基本支出决算明细表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十八、政府性基金预算财政拨款项目支出决算明细表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十九、政府性基金预算财政拨款支出决算明细表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二十、财政专户管理资金收入支出决算表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二十一、资产负债表</w:t>
      </w:r>
    </w:p>
    <w:p>
      <w:pPr>
        <w:snapToGrid w:val="0"/>
        <w:spacing w:line="560" w:lineRule="exact"/>
        <w:ind w:firstLine="640" w:firstLineChars="200"/>
        <w:rPr>
          <w:rFonts w:ascii="仿宋_GB2312" w:eastAsia="仿宋_GB2312" w:cs="仿宋_GB2312"/>
          <w:sz w:val="32"/>
          <w:szCs w:val="32"/>
        </w:rPr>
      </w:pPr>
      <w:r>
        <w:rPr>
          <w:rFonts w:hint="eastAsia" w:ascii="仿宋_GB2312" w:hAnsi="宋体" w:eastAsia="仿宋_GB2312" w:cs="仿宋_GB2312"/>
          <w:sz w:val="32"/>
          <w:szCs w:val="32"/>
        </w:rPr>
        <w:t>二十二、</w:t>
      </w:r>
      <w:r>
        <w:rPr>
          <w:rFonts w:hint="eastAsia" w:ascii="仿宋_GB2312" w:eastAsia="仿宋_GB2312" w:cs="仿宋_GB2312"/>
          <w:sz w:val="32"/>
          <w:szCs w:val="32"/>
        </w:rPr>
        <w:t>资产情况表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二十三、部门决算相关信息统计表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二十四、政府采购情况表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二十五、</w:t>
      </w:r>
      <w:r>
        <w:rPr>
          <w:rFonts w:ascii="仿宋_GB2312" w:eastAsia="仿宋_GB2312" w:cs="仿宋_GB2312"/>
          <w:sz w:val="32"/>
          <w:szCs w:val="32"/>
        </w:rPr>
        <w:t>2016</w:t>
      </w:r>
      <w:r>
        <w:rPr>
          <w:rFonts w:hint="eastAsia" w:ascii="仿宋_GB2312" w:eastAsia="仿宋_GB2312" w:cs="仿宋_GB2312"/>
          <w:sz w:val="32"/>
          <w:szCs w:val="32"/>
        </w:rPr>
        <w:t>年项目支出专项资金决算公开表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eastAsia="仿宋_GB2312" w:cs="仿宋_GB2312"/>
          <w:sz w:val="32"/>
          <w:szCs w:val="32"/>
        </w:rPr>
        <w:t>二十六、</w:t>
      </w:r>
      <w:r>
        <w:rPr>
          <w:rFonts w:ascii="仿宋_GB2312" w:eastAsia="仿宋_GB2312" w:cs="仿宋_GB2312"/>
          <w:sz w:val="32"/>
          <w:szCs w:val="32"/>
        </w:rPr>
        <w:t>2016</w:t>
      </w:r>
      <w:r>
        <w:rPr>
          <w:rFonts w:hint="eastAsia" w:ascii="仿宋_GB2312" w:eastAsia="仿宋_GB2312" w:cs="仿宋_GB2312"/>
          <w:sz w:val="32"/>
          <w:szCs w:val="32"/>
        </w:rPr>
        <w:t>年对个人和家庭的补助项目支出专项资金决算公开表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二十七、</w:t>
      </w:r>
      <w:r>
        <w:rPr>
          <w:rFonts w:ascii="仿宋_GB2312" w:hAnsi="宋体" w:eastAsia="仿宋_GB2312" w:cs="仿宋_GB2312"/>
          <w:sz w:val="32"/>
          <w:szCs w:val="32"/>
        </w:rPr>
        <w:t>2016</w:t>
      </w:r>
      <w:r>
        <w:rPr>
          <w:rFonts w:hint="eastAsia" w:ascii="仿宋_GB2312" w:hAnsi="宋体" w:eastAsia="仿宋_GB2312" w:cs="仿宋_GB2312"/>
          <w:sz w:val="32"/>
          <w:szCs w:val="32"/>
        </w:rPr>
        <w:t>年度财政拨款“三公”经费支出表及说明</w:t>
      </w:r>
    </w:p>
    <w:p>
      <w:pPr>
        <w:snapToGrid w:val="0"/>
        <w:spacing w:line="560" w:lineRule="exact"/>
        <w:ind w:firstLine="640" w:firstLineChars="200"/>
        <w:jc w:val="center"/>
        <w:rPr>
          <w:rFonts w:ascii="仿宋_GB2312" w:hAnsi="宋体" w:eastAsia="仿宋_GB2312"/>
          <w:sz w:val="32"/>
          <w:szCs w:val="32"/>
        </w:rPr>
      </w:pPr>
    </w:p>
    <w:p>
      <w:pPr>
        <w:snapToGrid w:val="0"/>
        <w:spacing w:line="560" w:lineRule="exact"/>
        <w:jc w:val="center"/>
        <w:rPr>
          <w:rFonts w:ascii="仿宋_GB2312" w:hAnsi="宋体" w:eastAsia="仿宋_GB2312"/>
          <w:b/>
          <w:bCs/>
          <w:sz w:val="32"/>
          <w:szCs w:val="32"/>
        </w:rPr>
      </w:pPr>
      <w:r>
        <w:rPr>
          <w:rFonts w:hint="eastAsia" w:ascii="仿宋_GB2312" w:hAnsi="宋体" w:eastAsia="仿宋_GB2312" w:cs="仿宋_GB2312"/>
          <w:b/>
          <w:bCs/>
          <w:sz w:val="32"/>
          <w:szCs w:val="32"/>
        </w:rPr>
        <w:t>第三部分</w:t>
      </w:r>
      <w:r>
        <w:rPr>
          <w:rFonts w:ascii="仿宋_GB2312" w:hAnsi="宋体" w:eastAsia="仿宋_GB2312" w:cs="仿宋_GB2312"/>
          <w:b/>
          <w:bCs/>
          <w:sz w:val="32"/>
          <w:szCs w:val="32"/>
        </w:rPr>
        <w:t xml:space="preserve"> </w:t>
      </w:r>
      <w:r>
        <w:rPr>
          <w:rFonts w:hint="eastAsia" w:ascii="仿宋_GB2312" w:hAnsi="宋体" w:eastAsia="仿宋_GB2312" w:cs="仿宋_GB2312"/>
          <w:b/>
          <w:bCs/>
          <w:sz w:val="32"/>
          <w:szCs w:val="32"/>
        </w:rPr>
        <w:t>叶城县乌吉热克乡人民政府</w:t>
      </w:r>
      <w:r>
        <w:rPr>
          <w:rFonts w:ascii="仿宋_GB2312" w:hAnsi="宋体" w:eastAsia="仿宋_GB2312" w:cs="仿宋_GB2312"/>
          <w:b/>
          <w:bCs/>
          <w:sz w:val="32"/>
          <w:szCs w:val="32"/>
        </w:rPr>
        <w:t>2016</w:t>
      </w:r>
      <w:r>
        <w:rPr>
          <w:rFonts w:hint="eastAsia" w:ascii="仿宋_GB2312" w:hAnsi="宋体" w:eastAsia="仿宋_GB2312" w:cs="仿宋_GB2312"/>
          <w:b/>
          <w:bCs/>
          <w:sz w:val="32"/>
          <w:szCs w:val="32"/>
        </w:rPr>
        <w:t>年度部门决算情况说明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一、部门收入支出决算总体情况说明：</w:t>
      </w:r>
    </w:p>
    <w:p>
      <w:pPr>
        <w:snapToGrid w:val="0"/>
        <w:spacing w:line="560" w:lineRule="exact"/>
        <w:ind w:left="149" w:leftChars="71" w:firstLine="480" w:firstLineChars="15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年全年收入合计</w:t>
      </w:r>
      <w:r>
        <w:rPr>
          <w:rFonts w:ascii="仿宋_GB2312" w:hAnsi="宋体" w:eastAsia="仿宋_GB2312" w:cs="仿宋_GB2312"/>
          <w:sz w:val="32"/>
          <w:szCs w:val="32"/>
        </w:rPr>
        <w:t>16395342.15</w:t>
      </w:r>
      <w:r>
        <w:rPr>
          <w:rFonts w:hint="eastAsia" w:ascii="仿宋_GB2312" w:hAnsi="宋体" w:eastAsia="仿宋_GB2312" w:cs="仿宋_GB2312"/>
          <w:sz w:val="32"/>
          <w:szCs w:val="32"/>
        </w:rPr>
        <w:t>元，支出合计</w:t>
      </w:r>
      <w:r>
        <w:rPr>
          <w:rFonts w:ascii="仿宋_GB2312" w:hAnsi="宋体" w:eastAsia="仿宋_GB2312" w:cs="仿宋_GB2312"/>
          <w:sz w:val="32"/>
          <w:szCs w:val="32"/>
        </w:rPr>
        <w:t>16395342.15</w:t>
      </w:r>
      <w:r>
        <w:rPr>
          <w:rFonts w:hint="eastAsia" w:ascii="仿宋_GB2312" w:hAnsi="宋体" w:eastAsia="仿宋_GB2312" w:cs="仿宋_GB2312"/>
          <w:sz w:val="32"/>
          <w:szCs w:val="32"/>
        </w:rPr>
        <w:t>元，其中基本支出</w:t>
      </w:r>
      <w:r>
        <w:rPr>
          <w:rFonts w:ascii="仿宋_GB2312" w:hAnsi="宋体" w:eastAsia="仿宋_GB2312" w:cs="仿宋_GB2312"/>
          <w:sz w:val="32"/>
          <w:szCs w:val="32"/>
        </w:rPr>
        <w:t>12416315.15</w:t>
      </w:r>
      <w:r>
        <w:rPr>
          <w:rFonts w:hint="eastAsia" w:ascii="仿宋_GB2312" w:hAnsi="宋体" w:eastAsia="仿宋_GB2312" w:cs="仿宋_GB2312"/>
          <w:sz w:val="32"/>
          <w:szCs w:val="32"/>
        </w:rPr>
        <w:t>元，项目支出</w:t>
      </w:r>
      <w:r>
        <w:rPr>
          <w:rFonts w:ascii="仿宋_GB2312" w:hAnsi="宋体" w:eastAsia="仿宋_GB2312" w:cs="仿宋_GB2312"/>
          <w:sz w:val="32"/>
          <w:szCs w:val="32"/>
        </w:rPr>
        <w:t>3979027.00</w:t>
      </w:r>
      <w:r>
        <w:rPr>
          <w:rFonts w:hint="eastAsia" w:ascii="仿宋_GB2312" w:hAnsi="宋体" w:eastAsia="仿宋_GB2312" w:cs="仿宋_GB2312"/>
          <w:sz w:val="32"/>
          <w:szCs w:val="32"/>
        </w:rPr>
        <w:t>元。</w:t>
      </w:r>
    </w:p>
    <w:bookmarkEnd w:id="0"/>
    <w:p>
      <w:pPr>
        <w:numPr>
          <w:ilvl w:val="0"/>
          <w:numId w:val="3"/>
        </w:numPr>
        <w:snapToGrid w:val="0"/>
        <w:spacing w:line="560" w:lineRule="exact"/>
        <w:rPr>
          <w:rFonts w:ascii="仿宋_GB2312" w:hAnsi="宋体" w:eastAsia="仿宋_GB2312"/>
          <w:bCs/>
          <w:sz w:val="32"/>
          <w:szCs w:val="32"/>
        </w:rPr>
      </w:pPr>
      <w:r>
        <w:rPr>
          <w:rFonts w:hint="eastAsia" w:ascii="仿宋_GB2312" w:hAnsi="宋体" w:eastAsia="仿宋_GB2312" w:cs="仿宋_GB2312"/>
          <w:bCs/>
          <w:sz w:val="32"/>
          <w:szCs w:val="32"/>
        </w:rPr>
        <w:t>收入情况说明</w:t>
      </w:r>
    </w:p>
    <w:p>
      <w:pPr>
        <w:snapToGrid w:val="0"/>
        <w:spacing w:line="560" w:lineRule="exact"/>
        <w:ind w:left="147" w:leftChars="70" w:firstLine="480" w:firstLineChars="15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年本年收入合计</w:t>
      </w:r>
      <w:r>
        <w:rPr>
          <w:rFonts w:ascii="仿宋_GB2312" w:hAnsi="宋体" w:eastAsia="仿宋_GB2312" w:cs="仿宋_GB2312"/>
          <w:sz w:val="32"/>
          <w:szCs w:val="32"/>
        </w:rPr>
        <w:t>16395342.15</w:t>
      </w:r>
      <w:r>
        <w:rPr>
          <w:rFonts w:hint="eastAsia" w:ascii="仿宋_GB2312" w:hAnsi="宋体" w:eastAsia="仿宋_GB2312" w:cs="仿宋_GB2312"/>
          <w:sz w:val="32"/>
          <w:szCs w:val="32"/>
        </w:rPr>
        <w:t>元，其中：财政拨款收入</w:t>
      </w:r>
      <w:r>
        <w:rPr>
          <w:rFonts w:ascii="仿宋_GB2312" w:hAnsi="宋体" w:eastAsia="仿宋_GB2312" w:cs="仿宋_GB2312"/>
          <w:sz w:val="32"/>
          <w:szCs w:val="32"/>
        </w:rPr>
        <w:t>16395342.15</w:t>
      </w:r>
      <w:r>
        <w:rPr>
          <w:rFonts w:hint="eastAsia" w:ascii="仿宋_GB2312" w:hAnsi="宋体" w:eastAsia="仿宋_GB2312" w:cs="仿宋_GB2312"/>
          <w:sz w:val="32"/>
          <w:szCs w:val="32"/>
        </w:rPr>
        <w:t>元，事业收入</w:t>
      </w:r>
      <w:r>
        <w:rPr>
          <w:rFonts w:ascii="仿宋_GB2312" w:hAnsi="宋体" w:eastAsia="仿宋_GB2312" w:cs="仿宋_GB2312"/>
          <w:sz w:val="32"/>
          <w:szCs w:val="32"/>
        </w:rPr>
        <w:t>0</w:t>
      </w:r>
      <w:r>
        <w:rPr>
          <w:rFonts w:hint="eastAsia" w:ascii="仿宋_GB2312" w:hAnsi="宋体" w:eastAsia="仿宋_GB2312" w:cs="仿宋_GB2312"/>
          <w:sz w:val="32"/>
          <w:szCs w:val="32"/>
        </w:rPr>
        <w:t>元，经营收入</w:t>
      </w:r>
      <w:r>
        <w:rPr>
          <w:rFonts w:ascii="仿宋_GB2312" w:hAnsi="宋体" w:eastAsia="仿宋_GB2312" w:cs="仿宋_GB2312"/>
          <w:sz w:val="32"/>
          <w:szCs w:val="32"/>
        </w:rPr>
        <w:t>0</w:t>
      </w:r>
      <w:r>
        <w:rPr>
          <w:rFonts w:hint="eastAsia" w:ascii="仿宋_GB2312" w:hAnsi="宋体" w:eastAsia="仿宋_GB2312" w:cs="仿宋_GB2312"/>
          <w:sz w:val="32"/>
          <w:szCs w:val="32"/>
        </w:rPr>
        <w:t>元，其他收入</w:t>
      </w:r>
      <w:r>
        <w:rPr>
          <w:rFonts w:ascii="仿宋_GB2312" w:hAnsi="宋体" w:eastAsia="仿宋_GB2312" w:cs="仿宋_GB2312"/>
          <w:sz w:val="32"/>
          <w:szCs w:val="32"/>
        </w:rPr>
        <w:t>0</w:t>
      </w:r>
      <w:r>
        <w:rPr>
          <w:rFonts w:hint="eastAsia" w:ascii="仿宋_GB2312" w:hAnsi="宋体" w:eastAsia="仿宋_GB2312" w:cs="仿宋_GB2312"/>
          <w:sz w:val="32"/>
          <w:szCs w:val="32"/>
        </w:rPr>
        <w:t>元。</w:t>
      </w:r>
    </w:p>
    <w:p>
      <w:pPr>
        <w:snapToGrid w:val="0"/>
        <w:spacing w:line="560" w:lineRule="exact"/>
        <w:ind w:left="147" w:leftChars="70" w:firstLine="480" w:firstLineChars="150"/>
        <w:rPr>
          <w:rFonts w:ascii="仿宋_GB2312" w:hAnsi="宋体" w:eastAsia="仿宋_GB2312"/>
          <w:bCs/>
          <w:sz w:val="32"/>
          <w:szCs w:val="32"/>
        </w:rPr>
      </w:pPr>
      <w:r>
        <w:rPr>
          <w:rFonts w:hint="eastAsia" w:ascii="仿宋_GB2312" w:hAnsi="宋体" w:eastAsia="仿宋_GB2312" w:cs="仿宋_GB2312"/>
          <w:bCs/>
          <w:sz w:val="32"/>
          <w:szCs w:val="32"/>
        </w:rPr>
        <w:t>三、支出情况说明</w:t>
      </w:r>
    </w:p>
    <w:p>
      <w:pPr>
        <w:snapToGrid w:val="0"/>
        <w:spacing w:line="560" w:lineRule="exact"/>
        <w:ind w:left="210" w:leftChars="100" w:firstLine="480" w:firstLineChars="150"/>
        <w:rPr>
          <w:rFonts w:ascii="仿宋_GB2312" w:hAnsi="宋体" w:eastAsia="仿宋_GB2312"/>
          <w:sz w:val="32"/>
          <w:szCs w:val="32"/>
        </w:rPr>
      </w:pPr>
      <w:r>
        <w:rPr>
          <w:rFonts w:hint="eastAsia" w:ascii="仿宋_GB2312" w:hAnsi="宋体" w:eastAsia="仿宋_GB2312" w:cs="仿宋_GB2312"/>
          <w:sz w:val="32"/>
          <w:szCs w:val="32"/>
        </w:rPr>
        <w:t>本年支出合计</w:t>
      </w:r>
      <w:r>
        <w:rPr>
          <w:rFonts w:ascii="仿宋_GB2312" w:hAnsi="宋体" w:eastAsia="仿宋_GB2312" w:cs="仿宋_GB2312"/>
          <w:sz w:val="32"/>
          <w:szCs w:val="32"/>
        </w:rPr>
        <w:t>16395342.15</w:t>
      </w:r>
      <w:r>
        <w:rPr>
          <w:rFonts w:hint="eastAsia" w:ascii="仿宋_GB2312" w:hAnsi="宋体" w:eastAsia="仿宋_GB2312" w:cs="仿宋_GB2312"/>
          <w:sz w:val="32"/>
          <w:szCs w:val="32"/>
        </w:rPr>
        <w:t>元，其中：基本支出</w:t>
      </w:r>
      <w:r>
        <w:rPr>
          <w:rFonts w:ascii="仿宋_GB2312" w:hAnsi="宋体" w:eastAsia="仿宋_GB2312" w:cs="仿宋_GB2312"/>
          <w:sz w:val="32"/>
          <w:szCs w:val="32"/>
        </w:rPr>
        <w:t>12416315.15</w:t>
      </w:r>
      <w:r>
        <w:rPr>
          <w:rFonts w:hint="eastAsia" w:ascii="仿宋_GB2312" w:hAnsi="宋体" w:eastAsia="仿宋_GB2312" w:cs="仿宋_GB2312"/>
          <w:sz w:val="32"/>
          <w:szCs w:val="32"/>
        </w:rPr>
        <w:t>元，项目支出</w:t>
      </w:r>
      <w:r>
        <w:rPr>
          <w:rFonts w:ascii="仿宋_GB2312" w:hAnsi="宋体" w:eastAsia="仿宋_GB2312" w:cs="仿宋_GB2312"/>
          <w:sz w:val="32"/>
          <w:szCs w:val="32"/>
        </w:rPr>
        <w:t>3979027.00</w:t>
      </w:r>
      <w:r>
        <w:rPr>
          <w:rFonts w:hint="eastAsia" w:ascii="仿宋_GB2312" w:hAnsi="宋体" w:eastAsia="仿宋_GB2312" w:cs="仿宋_GB2312"/>
          <w:sz w:val="32"/>
          <w:szCs w:val="32"/>
        </w:rPr>
        <w:t>元，经营支出</w:t>
      </w:r>
      <w:r>
        <w:rPr>
          <w:rFonts w:ascii="仿宋_GB2312" w:hAnsi="宋体" w:eastAsia="仿宋_GB2312" w:cs="仿宋_GB2312"/>
          <w:sz w:val="32"/>
          <w:szCs w:val="32"/>
        </w:rPr>
        <w:t>0</w:t>
      </w:r>
      <w:r>
        <w:rPr>
          <w:rFonts w:hint="eastAsia" w:ascii="仿宋_GB2312" w:hAnsi="宋体" w:eastAsia="仿宋_GB2312" w:cs="仿宋_GB2312"/>
          <w:sz w:val="32"/>
          <w:szCs w:val="32"/>
        </w:rPr>
        <w:t>元。</w:t>
      </w:r>
    </w:p>
    <w:p>
      <w:pPr>
        <w:snapToGrid w:val="0"/>
        <w:spacing w:line="560" w:lineRule="exact"/>
        <w:ind w:left="210" w:leftChars="100" w:firstLine="480" w:firstLineChars="150"/>
        <w:rPr>
          <w:rFonts w:ascii="仿宋_GB2312" w:hAnsi="宋体" w:eastAsia="仿宋_GB2312"/>
          <w:bCs/>
          <w:sz w:val="32"/>
          <w:szCs w:val="32"/>
        </w:rPr>
      </w:pPr>
      <w:r>
        <w:rPr>
          <w:rFonts w:hint="eastAsia" w:ascii="仿宋_GB2312" w:hAnsi="宋体" w:eastAsia="仿宋_GB2312" w:cs="仿宋_GB2312"/>
          <w:bCs/>
          <w:sz w:val="32"/>
          <w:szCs w:val="32"/>
        </w:rPr>
        <w:t>四、年末结转结余情况说明</w:t>
      </w:r>
    </w:p>
    <w:p>
      <w:pPr>
        <w:snapToGrid w:val="0"/>
        <w:spacing w:line="560" w:lineRule="exact"/>
        <w:ind w:left="149" w:leftChars="71" w:firstLine="480" w:firstLineChars="15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年结转结余资金</w:t>
      </w:r>
      <w:r>
        <w:rPr>
          <w:rFonts w:ascii="仿宋_GB2312" w:hAnsi="宋体" w:eastAsia="仿宋_GB2312" w:cs="仿宋_GB2312"/>
          <w:sz w:val="32"/>
          <w:szCs w:val="32"/>
        </w:rPr>
        <w:t>0</w:t>
      </w:r>
      <w:r>
        <w:rPr>
          <w:rFonts w:hint="eastAsia" w:ascii="仿宋_GB2312" w:hAnsi="宋体" w:eastAsia="仿宋_GB2312" w:cs="仿宋_GB2312"/>
          <w:sz w:val="32"/>
          <w:szCs w:val="32"/>
        </w:rPr>
        <w:t>元（其中：财政拨款基本支出结转结余</w:t>
      </w:r>
      <w:r>
        <w:rPr>
          <w:rFonts w:ascii="仿宋_GB2312" w:hAnsi="宋体" w:eastAsia="仿宋_GB2312" w:cs="仿宋_GB2312"/>
          <w:sz w:val="32"/>
          <w:szCs w:val="32"/>
        </w:rPr>
        <w:t>0</w:t>
      </w:r>
      <w:r>
        <w:rPr>
          <w:rFonts w:hint="eastAsia" w:ascii="仿宋_GB2312" w:hAnsi="宋体" w:eastAsia="仿宋_GB2312" w:cs="仿宋_GB2312"/>
          <w:sz w:val="32"/>
          <w:szCs w:val="32"/>
        </w:rPr>
        <w:t>元，主要为本年无年末结转结余资金，项目支出结转结余</w:t>
      </w:r>
      <w:r>
        <w:rPr>
          <w:rFonts w:ascii="仿宋_GB2312" w:hAnsi="宋体" w:eastAsia="仿宋_GB2312" w:cs="仿宋_GB2312"/>
          <w:sz w:val="32"/>
          <w:szCs w:val="32"/>
        </w:rPr>
        <w:t>0</w:t>
      </w:r>
      <w:r>
        <w:rPr>
          <w:rFonts w:hint="eastAsia" w:ascii="仿宋_GB2312" w:hAnsi="宋体" w:eastAsia="仿宋_GB2312" w:cs="仿宋_GB2312"/>
          <w:sz w:val="32"/>
          <w:szCs w:val="32"/>
        </w:rPr>
        <w:t>元，主要为本年无年末结转结余资金）。</w:t>
      </w:r>
    </w:p>
    <w:p>
      <w:pPr>
        <w:snapToGrid w:val="0"/>
        <w:spacing w:line="560" w:lineRule="exact"/>
        <w:ind w:firstLine="640" w:firstLineChars="200"/>
        <w:rPr>
          <w:rFonts w:ascii="仿宋_GB2312" w:hAnsi="宋体" w:eastAsia="仿宋_GB2312"/>
          <w:bCs/>
          <w:sz w:val="32"/>
          <w:szCs w:val="32"/>
        </w:rPr>
      </w:pPr>
      <w:r>
        <w:rPr>
          <w:rFonts w:hint="eastAsia" w:ascii="仿宋_GB2312" w:hAnsi="宋体" w:eastAsia="仿宋_GB2312" w:cs="仿宋_GB2312"/>
          <w:bCs/>
          <w:sz w:val="32"/>
          <w:szCs w:val="32"/>
        </w:rPr>
        <w:t>五、“三公”经费、会议费支出情况说明</w:t>
      </w:r>
    </w:p>
    <w:p>
      <w:pPr>
        <w:snapToGrid w:val="0"/>
        <w:spacing w:line="560" w:lineRule="exact"/>
        <w:ind w:firstLine="640" w:firstLineChars="20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年“三公”经费实际支出</w:t>
      </w:r>
      <w:r>
        <w:rPr>
          <w:rFonts w:ascii="仿宋_GB2312" w:hAnsi="宋体" w:eastAsia="仿宋_GB2312" w:cs="仿宋_GB2312"/>
          <w:sz w:val="32"/>
          <w:szCs w:val="32"/>
        </w:rPr>
        <w:t>45000</w:t>
      </w:r>
      <w:r>
        <w:rPr>
          <w:rFonts w:hint="eastAsia" w:ascii="仿宋_GB2312" w:hAnsi="宋体" w:eastAsia="仿宋_GB2312" w:cs="仿宋_GB2312"/>
          <w:sz w:val="32"/>
          <w:szCs w:val="32"/>
        </w:rPr>
        <w:t>元，其中：因公出国费用</w:t>
      </w:r>
      <w:r>
        <w:rPr>
          <w:rFonts w:ascii="仿宋_GB2312" w:hAnsi="宋体" w:eastAsia="仿宋_GB2312" w:cs="仿宋_GB2312"/>
          <w:sz w:val="32"/>
          <w:szCs w:val="32"/>
        </w:rPr>
        <w:t>0</w:t>
      </w:r>
      <w:r>
        <w:rPr>
          <w:rFonts w:hint="eastAsia" w:ascii="仿宋_GB2312" w:hAnsi="宋体" w:eastAsia="仿宋_GB2312" w:cs="仿宋_GB2312"/>
          <w:sz w:val="32"/>
          <w:szCs w:val="32"/>
        </w:rPr>
        <w:t>元，共组团</w:t>
      </w:r>
      <w:r>
        <w:rPr>
          <w:rFonts w:ascii="仿宋_GB2312" w:hAnsi="宋体" w:eastAsia="仿宋_GB2312" w:cs="仿宋_GB2312"/>
          <w:sz w:val="32"/>
          <w:szCs w:val="32"/>
        </w:rPr>
        <w:t>0</w:t>
      </w:r>
      <w:r>
        <w:rPr>
          <w:rFonts w:hint="eastAsia" w:ascii="仿宋_GB2312" w:hAnsi="宋体" w:eastAsia="仿宋_GB2312" w:cs="仿宋_GB2312"/>
          <w:sz w:val="32"/>
          <w:szCs w:val="32"/>
        </w:rPr>
        <w:t>批次人次</w:t>
      </w:r>
      <w:r>
        <w:rPr>
          <w:rFonts w:ascii="仿宋_GB2312" w:hAnsi="宋体" w:eastAsia="仿宋_GB2312" w:cs="仿宋_GB2312"/>
          <w:sz w:val="32"/>
          <w:szCs w:val="32"/>
        </w:rPr>
        <w:t>,</w:t>
      </w:r>
      <w:r>
        <w:rPr>
          <w:rFonts w:hint="eastAsia" w:ascii="仿宋_GB2312" w:hAnsi="宋体" w:eastAsia="仿宋_GB2312" w:cs="仿宋_GB2312"/>
          <w:sz w:val="32"/>
          <w:szCs w:val="32"/>
        </w:rPr>
        <w:t>出国事由；公务接待费</w:t>
      </w:r>
      <w:r>
        <w:rPr>
          <w:rFonts w:ascii="仿宋_GB2312" w:hAnsi="宋体" w:eastAsia="仿宋_GB2312" w:cs="仿宋_GB2312"/>
          <w:sz w:val="32"/>
          <w:szCs w:val="32"/>
        </w:rPr>
        <w:t>0</w:t>
      </w:r>
      <w:r>
        <w:rPr>
          <w:rFonts w:hint="eastAsia" w:ascii="仿宋_GB2312" w:hAnsi="宋体" w:eastAsia="仿宋_GB2312" w:cs="仿宋_GB2312"/>
          <w:sz w:val="32"/>
          <w:szCs w:val="32"/>
        </w:rPr>
        <w:t>元，共接待</w:t>
      </w:r>
      <w:r>
        <w:rPr>
          <w:rFonts w:ascii="仿宋_GB2312" w:hAnsi="宋体" w:eastAsia="仿宋_GB2312" w:cs="仿宋_GB2312"/>
          <w:sz w:val="32"/>
          <w:szCs w:val="32"/>
        </w:rPr>
        <w:t>0</w:t>
      </w:r>
      <w:r>
        <w:rPr>
          <w:rFonts w:hint="eastAsia" w:ascii="仿宋_GB2312" w:hAnsi="宋体" w:eastAsia="仿宋_GB2312" w:cs="仿宋_GB2312"/>
          <w:sz w:val="32"/>
          <w:szCs w:val="32"/>
        </w:rPr>
        <w:t>批次人次；公务用车购置</w:t>
      </w:r>
      <w:r>
        <w:rPr>
          <w:rFonts w:ascii="仿宋_GB2312" w:hAnsi="宋体" w:eastAsia="仿宋_GB2312" w:cs="仿宋_GB2312"/>
          <w:sz w:val="32"/>
          <w:szCs w:val="32"/>
        </w:rPr>
        <w:t>0</w:t>
      </w:r>
      <w:r>
        <w:rPr>
          <w:rFonts w:hint="eastAsia" w:ascii="仿宋_GB2312" w:hAnsi="宋体" w:eastAsia="仿宋_GB2312" w:cs="仿宋_GB2312"/>
          <w:sz w:val="32"/>
          <w:szCs w:val="32"/>
        </w:rPr>
        <w:t>元，年末公务用车保有量为</w:t>
      </w:r>
      <w:r>
        <w:rPr>
          <w:rFonts w:ascii="仿宋_GB2312" w:hAnsi="宋体" w:eastAsia="仿宋_GB2312"/>
          <w:sz w:val="32"/>
          <w:szCs w:val="32"/>
        </w:rPr>
        <w:t>3</w:t>
      </w:r>
      <w:r>
        <w:rPr>
          <w:rFonts w:hint="eastAsia" w:ascii="仿宋_GB2312" w:hAnsi="宋体" w:eastAsia="仿宋_GB2312" w:cs="仿宋_GB2312"/>
          <w:sz w:val="32"/>
          <w:szCs w:val="32"/>
        </w:rPr>
        <w:t>辆；公务用车维护费</w:t>
      </w:r>
      <w:r>
        <w:rPr>
          <w:rFonts w:ascii="仿宋_GB2312" w:hAnsi="宋体" w:eastAsia="仿宋_GB2312" w:cs="仿宋_GB2312"/>
          <w:sz w:val="32"/>
          <w:szCs w:val="32"/>
        </w:rPr>
        <w:t>45000</w:t>
      </w:r>
      <w:r>
        <w:rPr>
          <w:rFonts w:hint="eastAsia" w:ascii="仿宋_GB2312" w:hAnsi="宋体" w:eastAsia="仿宋_GB2312" w:cs="仿宋_GB2312"/>
          <w:sz w:val="32"/>
          <w:szCs w:val="32"/>
        </w:rPr>
        <w:t>元。</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三公”经费较上年相比多（少）支出元，其中：因公出国费用多（少）支元；公务接待费多（少）支出元；公务用车购置费多（少）支出元；公务用车维护费多（少）支出元。主要原因为：“三公”经费较上年相比无增减变化，按照规定，严格控制“三公”经费支出。</w:t>
      </w:r>
    </w:p>
    <w:p>
      <w:pPr>
        <w:snapToGrid w:val="0"/>
        <w:spacing w:line="560" w:lineRule="exact"/>
        <w:ind w:firstLine="640" w:firstLineChars="20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年会议费</w:t>
      </w:r>
      <w:r>
        <w:rPr>
          <w:rFonts w:ascii="仿宋_GB2312" w:hAnsi="宋体" w:eastAsia="仿宋_GB2312" w:cs="仿宋_GB2312"/>
          <w:sz w:val="32"/>
          <w:szCs w:val="32"/>
        </w:rPr>
        <w:t>0</w:t>
      </w:r>
      <w:r>
        <w:rPr>
          <w:rFonts w:hint="eastAsia" w:ascii="仿宋_GB2312" w:hAnsi="宋体" w:eastAsia="仿宋_GB2312" w:cs="仿宋_GB2312"/>
          <w:sz w:val="32"/>
          <w:szCs w:val="32"/>
        </w:rPr>
        <w:t>元，主要是：本单位无会议费。</w:t>
      </w:r>
      <w:r>
        <w:rPr>
          <w:rFonts w:ascii="仿宋_GB2312" w:hAnsi="宋体" w:eastAsia="仿宋_GB2312" w:cs="仿宋_GB2312"/>
          <w:sz w:val="32"/>
          <w:szCs w:val="32"/>
        </w:rPr>
        <w:t xml:space="preserve"> </w:t>
      </w:r>
    </w:p>
    <w:p>
      <w:pPr>
        <w:snapToGrid w:val="0"/>
        <w:spacing w:line="560" w:lineRule="exact"/>
        <w:ind w:firstLine="640" w:firstLineChars="20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年培训费</w:t>
      </w:r>
      <w:r>
        <w:rPr>
          <w:rFonts w:ascii="仿宋_GB2312" w:hAnsi="宋体" w:eastAsia="仿宋_GB2312" w:cs="仿宋_GB2312"/>
          <w:sz w:val="32"/>
          <w:szCs w:val="32"/>
        </w:rPr>
        <w:t>0</w:t>
      </w:r>
      <w:r>
        <w:rPr>
          <w:rFonts w:hint="eastAsia" w:ascii="仿宋_GB2312" w:hAnsi="宋体" w:eastAsia="仿宋_GB2312" w:cs="仿宋_GB2312"/>
          <w:sz w:val="32"/>
          <w:szCs w:val="32"/>
        </w:rPr>
        <w:t>元，主要是：本单位无培训费。</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六、预算执行情况说明</w:t>
      </w:r>
    </w:p>
    <w:p>
      <w:pPr>
        <w:snapToGrid w:val="0"/>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年本年收入</w:t>
      </w:r>
      <w:r>
        <w:rPr>
          <w:rFonts w:ascii="仿宋_GB2312" w:hAnsi="宋体" w:eastAsia="仿宋_GB2312" w:cs="仿宋_GB2312"/>
          <w:sz w:val="32"/>
          <w:szCs w:val="32"/>
        </w:rPr>
        <w:t>16395342.15</w:t>
      </w:r>
      <w:r>
        <w:rPr>
          <w:rFonts w:hint="eastAsia" w:ascii="仿宋_GB2312" w:hAnsi="宋体" w:eastAsia="仿宋_GB2312" w:cs="仿宋_GB2312"/>
          <w:sz w:val="32"/>
          <w:szCs w:val="32"/>
        </w:rPr>
        <w:t>元，比</w:t>
      </w:r>
      <w:r>
        <w:rPr>
          <w:rFonts w:ascii="仿宋_GB2312" w:hAnsi="宋体" w:eastAsia="仿宋_GB2312" w:cs="仿宋_GB2312"/>
          <w:sz w:val="32"/>
          <w:szCs w:val="32"/>
        </w:rPr>
        <w:t>2015</w:t>
      </w:r>
      <w:r>
        <w:rPr>
          <w:rFonts w:hint="eastAsia" w:ascii="仿宋_GB2312" w:hAnsi="宋体" w:eastAsia="仿宋_GB2312" w:cs="仿宋_GB2312"/>
          <w:sz w:val="32"/>
          <w:szCs w:val="32"/>
        </w:rPr>
        <w:t>年减少</w:t>
      </w:r>
      <w:r>
        <w:rPr>
          <w:rFonts w:ascii="仿宋_GB2312" w:hAnsi="宋体" w:eastAsia="仿宋_GB2312" w:cs="仿宋_GB2312"/>
          <w:sz w:val="32"/>
          <w:szCs w:val="32"/>
        </w:rPr>
        <w:t>1439390.62</w:t>
      </w:r>
      <w:r>
        <w:rPr>
          <w:rFonts w:hint="eastAsia" w:ascii="仿宋_GB2312" w:hAnsi="宋体" w:eastAsia="仿宋_GB2312" w:cs="仿宋_GB2312"/>
          <w:sz w:val="32"/>
          <w:szCs w:val="32"/>
        </w:rPr>
        <w:t>元，减少原因：行政事业类项目减少。</w:t>
      </w:r>
    </w:p>
    <w:p>
      <w:pPr>
        <w:snapToGrid w:val="0"/>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年本年支出</w:t>
      </w:r>
      <w:r>
        <w:rPr>
          <w:rFonts w:ascii="仿宋_GB2312" w:hAnsi="宋体" w:eastAsia="仿宋_GB2312" w:cs="仿宋_GB2312"/>
          <w:sz w:val="32"/>
          <w:szCs w:val="32"/>
        </w:rPr>
        <w:t>16395342.15</w:t>
      </w:r>
      <w:r>
        <w:rPr>
          <w:rFonts w:hint="eastAsia" w:ascii="仿宋_GB2312" w:hAnsi="宋体" w:eastAsia="仿宋_GB2312" w:cs="仿宋_GB2312"/>
          <w:sz w:val="32"/>
          <w:szCs w:val="32"/>
        </w:rPr>
        <w:t>元，比</w:t>
      </w:r>
      <w:r>
        <w:rPr>
          <w:rFonts w:ascii="仿宋_GB2312" w:hAnsi="宋体" w:eastAsia="仿宋_GB2312" w:cs="仿宋_GB2312"/>
          <w:sz w:val="32"/>
          <w:szCs w:val="32"/>
        </w:rPr>
        <w:t>2015</w:t>
      </w:r>
      <w:r>
        <w:rPr>
          <w:rFonts w:hint="eastAsia" w:ascii="仿宋_GB2312" w:hAnsi="宋体" w:eastAsia="仿宋_GB2312" w:cs="仿宋_GB2312"/>
          <w:sz w:val="32"/>
          <w:szCs w:val="32"/>
        </w:rPr>
        <w:t>年减少</w:t>
      </w:r>
      <w:r>
        <w:rPr>
          <w:rFonts w:ascii="仿宋_GB2312" w:hAnsi="宋体" w:eastAsia="仿宋_GB2312" w:cs="仿宋_GB2312"/>
          <w:sz w:val="32"/>
          <w:szCs w:val="32"/>
        </w:rPr>
        <w:t>1439390.62</w:t>
      </w:r>
      <w:r>
        <w:rPr>
          <w:rFonts w:hint="eastAsia" w:ascii="仿宋_GB2312" w:hAnsi="宋体" w:eastAsia="仿宋_GB2312" w:cs="仿宋_GB2312"/>
          <w:sz w:val="32"/>
          <w:szCs w:val="32"/>
        </w:rPr>
        <w:t>元，减少原因：行政事业类项目减少。</w:t>
      </w:r>
    </w:p>
    <w:p>
      <w:pPr>
        <w:snapToGrid w:val="0"/>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年财政拨款支出</w:t>
      </w:r>
      <w:r>
        <w:rPr>
          <w:rFonts w:ascii="仿宋_GB2312" w:hAnsi="宋体" w:eastAsia="仿宋_GB2312" w:cs="仿宋_GB2312"/>
          <w:sz w:val="32"/>
          <w:szCs w:val="32"/>
        </w:rPr>
        <w:t>16395342.15</w:t>
      </w:r>
      <w:r>
        <w:rPr>
          <w:rFonts w:hint="eastAsia" w:ascii="仿宋_GB2312" w:hAnsi="宋体" w:eastAsia="仿宋_GB2312" w:cs="仿宋_GB2312"/>
          <w:sz w:val="32"/>
          <w:szCs w:val="32"/>
        </w:rPr>
        <w:t>元，年初预算数</w:t>
      </w:r>
      <w:r>
        <w:rPr>
          <w:rFonts w:ascii="仿宋_GB2312" w:hAnsi="宋体" w:eastAsia="仿宋_GB2312" w:cs="仿宋_GB2312"/>
          <w:sz w:val="32"/>
          <w:szCs w:val="32"/>
        </w:rPr>
        <w:t>9130755.9</w:t>
      </w:r>
      <w:r>
        <w:rPr>
          <w:rFonts w:hint="eastAsia" w:ascii="仿宋_GB2312" w:hAnsi="宋体" w:eastAsia="仿宋_GB2312" w:cs="仿宋_GB2312"/>
          <w:sz w:val="32"/>
          <w:szCs w:val="32"/>
        </w:rPr>
        <w:t>元，差异原因为：上年度不含站所社人员经费，本年增加。</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七、决算公开其他重要事项情况说明</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（一）机关运行经费支出情况</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年叶城县乌吉热克乡人民政府机关运行经费支出</w:t>
      </w:r>
      <w:r>
        <w:rPr>
          <w:rFonts w:ascii="仿宋_GB2312" w:hAnsi="宋体" w:eastAsia="仿宋_GB2312" w:cs="仿宋_GB2312"/>
          <w:sz w:val="32"/>
          <w:szCs w:val="32"/>
        </w:rPr>
        <w:t>304000.00</w:t>
      </w:r>
      <w:r>
        <w:rPr>
          <w:rFonts w:hint="eastAsia" w:ascii="仿宋_GB2312" w:hAnsi="宋体" w:eastAsia="仿宋_GB2312" w:cs="仿宋_GB2312"/>
          <w:sz w:val="32"/>
          <w:szCs w:val="32"/>
        </w:rPr>
        <w:t>元，比</w:t>
      </w:r>
      <w:r>
        <w:rPr>
          <w:rFonts w:ascii="仿宋_GB2312" w:hAnsi="宋体" w:eastAsia="仿宋_GB2312" w:cs="仿宋_GB2312"/>
          <w:sz w:val="32"/>
          <w:szCs w:val="32"/>
        </w:rPr>
        <w:t>2015</w:t>
      </w:r>
      <w:r>
        <w:rPr>
          <w:rFonts w:hint="eastAsia" w:ascii="仿宋_GB2312" w:hAnsi="宋体" w:eastAsia="仿宋_GB2312" w:cs="仿宋_GB2312"/>
          <w:sz w:val="32"/>
          <w:szCs w:val="32"/>
        </w:rPr>
        <w:t>年增加</w:t>
      </w:r>
      <w:r>
        <w:rPr>
          <w:rFonts w:ascii="仿宋_GB2312" w:hAnsi="宋体" w:eastAsia="仿宋_GB2312" w:cs="仿宋_GB2312"/>
          <w:sz w:val="32"/>
          <w:szCs w:val="32"/>
        </w:rPr>
        <w:t>87500</w:t>
      </w:r>
      <w:r>
        <w:rPr>
          <w:rFonts w:hint="eastAsia" w:ascii="仿宋_GB2312" w:hAnsi="宋体" w:eastAsia="仿宋_GB2312" w:cs="仿宋_GB2312"/>
          <w:sz w:val="32"/>
          <w:szCs w:val="32"/>
        </w:rPr>
        <w:t>元，增加</w:t>
      </w:r>
      <w:r>
        <w:rPr>
          <w:rFonts w:ascii="仿宋_GB2312" w:hAnsi="宋体" w:eastAsia="仿宋_GB2312" w:cs="仿宋_GB2312"/>
          <w:sz w:val="32"/>
          <w:szCs w:val="32"/>
        </w:rPr>
        <w:t xml:space="preserve">40.42% </w:t>
      </w:r>
      <w:r>
        <w:rPr>
          <w:rFonts w:hint="eastAsia" w:ascii="仿宋_GB2312" w:hAnsi="宋体" w:eastAsia="仿宋_GB2312" w:cs="仿宋_GB2312"/>
          <w:sz w:val="32"/>
          <w:szCs w:val="32"/>
        </w:rPr>
        <w:t>，主要原因是：上年度不含站所社人员经费，本年增加。</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（二）政府采购支出情况</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年，叶城县乌吉热克乡人民政府采购支出总额</w:t>
      </w:r>
      <w:r>
        <w:rPr>
          <w:rFonts w:ascii="仿宋_GB2312" w:hAnsi="宋体" w:eastAsia="仿宋_GB2312" w:cs="仿宋_GB2312"/>
          <w:sz w:val="32"/>
          <w:szCs w:val="32"/>
        </w:rPr>
        <w:t>793400</w:t>
      </w:r>
      <w:r>
        <w:rPr>
          <w:rFonts w:hint="eastAsia" w:ascii="仿宋_GB2312" w:hAnsi="宋体" w:eastAsia="仿宋_GB2312" w:cs="仿宋_GB2312"/>
          <w:sz w:val="32"/>
          <w:szCs w:val="32"/>
        </w:rPr>
        <w:t>元，其中政府采购货物支出</w:t>
      </w:r>
      <w:r>
        <w:rPr>
          <w:rFonts w:ascii="仿宋_GB2312" w:hAnsi="宋体" w:eastAsia="仿宋_GB2312" w:cs="仿宋_GB2312"/>
          <w:sz w:val="32"/>
          <w:szCs w:val="32"/>
        </w:rPr>
        <w:t>793400</w:t>
      </w:r>
      <w:r>
        <w:rPr>
          <w:rFonts w:hint="eastAsia" w:ascii="仿宋_GB2312" w:hAnsi="宋体" w:eastAsia="仿宋_GB2312" w:cs="仿宋_GB2312"/>
          <w:sz w:val="32"/>
          <w:szCs w:val="32"/>
        </w:rPr>
        <w:t>元，政府采购工程支出</w:t>
      </w:r>
      <w:r>
        <w:rPr>
          <w:rFonts w:ascii="仿宋_GB2312" w:hAnsi="宋体" w:eastAsia="仿宋_GB2312" w:cs="仿宋_GB2312"/>
          <w:sz w:val="32"/>
          <w:szCs w:val="32"/>
        </w:rPr>
        <w:t>0</w:t>
      </w:r>
      <w:r>
        <w:rPr>
          <w:rFonts w:hint="eastAsia" w:ascii="仿宋_GB2312" w:hAnsi="宋体" w:eastAsia="仿宋_GB2312" w:cs="仿宋_GB2312"/>
          <w:sz w:val="32"/>
          <w:szCs w:val="32"/>
        </w:rPr>
        <w:t>元，政府采购服务支出</w:t>
      </w:r>
      <w:r>
        <w:rPr>
          <w:rFonts w:ascii="仿宋_GB2312" w:hAnsi="宋体" w:eastAsia="仿宋_GB2312" w:cs="仿宋_GB2312"/>
          <w:sz w:val="32"/>
          <w:szCs w:val="32"/>
        </w:rPr>
        <w:t>0</w:t>
      </w:r>
      <w:r>
        <w:rPr>
          <w:rFonts w:hint="eastAsia" w:ascii="仿宋_GB2312" w:hAnsi="宋体" w:eastAsia="仿宋_GB2312" w:cs="仿宋_GB2312"/>
          <w:sz w:val="32"/>
          <w:szCs w:val="32"/>
        </w:rPr>
        <w:t>元。喀什地区为偏远地区，参与招投标的供应商基本为中小微企业。</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（三）国有资产占用情况</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lang w:eastAsia="zh-CN"/>
        </w:rPr>
        <w:t>截至</w:t>
      </w:r>
      <w:r>
        <w:rPr>
          <w:rFonts w:ascii="仿宋_GB2312" w:hAnsi="宋体" w:eastAsia="仿宋_GB2312" w:cs="仿宋_GB2312"/>
          <w:sz w:val="32"/>
          <w:szCs w:val="32"/>
        </w:rPr>
        <w:t>2016</w:t>
      </w:r>
      <w:r>
        <w:rPr>
          <w:rFonts w:hint="eastAsia" w:ascii="仿宋_GB2312" w:hAnsi="宋体" w:eastAsia="仿宋_GB2312" w:cs="仿宋_GB2312"/>
          <w:sz w:val="32"/>
          <w:szCs w:val="32"/>
        </w:rPr>
        <w:t>年</w:t>
      </w:r>
      <w:r>
        <w:rPr>
          <w:rFonts w:ascii="仿宋_GB2312" w:hAnsi="宋体" w:eastAsia="仿宋_GB2312" w:cs="仿宋_GB2312"/>
          <w:sz w:val="32"/>
          <w:szCs w:val="32"/>
        </w:rPr>
        <w:t>12</w:t>
      </w:r>
      <w:r>
        <w:rPr>
          <w:rFonts w:hint="eastAsia" w:ascii="仿宋_GB2312" w:hAnsi="宋体" w:eastAsia="仿宋_GB2312" w:cs="仿宋_GB2312"/>
          <w:sz w:val="32"/>
          <w:szCs w:val="32"/>
        </w:rPr>
        <w:t>月</w:t>
      </w:r>
      <w:r>
        <w:rPr>
          <w:rFonts w:ascii="仿宋_GB2312" w:hAnsi="宋体" w:eastAsia="仿宋_GB2312" w:cs="仿宋_GB2312"/>
          <w:sz w:val="32"/>
          <w:szCs w:val="32"/>
        </w:rPr>
        <w:t>31</w:t>
      </w:r>
      <w:r>
        <w:rPr>
          <w:rFonts w:hint="eastAsia" w:ascii="仿宋_GB2312" w:hAnsi="宋体" w:eastAsia="仿宋_GB2312" w:cs="仿宋_GB2312"/>
          <w:sz w:val="32"/>
          <w:szCs w:val="32"/>
        </w:rPr>
        <w:t>日，本单位共有车辆</w:t>
      </w:r>
      <w:r>
        <w:rPr>
          <w:rFonts w:ascii="仿宋_GB2312" w:hAnsi="宋体" w:eastAsia="仿宋_GB2312" w:cs="仿宋_GB2312"/>
          <w:sz w:val="32"/>
          <w:szCs w:val="32"/>
        </w:rPr>
        <w:t>7</w:t>
      </w:r>
      <w:r>
        <w:rPr>
          <w:rFonts w:hint="eastAsia" w:ascii="仿宋_GB2312" w:hAnsi="宋体" w:eastAsia="仿宋_GB2312" w:cs="仿宋_GB2312"/>
          <w:sz w:val="32"/>
          <w:szCs w:val="32"/>
        </w:rPr>
        <w:t>辆，其中一般公务用车</w:t>
      </w:r>
      <w:r>
        <w:rPr>
          <w:rFonts w:ascii="仿宋_GB2312" w:hAnsi="宋体" w:eastAsia="仿宋_GB2312" w:cs="仿宋_GB2312"/>
          <w:sz w:val="32"/>
          <w:szCs w:val="32"/>
        </w:rPr>
        <w:t>2</w:t>
      </w:r>
      <w:r>
        <w:rPr>
          <w:rFonts w:hint="eastAsia" w:ascii="仿宋_GB2312" w:hAnsi="宋体" w:eastAsia="仿宋_GB2312" w:cs="仿宋_GB2312"/>
          <w:sz w:val="32"/>
          <w:szCs w:val="32"/>
        </w:rPr>
        <w:t>辆，一般用车</w:t>
      </w:r>
      <w:r>
        <w:rPr>
          <w:rFonts w:ascii="仿宋_GB2312" w:hAnsi="宋体" w:eastAsia="仿宋_GB2312" w:cs="仿宋_GB2312"/>
          <w:sz w:val="32"/>
          <w:szCs w:val="32"/>
        </w:rPr>
        <w:t>2</w:t>
      </w:r>
      <w:r>
        <w:rPr>
          <w:rFonts w:hint="eastAsia" w:ascii="仿宋_GB2312" w:hAnsi="宋体" w:eastAsia="仿宋_GB2312" w:cs="仿宋_GB2312"/>
          <w:sz w:val="32"/>
          <w:szCs w:val="32"/>
        </w:rPr>
        <w:t>辆，专业用车</w:t>
      </w:r>
      <w:r>
        <w:rPr>
          <w:rFonts w:ascii="仿宋_GB2312" w:hAnsi="宋体" w:eastAsia="仿宋_GB2312" w:cs="仿宋_GB2312"/>
          <w:sz w:val="32"/>
          <w:szCs w:val="32"/>
        </w:rPr>
        <w:t>3</w:t>
      </w:r>
      <w:r>
        <w:rPr>
          <w:rFonts w:hint="eastAsia" w:ascii="仿宋_GB2312" w:hAnsi="宋体" w:eastAsia="仿宋_GB2312" w:cs="仿宋_GB2312"/>
          <w:sz w:val="32"/>
          <w:szCs w:val="32"/>
        </w:rPr>
        <w:t>辆，其他车辆</w:t>
      </w:r>
      <w:r>
        <w:rPr>
          <w:rFonts w:ascii="仿宋_GB2312" w:hAnsi="宋体" w:eastAsia="仿宋_GB2312" w:cs="仿宋_GB2312"/>
          <w:sz w:val="32"/>
          <w:szCs w:val="32"/>
        </w:rPr>
        <w:t>0</w:t>
      </w:r>
      <w:r>
        <w:rPr>
          <w:rFonts w:hint="eastAsia" w:ascii="仿宋_GB2312" w:hAnsi="宋体" w:eastAsia="仿宋_GB2312" w:cs="仿宋_GB2312"/>
          <w:sz w:val="32"/>
          <w:szCs w:val="32"/>
        </w:rPr>
        <w:t>辆，其他用车</w:t>
      </w:r>
      <w:r>
        <w:rPr>
          <w:rFonts w:ascii="仿宋_GB2312" w:hAnsi="宋体" w:eastAsia="仿宋_GB2312" w:cs="仿宋_GB2312"/>
          <w:sz w:val="32"/>
          <w:szCs w:val="32"/>
        </w:rPr>
        <w:t>0</w:t>
      </w:r>
      <w:r>
        <w:rPr>
          <w:rFonts w:hint="eastAsia" w:ascii="仿宋_GB2312" w:hAnsi="宋体" w:eastAsia="仿宋_GB2312" w:cs="仿宋_GB2312"/>
          <w:sz w:val="32"/>
          <w:szCs w:val="32"/>
        </w:rPr>
        <w:t>辆，单位价值在</w:t>
      </w:r>
      <w:r>
        <w:rPr>
          <w:rFonts w:ascii="仿宋_GB2312" w:hAnsi="宋体" w:eastAsia="仿宋_GB2312" w:cs="仿宋_GB2312"/>
          <w:sz w:val="32"/>
          <w:szCs w:val="32"/>
        </w:rPr>
        <w:t>50</w:t>
      </w:r>
      <w:r>
        <w:rPr>
          <w:rFonts w:hint="eastAsia" w:ascii="仿宋_GB2312" w:hAnsi="宋体" w:eastAsia="仿宋_GB2312" w:cs="仿宋_GB2312"/>
          <w:sz w:val="32"/>
          <w:szCs w:val="32"/>
        </w:rPr>
        <w:t>万元以上的设备</w:t>
      </w:r>
      <w:r>
        <w:rPr>
          <w:rFonts w:ascii="仿宋_GB2312" w:hAnsi="宋体" w:eastAsia="仿宋_GB2312" w:cs="仿宋_GB2312"/>
          <w:sz w:val="32"/>
          <w:szCs w:val="32"/>
        </w:rPr>
        <w:t>0</w:t>
      </w:r>
      <w:r>
        <w:rPr>
          <w:rFonts w:hint="eastAsia" w:ascii="仿宋_GB2312" w:hAnsi="宋体" w:eastAsia="仿宋_GB2312" w:cs="仿宋_GB2312"/>
          <w:sz w:val="32"/>
          <w:szCs w:val="32"/>
        </w:rPr>
        <w:t>台（套），价值</w:t>
      </w:r>
      <w:r>
        <w:rPr>
          <w:rFonts w:ascii="仿宋_GB2312" w:hAnsi="宋体" w:eastAsia="仿宋_GB2312" w:cs="仿宋_GB2312"/>
          <w:sz w:val="32"/>
          <w:szCs w:val="32"/>
        </w:rPr>
        <w:t>0</w:t>
      </w:r>
      <w:r>
        <w:rPr>
          <w:rFonts w:hint="eastAsia" w:ascii="仿宋_GB2312" w:hAnsi="宋体" w:eastAsia="仿宋_GB2312" w:cs="仿宋_GB2312"/>
          <w:sz w:val="32"/>
          <w:szCs w:val="32"/>
        </w:rPr>
        <w:t>元。</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（四）民生项目、重点支出项目绩效评价结果</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年，叶城县乌吉热克乡人民政府共组织对</w:t>
      </w:r>
      <w:r>
        <w:rPr>
          <w:rFonts w:ascii="仿宋_GB2312" w:hAnsi="宋体" w:eastAsia="仿宋_GB2312" w:cs="仿宋_GB2312"/>
          <w:sz w:val="32"/>
          <w:szCs w:val="32"/>
        </w:rPr>
        <w:t>8</w:t>
      </w:r>
      <w:r>
        <w:rPr>
          <w:rFonts w:hint="eastAsia" w:ascii="仿宋_GB2312" w:hAnsi="宋体" w:eastAsia="仿宋_GB2312" w:cs="仿宋_GB2312"/>
          <w:sz w:val="32"/>
          <w:szCs w:val="32"/>
        </w:rPr>
        <w:t>个项目进行了预算绩效评价，涉及一般公共预算当年财政拨款</w:t>
      </w:r>
      <w:r>
        <w:rPr>
          <w:rFonts w:ascii="仿宋_GB2312" w:hAnsi="宋体" w:eastAsia="仿宋_GB2312" w:cs="仿宋_GB2312"/>
          <w:sz w:val="32"/>
          <w:szCs w:val="32"/>
        </w:rPr>
        <w:t>3979027.00</w:t>
      </w:r>
      <w:r>
        <w:rPr>
          <w:rFonts w:hint="eastAsia" w:ascii="仿宋_GB2312" w:hAnsi="宋体" w:eastAsia="仿宋_GB2312" w:cs="仿宋_GB2312"/>
          <w:sz w:val="32"/>
          <w:szCs w:val="32"/>
        </w:rPr>
        <w:t>元。绩效评价结果：乡镇扶贫项目，对乡镇基础设施建设、经济林建设、土地平整、棚圈、庭院经济等项抽搐，大力解决农村贫困现象，改善乡村贫困落后状况。</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（五）事业收入明细、经营收入明细</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按收入项目分别列示：本单位是行政单位，无事业收入和经营收入。</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八、专业名词解释</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（一）财政拨款收入：指单位本年度从本级财政部门取得得财政拨款。</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（二）事业收入：指事业单位开展专业业务活动及辅助活动所取得的收入。</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（三）经营收入：指事业单位在专业业务活动及其辅助活动之外开展非独立核算经营活动取得的收入。</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（四）其他收入：指除上述“财政拨款收入”、“事业收入”、“经营收入”等以外的收入。</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w:t>
      </w:r>
      <w:r>
        <w:rPr>
          <w:rFonts w:hint="eastAsia" w:ascii="仿宋_GB2312" w:hAnsi="宋体" w:eastAsia="仿宋_GB2312" w:cs="仿宋_GB2312"/>
          <w:sz w:val="32"/>
          <w:szCs w:val="32"/>
        </w:rPr>
        <w:t>五</w:t>
      </w:r>
      <w:r>
        <w:rPr>
          <w:rFonts w:ascii="仿宋_GB2312" w:hAnsi="宋体" w:eastAsia="仿宋_GB2312" w:cs="仿宋_GB2312"/>
          <w:sz w:val="32"/>
          <w:szCs w:val="32"/>
        </w:rPr>
        <w:t>)</w:t>
      </w:r>
      <w:r>
        <w:rPr>
          <w:rFonts w:hint="eastAsia" w:ascii="仿宋_GB2312" w:hAnsi="宋体" w:eastAsia="仿宋_GB2312" w:cs="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（六）年初结转和结余：指以前年度尚未完成、结转到本年按有关规定继续使用的资金。</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（七）结余分配：指事业单位按规定提取的职工福利基</w:t>
      </w:r>
    </w:p>
    <w:p>
      <w:pPr>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金、事业基金和缴纳的所得税，以及建设单位按规定应交回的基本建设竣工项目结余资金。</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（八）年末结转和结余：指本年度或以前年度预算安排、</w:t>
      </w:r>
    </w:p>
    <w:p>
      <w:pPr>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因客观条件发生变化无法按原计划实施，需要延迟到以后年度按有关规定继续使用的资金。</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（九）基本支出：指为保障机构正常运转、完成日常工作任务而发生的人员支出和公用支出。</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（十）项目支出：指在基本支出之外为完成特定行政任务和事业发展目标所发生的支出。</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（十一）经营支出：指事业单位在专业业务活动及其辅助活动之外开展非独立核算经营活动发生的支出。</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二）“三公”经费：纳入财政预决算管理的“三公”经费，是指各单位用财政拨款安排的因公外出费、公务用车购置及运行费和公务接待费。其中，因公外出费反映单位公务外出的外出旅费、城市间交通费、住宿费、、培训费、公杂费等支出；公务用车购置及运行费反映单位公务用车车辆购置支出（含车辆购置税）及租用费、燃料费、维修费、过路过桥费、保险费、奖励费用等支出；公务接待费反映单位按规定开支的各类公务接待支出。</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三）机关运行经费：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spacing w:line="560" w:lineRule="exact"/>
        <w:ind w:firstLine="640" w:firstLineChars="200"/>
        <w:rPr>
          <w:rFonts w:ascii="仿宋_GB2312" w:hAnsi="宋体" w:eastAsia="仿宋_GB2312" w:cs="仿宋_GB2312"/>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93ACD"/>
    <w:multiLevelType w:val="multilevel"/>
    <w:tmpl w:val="3C693ACD"/>
    <w:lvl w:ilvl="0" w:tentative="0">
      <w:start w:val="1"/>
      <w:numFmt w:val="japaneseCounting"/>
      <w:lvlText w:val="%1、"/>
      <w:lvlJc w:val="left"/>
      <w:pPr>
        <w:ind w:left="1322" w:hanging="720"/>
      </w:pPr>
      <w:rPr>
        <w:rFonts w:hint="default" w:cs="Times New Roman"/>
      </w:rPr>
    </w:lvl>
    <w:lvl w:ilvl="1" w:tentative="0">
      <w:start w:val="1"/>
      <w:numFmt w:val="lowerLetter"/>
      <w:lvlText w:val="%2)"/>
      <w:lvlJc w:val="left"/>
      <w:pPr>
        <w:ind w:left="1442" w:hanging="420"/>
      </w:pPr>
      <w:rPr>
        <w:rFonts w:cs="Times New Roman"/>
      </w:rPr>
    </w:lvl>
    <w:lvl w:ilvl="2" w:tentative="0">
      <w:start w:val="1"/>
      <w:numFmt w:val="lowerRoman"/>
      <w:lvlText w:val="%3."/>
      <w:lvlJc w:val="right"/>
      <w:pPr>
        <w:ind w:left="1862" w:hanging="420"/>
      </w:pPr>
      <w:rPr>
        <w:rFonts w:cs="Times New Roman"/>
      </w:rPr>
    </w:lvl>
    <w:lvl w:ilvl="3" w:tentative="0">
      <w:start w:val="1"/>
      <w:numFmt w:val="decimal"/>
      <w:lvlText w:val="%4."/>
      <w:lvlJc w:val="left"/>
      <w:pPr>
        <w:ind w:left="2282" w:hanging="420"/>
      </w:pPr>
      <w:rPr>
        <w:rFonts w:cs="Times New Roman"/>
      </w:rPr>
    </w:lvl>
    <w:lvl w:ilvl="4" w:tentative="0">
      <w:start w:val="1"/>
      <w:numFmt w:val="lowerLetter"/>
      <w:lvlText w:val="%5)"/>
      <w:lvlJc w:val="left"/>
      <w:pPr>
        <w:ind w:left="2702" w:hanging="420"/>
      </w:pPr>
      <w:rPr>
        <w:rFonts w:cs="Times New Roman"/>
      </w:rPr>
    </w:lvl>
    <w:lvl w:ilvl="5" w:tentative="0">
      <w:start w:val="1"/>
      <w:numFmt w:val="lowerRoman"/>
      <w:lvlText w:val="%6."/>
      <w:lvlJc w:val="right"/>
      <w:pPr>
        <w:ind w:left="3122" w:hanging="420"/>
      </w:pPr>
      <w:rPr>
        <w:rFonts w:cs="Times New Roman"/>
      </w:rPr>
    </w:lvl>
    <w:lvl w:ilvl="6" w:tentative="0">
      <w:start w:val="1"/>
      <w:numFmt w:val="decimal"/>
      <w:lvlText w:val="%7."/>
      <w:lvlJc w:val="left"/>
      <w:pPr>
        <w:ind w:left="3542" w:hanging="420"/>
      </w:pPr>
      <w:rPr>
        <w:rFonts w:cs="Times New Roman"/>
      </w:rPr>
    </w:lvl>
    <w:lvl w:ilvl="7" w:tentative="0">
      <w:start w:val="1"/>
      <w:numFmt w:val="lowerLetter"/>
      <w:lvlText w:val="%8)"/>
      <w:lvlJc w:val="left"/>
      <w:pPr>
        <w:ind w:left="3962" w:hanging="420"/>
      </w:pPr>
      <w:rPr>
        <w:rFonts w:cs="Times New Roman"/>
      </w:rPr>
    </w:lvl>
    <w:lvl w:ilvl="8" w:tentative="0">
      <w:start w:val="1"/>
      <w:numFmt w:val="lowerRoman"/>
      <w:lvlText w:val="%9."/>
      <w:lvlJc w:val="right"/>
      <w:pPr>
        <w:ind w:left="4382" w:hanging="420"/>
      </w:pPr>
      <w:rPr>
        <w:rFonts w:cs="Times New Roman"/>
      </w:rPr>
    </w:lvl>
  </w:abstractNum>
  <w:abstractNum w:abstractNumId="1">
    <w:nsid w:val="51056E6B"/>
    <w:multiLevelType w:val="multilevel"/>
    <w:tmpl w:val="51056E6B"/>
    <w:lvl w:ilvl="0" w:tentative="0">
      <w:start w:val="2"/>
      <w:numFmt w:val="japaneseCounting"/>
      <w:lvlText w:val="%1、"/>
      <w:lvlJc w:val="left"/>
      <w:pPr>
        <w:ind w:left="1260" w:hanging="720"/>
      </w:pPr>
      <w:rPr>
        <w:rFonts w:hint="default" w:cs="Times New Roman"/>
      </w:rPr>
    </w:lvl>
    <w:lvl w:ilvl="1" w:tentative="0">
      <w:start w:val="1"/>
      <w:numFmt w:val="lowerLetter"/>
      <w:lvlText w:val="%2)"/>
      <w:lvlJc w:val="left"/>
      <w:pPr>
        <w:ind w:left="1380" w:hanging="420"/>
      </w:pPr>
      <w:rPr>
        <w:rFonts w:cs="Times New Roman"/>
      </w:rPr>
    </w:lvl>
    <w:lvl w:ilvl="2" w:tentative="0">
      <w:start w:val="1"/>
      <w:numFmt w:val="lowerRoman"/>
      <w:lvlText w:val="%3."/>
      <w:lvlJc w:val="right"/>
      <w:pPr>
        <w:ind w:left="1800" w:hanging="420"/>
      </w:pPr>
      <w:rPr>
        <w:rFonts w:cs="Times New Roman"/>
      </w:rPr>
    </w:lvl>
    <w:lvl w:ilvl="3" w:tentative="0">
      <w:start w:val="1"/>
      <w:numFmt w:val="decimal"/>
      <w:lvlText w:val="%4."/>
      <w:lvlJc w:val="left"/>
      <w:pPr>
        <w:ind w:left="2220" w:hanging="420"/>
      </w:pPr>
      <w:rPr>
        <w:rFonts w:cs="Times New Roman"/>
      </w:rPr>
    </w:lvl>
    <w:lvl w:ilvl="4" w:tentative="0">
      <w:start w:val="1"/>
      <w:numFmt w:val="lowerLetter"/>
      <w:lvlText w:val="%5)"/>
      <w:lvlJc w:val="left"/>
      <w:pPr>
        <w:ind w:left="2640" w:hanging="420"/>
      </w:pPr>
      <w:rPr>
        <w:rFonts w:cs="Times New Roman"/>
      </w:rPr>
    </w:lvl>
    <w:lvl w:ilvl="5" w:tentative="0">
      <w:start w:val="1"/>
      <w:numFmt w:val="lowerRoman"/>
      <w:lvlText w:val="%6."/>
      <w:lvlJc w:val="right"/>
      <w:pPr>
        <w:ind w:left="3060" w:hanging="420"/>
      </w:pPr>
      <w:rPr>
        <w:rFonts w:cs="Times New Roman"/>
      </w:rPr>
    </w:lvl>
    <w:lvl w:ilvl="6" w:tentative="0">
      <w:start w:val="1"/>
      <w:numFmt w:val="decimal"/>
      <w:lvlText w:val="%7."/>
      <w:lvlJc w:val="left"/>
      <w:pPr>
        <w:ind w:left="3480" w:hanging="420"/>
      </w:pPr>
      <w:rPr>
        <w:rFonts w:cs="Times New Roman"/>
      </w:rPr>
    </w:lvl>
    <w:lvl w:ilvl="7" w:tentative="0">
      <w:start w:val="1"/>
      <w:numFmt w:val="lowerLetter"/>
      <w:lvlText w:val="%8)"/>
      <w:lvlJc w:val="left"/>
      <w:pPr>
        <w:ind w:left="3900" w:hanging="420"/>
      </w:pPr>
      <w:rPr>
        <w:rFonts w:cs="Times New Roman"/>
      </w:rPr>
    </w:lvl>
    <w:lvl w:ilvl="8" w:tentative="0">
      <w:start w:val="1"/>
      <w:numFmt w:val="lowerRoman"/>
      <w:lvlText w:val="%9."/>
      <w:lvlJc w:val="right"/>
      <w:pPr>
        <w:ind w:left="4320" w:hanging="420"/>
      </w:pPr>
      <w:rPr>
        <w:rFonts w:cs="Times New Roman"/>
      </w:rPr>
    </w:lvl>
  </w:abstractNum>
  <w:abstractNum w:abstractNumId="2">
    <w:nsid w:val="59FB02DA"/>
    <w:multiLevelType w:val="singleLevel"/>
    <w:tmpl w:val="59FB02DA"/>
    <w:lvl w:ilvl="0" w:tentative="0">
      <w:start w:val="4"/>
      <w:numFmt w:val="chineseCounting"/>
      <w:suff w:val="nothing"/>
      <w:lvlText w:val="%1、"/>
      <w:lvlJc w:val="left"/>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2159"/>
    <w:rsid w:val="00006A87"/>
    <w:rsid w:val="00012D74"/>
    <w:rsid w:val="00024B7F"/>
    <w:rsid w:val="000308C3"/>
    <w:rsid w:val="00031197"/>
    <w:rsid w:val="000312F5"/>
    <w:rsid w:val="00034248"/>
    <w:rsid w:val="00036996"/>
    <w:rsid w:val="00052FE0"/>
    <w:rsid w:val="00054384"/>
    <w:rsid w:val="000703F5"/>
    <w:rsid w:val="000704AF"/>
    <w:rsid w:val="00070B61"/>
    <w:rsid w:val="0007677E"/>
    <w:rsid w:val="000775E8"/>
    <w:rsid w:val="00086A97"/>
    <w:rsid w:val="00091F7F"/>
    <w:rsid w:val="00093591"/>
    <w:rsid w:val="00094D69"/>
    <w:rsid w:val="000A0157"/>
    <w:rsid w:val="000A5DE3"/>
    <w:rsid w:val="000A65DB"/>
    <w:rsid w:val="000B1596"/>
    <w:rsid w:val="000B5213"/>
    <w:rsid w:val="000C3B20"/>
    <w:rsid w:val="000D0F68"/>
    <w:rsid w:val="000E5B19"/>
    <w:rsid w:val="000E7FFD"/>
    <w:rsid w:val="0010183B"/>
    <w:rsid w:val="00140E78"/>
    <w:rsid w:val="00142BCE"/>
    <w:rsid w:val="0014375E"/>
    <w:rsid w:val="00147040"/>
    <w:rsid w:val="00151463"/>
    <w:rsid w:val="00156D6D"/>
    <w:rsid w:val="00170582"/>
    <w:rsid w:val="00174371"/>
    <w:rsid w:val="001870FE"/>
    <w:rsid w:val="001943AB"/>
    <w:rsid w:val="001B44CC"/>
    <w:rsid w:val="001C5A7B"/>
    <w:rsid w:val="001C7692"/>
    <w:rsid w:val="001D09C9"/>
    <w:rsid w:val="001E4658"/>
    <w:rsid w:val="001E7C6A"/>
    <w:rsid w:val="001F2B9D"/>
    <w:rsid w:val="001F33C0"/>
    <w:rsid w:val="001F6C2B"/>
    <w:rsid w:val="001F6EF5"/>
    <w:rsid w:val="0020099B"/>
    <w:rsid w:val="00205C3B"/>
    <w:rsid w:val="00241526"/>
    <w:rsid w:val="00242FE4"/>
    <w:rsid w:val="00255CB7"/>
    <w:rsid w:val="00262C89"/>
    <w:rsid w:val="00263AF0"/>
    <w:rsid w:val="00263FDA"/>
    <w:rsid w:val="00265B72"/>
    <w:rsid w:val="002743C3"/>
    <w:rsid w:val="00287A2E"/>
    <w:rsid w:val="002B5B38"/>
    <w:rsid w:val="002B7745"/>
    <w:rsid w:val="002C0512"/>
    <w:rsid w:val="002C37F3"/>
    <w:rsid w:val="002C677C"/>
    <w:rsid w:val="002C740B"/>
    <w:rsid w:val="002D02F4"/>
    <w:rsid w:val="002D2BAA"/>
    <w:rsid w:val="00301E67"/>
    <w:rsid w:val="00302174"/>
    <w:rsid w:val="00303B2E"/>
    <w:rsid w:val="003158E9"/>
    <w:rsid w:val="003166A5"/>
    <w:rsid w:val="00333969"/>
    <w:rsid w:val="0033413A"/>
    <w:rsid w:val="003472C5"/>
    <w:rsid w:val="00347942"/>
    <w:rsid w:val="00347996"/>
    <w:rsid w:val="00350B5B"/>
    <w:rsid w:val="003632BC"/>
    <w:rsid w:val="00374661"/>
    <w:rsid w:val="0038274B"/>
    <w:rsid w:val="0038373F"/>
    <w:rsid w:val="003978C1"/>
    <w:rsid w:val="003B0831"/>
    <w:rsid w:val="003B594E"/>
    <w:rsid w:val="003C2E54"/>
    <w:rsid w:val="003C4FA5"/>
    <w:rsid w:val="003D0C72"/>
    <w:rsid w:val="003E0D94"/>
    <w:rsid w:val="004011AD"/>
    <w:rsid w:val="0040177E"/>
    <w:rsid w:val="00406AB0"/>
    <w:rsid w:val="00407FB0"/>
    <w:rsid w:val="00414250"/>
    <w:rsid w:val="00417715"/>
    <w:rsid w:val="00420614"/>
    <w:rsid w:val="00423C35"/>
    <w:rsid w:val="0043072D"/>
    <w:rsid w:val="00434EEE"/>
    <w:rsid w:val="00445215"/>
    <w:rsid w:val="004452FA"/>
    <w:rsid w:val="0045212A"/>
    <w:rsid w:val="00457BD9"/>
    <w:rsid w:val="004743B3"/>
    <w:rsid w:val="00486188"/>
    <w:rsid w:val="00487059"/>
    <w:rsid w:val="004928D0"/>
    <w:rsid w:val="004A08C1"/>
    <w:rsid w:val="004A28B1"/>
    <w:rsid w:val="004B6AAB"/>
    <w:rsid w:val="004C4F06"/>
    <w:rsid w:val="004D2787"/>
    <w:rsid w:val="004D48D7"/>
    <w:rsid w:val="004D65D7"/>
    <w:rsid w:val="004D6F93"/>
    <w:rsid w:val="0050291C"/>
    <w:rsid w:val="005272D8"/>
    <w:rsid w:val="00532879"/>
    <w:rsid w:val="00543A7F"/>
    <w:rsid w:val="00552B99"/>
    <w:rsid w:val="00565025"/>
    <w:rsid w:val="005766BD"/>
    <w:rsid w:val="00592401"/>
    <w:rsid w:val="00593A6C"/>
    <w:rsid w:val="00595CD5"/>
    <w:rsid w:val="005A0EA5"/>
    <w:rsid w:val="005B007A"/>
    <w:rsid w:val="005B3077"/>
    <w:rsid w:val="005D008D"/>
    <w:rsid w:val="005D5345"/>
    <w:rsid w:val="005D6922"/>
    <w:rsid w:val="005E6A21"/>
    <w:rsid w:val="00611A83"/>
    <w:rsid w:val="00642F1B"/>
    <w:rsid w:val="00647EAC"/>
    <w:rsid w:val="00652772"/>
    <w:rsid w:val="006537AC"/>
    <w:rsid w:val="00665544"/>
    <w:rsid w:val="00672B4C"/>
    <w:rsid w:val="006773BD"/>
    <w:rsid w:val="00687879"/>
    <w:rsid w:val="00687A90"/>
    <w:rsid w:val="00696752"/>
    <w:rsid w:val="006A1621"/>
    <w:rsid w:val="006A2219"/>
    <w:rsid w:val="006A56FC"/>
    <w:rsid w:val="006A7356"/>
    <w:rsid w:val="006B7CFB"/>
    <w:rsid w:val="006D0E2E"/>
    <w:rsid w:val="006D4B96"/>
    <w:rsid w:val="006E2CFE"/>
    <w:rsid w:val="006F1159"/>
    <w:rsid w:val="006F13E9"/>
    <w:rsid w:val="006F3090"/>
    <w:rsid w:val="006F3AD3"/>
    <w:rsid w:val="006F7FA8"/>
    <w:rsid w:val="0070077E"/>
    <w:rsid w:val="00700977"/>
    <w:rsid w:val="007151EF"/>
    <w:rsid w:val="007226FB"/>
    <w:rsid w:val="00771F12"/>
    <w:rsid w:val="00774810"/>
    <w:rsid w:val="00782159"/>
    <w:rsid w:val="00793D15"/>
    <w:rsid w:val="007978CD"/>
    <w:rsid w:val="007A2BDC"/>
    <w:rsid w:val="007B7E7F"/>
    <w:rsid w:val="007C1F7A"/>
    <w:rsid w:val="007D708C"/>
    <w:rsid w:val="007D75E2"/>
    <w:rsid w:val="007E0956"/>
    <w:rsid w:val="007F238C"/>
    <w:rsid w:val="008012F4"/>
    <w:rsid w:val="00807749"/>
    <w:rsid w:val="008104D1"/>
    <w:rsid w:val="00815033"/>
    <w:rsid w:val="008363CD"/>
    <w:rsid w:val="008374A2"/>
    <w:rsid w:val="00842279"/>
    <w:rsid w:val="00844D3A"/>
    <w:rsid w:val="00847706"/>
    <w:rsid w:val="00854186"/>
    <w:rsid w:val="008664F8"/>
    <w:rsid w:val="00873573"/>
    <w:rsid w:val="00877032"/>
    <w:rsid w:val="00880D0D"/>
    <w:rsid w:val="008872A2"/>
    <w:rsid w:val="00895A64"/>
    <w:rsid w:val="00895BE7"/>
    <w:rsid w:val="008A0DC9"/>
    <w:rsid w:val="008A5C2E"/>
    <w:rsid w:val="008A7B65"/>
    <w:rsid w:val="008B02AA"/>
    <w:rsid w:val="008C5ABD"/>
    <w:rsid w:val="008D28A9"/>
    <w:rsid w:val="008E26A2"/>
    <w:rsid w:val="008E716D"/>
    <w:rsid w:val="009055E5"/>
    <w:rsid w:val="009078E5"/>
    <w:rsid w:val="00910498"/>
    <w:rsid w:val="00912ADD"/>
    <w:rsid w:val="00921F8C"/>
    <w:rsid w:val="009420B7"/>
    <w:rsid w:val="00954B4B"/>
    <w:rsid w:val="00986E5F"/>
    <w:rsid w:val="009A7D21"/>
    <w:rsid w:val="009C453B"/>
    <w:rsid w:val="009C7F6B"/>
    <w:rsid w:val="009D55CD"/>
    <w:rsid w:val="009F1B75"/>
    <w:rsid w:val="009F39C7"/>
    <w:rsid w:val="009F68A2"/>
    <w:rsid w:val="009F6D25"/>
    <w:rsid w:val="00A013AA"/>
    <w:rsid w:val="00A32422"/>
    <w:rsid w:val="00A3418E"/>
    <w:rsid w:val="00A407D1"/>
    <w:rsid w:val="00A46CD4"/>
    <w:rsid w:val="00A5126E"/>
    <w:rsid w:val="00A63C42"/>
    <w:rsid w:val="00A65801"/>
    <w:rsid w:val="00A753CB"/>
    <w:rsid w:val="00A77270"/>
    <w:rsid w:val="00A87B5D"/>
    <w:rsid w:val="00A97E66"/>
    <w:rsid w:val="00AA1759"/>
    <w:rsid w:val="00AA3003"/>
    <w:rsid w:val="00AC139B"/>
    <w:rsid w:val="00AC4897"/>
    <w:rsid w:val="00AD7784"/>
    <w:rsid w:val="00B0409B"/>
    <w:rsid w:val="00B062F9"/>
    <w:rsid w:val="00B21656"/>
    <w:rsid w:val="00B23005"/>
    <w:rsid w:val="00B24563"/>
    <w:rsid w:val="00B34E8B"/>
    <w:rsid w:val="00B635BA"/>
    <w:rsid w:val="00B71809"/>
    <w:rsid w:val="00B73271"/>
    <w:rsid w:val="00B851C0"/>
    <w:rsid w:val="00B919A9"/>
    <w:rsid w:val="00BB2497"/>
    <w:rsid w:val="00BB372B"/>
    <w:rsid w:val="00C04900"/>
    <w:rsid w:val="00C05F98"/>
    <w:rsid w:val="00C15174"/>
    <w:rsid w:val="00C15A89"/>
    <w:rsid w:val="00C17D9A"/>
    <w:rsid w:val="00C337C1"/>
    <w:rsid w:val="00C4155A"/>
    <w:rsid w:val="00C45F21"/>
    <w:rsid w:val="00C51894"/>
    <w:rsid w:val="00C519BC"/>
    <w:rsid w:val="00C55E43"/>
    <w:rsid w:val="00C605BD"/>
    <w:rsid w:val="00C60ABA"/>
    <w:rsid w:val="00C61DC5"/>
    <w:rsid w:val="00C62423"/>
    <w:rsid w:val="00C709B8"/>
    <w:rsid w:val="00C955CC"/>
    <w:rsid w:val="00CA6F46"/>
    <w:rsid w:val="00CA740F"/>
    <w:rsid w:val="00CB3117"/>
    <w:rsid w:val="00CC146C"/>
    <w:rsid w:val="00CE1862"/>
    <w:rsid w:val="00CE37ED"/>
    <w:rsid w:val="00CE729B"/>
    <w:rsid w:val="00D1560E"/>
    <w:rsid w:val="00D16906"/>
    <w:rsid w:val="00D36C62"/>
    <w:rsid w:val="00D428BD"/>
    <w:rsid w:val="00D4613F"/>
    <w:rsid w:val="00D5318C"/>
    <w:rsid w:val="00D554FC"/>
    <w:rsid w:val="00D65480"/>
    <w:rsid w:val="00D72A4F"/>
    <w:rsid w:val="00D81E3D"/>
    <w:rsid w:val="00D949F7"/>
    <w:rsid w:val="00DA057C"/>
    <w:rsid w:val="00DA16BE"/>
    <w:rsid w:val="00DB13AB"/>
    <w:rsid w:val="00DB2FC5"/>
    <w:rsid w:val="00DB7E3C"/>
    <w:rsid w:val="00DE344D"/>
    <w:rsid w:val="00DE619D"/>
    <w:rsid w:val="00E053FC"/>
    <w:rsid w:val="00E339F2"/>
    <w:rsid w:val="00E505CA"/>
    <w:rsid w:val="00E51185"/>
    <w:rsid w:val="00E774D0"/>
    <w:rsid w:val="00E8388E"/>
    <w:rsid w:val="00EA5F52"/>
    <w:rsid w:val="00EB563F"/>
    <w:rsid w:val="00EB7DD0"/>
    <w:rsid w:val="00EC1979"/>
    <w:rsid w:val="00EC282F"/>
    <w:rsid w:val="00ED7C8E"/>
    <w:rsid w:val="00EE2E07"/>
    <w:rsid w:val="00EE66B1"/>
    <w:rsid w:val="00EF1F2A"/>
    <w:rsid w:val="00EF3B2C"/>
    <w:rsid w:val="00EF7B17"/>
    <w:rsid w:val="00F0364D"/>
    <w:rsid w:val="00F06CB4"/>
    <w:rsid w:val="00F07817"/>
    <w:rsid w:val="00F16C5D"/>
    <w:rsid w:val="00F453E0"/>
    <w:rsid w:val="00F627E2"/>
    <w:rsid w:val="00F633F6"/>
    <w:rsid w:val="00F650CF"/>
    <w:rsid w:val="00F81C9E"/>
    <w:rsid w:val="00F820FC"/>
    <w:rsid w:val="00F83191"/>
    <w:rsid w:val="00F86EE9"/>
    <w:rsid w:val="00FA08FE"/>
    <w:rsid w:val="00FA47C0"/>
    <w:rsid w:val="00FB61FC"/>
    <w:rsid w:val="00FC1406"/>
    <w:rsid w:val="00FF5D03"/>
    <w:rsid w:val="057C04AA"/>
    <w:rsid w:val="225F3286"/>
    <w:rsid w:val="390875D8"/>
    <w:rsid w:val="3B3137B2"/>
    <w:rsid w:val="61E555F1"/>
    <w:rsid w:val="7A860D2A"/>
    <w:rsid w:val="7C5C492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uiPriority w:val="99"/>
    <w:pPr>
      <w:ind w:left="100" w:leftChars="2500"/>
    </w:pPr>
    <w:rPr>
      <w:kern w:val="0"/>
    </w:rPr>
  </w:style>
  <w:style w:type="paragraph" w:styleId="3">
    <w:name w:val="Balloon Text"/>
    <w:basedOn w:val="1"/>
    <w:link w:val="11"/>
    <w:semiHidden/>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99"/>
    <w:rPr>
      <w:rFonts w:cs="Times New Roman"/>
    </w:rPr>
  </w:style>
  <w:style w:type="character" w:customStyle="1" w:styleId="10">
    <w:name w:val="日期 Char"/>
    <w:basedOn w:val="8"/>
    <w:link w:val="2"/>
    <w:semiHidden/>
    <w:qFormat/>
    <w:locked/>
    <w:uiPriority w:val="99"/>
    <w:rPr>
      <w:rFonts w:cs="Times New Roman"/>
      <w:sz w:val="21"/>
      <w:szCs w:val="21"/>
    </w:rPr>
  </w:style>
  <w:style w:type="character" w:customStyle="1" w:styleId="11">
    <w:name w:val="批注框文本 Char"/>
    <w:basedOn w:val="8"/>
    <w:link w:val="3"/>
    <w:qFormat/>
    <w:locked/>
    <w:uiPriority w:val="99"/>
    <w:rPr>
      <w:rFonts w:cs="Times New Roman"/>
      <w:kern w:val="2"/>
      <w:sz w:val="18"/>
      <w:szCs w:val="18"/>
    </w:rPr>
  </w:style>
  <w:style w:type="character" w:customStyle="1" w:styleId="12">
    <w:name w:val="页脚 Char"/>
    <w:basedOn w:val="8"/>
    <w:link w:val="4"/>
    <w:qFormat/>
    <w:locked/>
    <w:uiPriority w:val="99"/>
    <w:rPr>
      <w:rFonts w:cs="Times New Roman"/>
      <w:kern w:val="2"/>
      <w:sz w:val="18"/>
      <w:szCs w:val="18"/>
    </w:rPr>
  </w:style>
  <w:style w:type="character" w:customStyle="1" w:styleId="13">
    <w:name w:val="页眉 Char"/>
    <w:basedOn w:val="8"/>
    <w:link w:val="5"/>
    <w:qFormat/>
    <w:locked/>
    <w:uiPriority w:val="99"/>
    <w:rPr>
      <w:rFonts w:cs="Times New Roman"/>
      <w:kern w:val="2"/>
      <w:sz w:val="18"/>
      <w:szCs w:val="18"/>
    </w:rPr>
  </w:style>
  <w:style w:type="paragraph" w:customStyle="1" w:styleId="14">
    <w:name w:val="List Paragraph1"/>
    <w:basedOn w:val="1"/>
    <w:qFormat/>
    <w:uiPriority w:val="99"/>
    <w:pPr>
      <w:ind w:firstLine="420" w:firstLineChars="200"/>
    </w:pPr>
  </w:style>
  <w:style w:type="paragraph" w:customStyle="1" w:styleId="15">
    <w:name w:val="notice_title"/>
    <w:basedOn w:val="1"/>
    <w:qFormat/>
    <w:uiPriority w:val="99"/>
    <w:pPr>
      <w:widowControl/>
      <w:spacing w:after="225"/>
      <w:jc w:val="center"/>
    </w:pPr>
    <w:rPr>
      <w:rFonts w:ascii="宋体" w:hAnsi="宋体" w:cs="宋体"/>
      <w:b/>
      <w:bCs/>
      <w:color w:val="771325"/>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7</Pages>
  <Words>3005</Words>
  <Characters>362</Characters>
  <Lines>3</Lines>
  <Paragraphs>6</Paragraphs>
  <TotalTime>12</TotalTime>
  <ScaleCrop>false</ScaleCrop>
  <LinksUpToDate>false</LinksUpToDate>
  <CharactersWithSpaces>3361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2017-06-09T05:06:00Z</dcterms:created>
  <dc:creator>许梦如</dc:creator>
  <cp:lastModifiedBy>Administrator</cp:lastModifiedBy>
  <cp:lastPrinted>2016-08-03T02:49:00Z</cp:lastPrinted>
  <dcterms:modified xsi:type="dcterms:W3CDTF">2024-01-15T05:07:29Z</dcterms:modified>
  <dc:title>喀什地区部门决算和三公经费</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