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_GB2312"/>
          <w:sz w:val="32"/>
          <w:szCs w:val="32"/>
        </w:rPr>
        <w:t>附件1：</w:t>
      </w:r>
    </w:p>
    <w:p>
      <w:pPr>
        <w:spacing w:line="560" w:lineRule="exact"/>
        <w:jc w:val="center"/>
        <w:rPr>
          <w:rFonts w:ascii="仿宋_GB2312" w:hAnsi="宋体" w:eastAsia="仿宋_GB2312" w:cs="??_GB2312"/>
          <w:b/>
          <w:sz w:val="44"/>
          <w:szCs w:val="44"/>
        </w:rPr>
      </w:pPr>
      <w:r>
        <w:rPr>
          <w:rFonts w:hint="eastAsia" w:ascii="仿宋_GB2312" w:hAnsi="宋体" w:eastAsia="仿宋_GB2312" w:cs="??_GB2312"/>
          <w:b/>
          <w:sz w:val="44"/>
          <w:szCs w:val="44"/>
        </w:rPr>
        <w:t>2016年喀什地区叶城县夏合甫乡人民政府</w:t>
      </w:r>
    </w:p>
    <w:p>
      <w:pPr>
        <w:spacing w:line="560" w:lineRule="exact"/>
        <w:jc w:val="center"/>
        <w:rPr>
          <w:rFonts w:ascii="仿宋_GB2312" w:hAnsi="宋体" w:eastAsia="仿宋_GB2312" w:cs="??_GB2312"/>
          <w:b/>
          <w:sz w:val="44"/>
          <w:szCs w:val="44"/>
        </w:rPr>
      </w:pPr>
      <w:r>
        <w:rPr>
          <w:rFonts w:hint="eastAsia" w:ascii="仿宋_GB2312" w:hAnsi="宋体" w:eastAsia="仿宋_GB2312" w:cs="??_GB2312"/>
          <w:b/>
          <w:sz w:val="44"/>
          <w:szCs w:val="44"/>
        </w:rPr>
        <w:t>部门决算</w:t>
      </w:r>
    </w:p>
    <w:p>
      <w:pPr>
        <w:spacing w:line="560" w:lineRule="exact"/>
        <w:jc w:val="center"/>
        <w:rPr>
          <w:rFonts w:ascii="仿宋_GB2312" w:eastAsia="仿宋_GB2312"/>
          <w:b/>
          <w:bCs/>
          <w:sz w:val="32"/>
          <w:szCs w:val="32"/>
        </w:rPr>
      </w:pPr>
      <w:r>
        <w:rPr>
          <w:rFonts w:hint="eastAsia" w:ascii="仿宋_GB2312" w:eastAsia="仿宋_GB2312" w:cs="??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单位性质为行政单位，全额拨款，执行会计制度为行政会计制度。独立编制机构11个，独立编制机构与上年无变动。</w:t>
      </w:r>
    </w:p>
    <w:p>
      <w:pPr>
        <w:spacing w:line="560" w:lineRule="exact"/>
        <w:ind w:firstLine="640" w:firstLineChars="200"/>
        <w:rPr>
          <w:rFonts w:ascii="仿宋_GB2312" w:hAnsi="宋体" w:eastAsia="仿宋_GB2312" w:cs="??_GB2312"/>
          <w:sz w:val="32"/>
          <w:szCs w:val="32"/>
        </w:rPr>
      </w:pPr>
      <w:r>
        <w:rPr>
          <w:rFonts w:hint="eastAsia" w:ascii="仿宋_GB2312" w:hAnsi="宋体" w:eastAsia="仿宋_GB2312" w:cs="??_GB2312"/>
          <w:sz w:val="32"/>
          <w:szCs w:val="32"/>
        </w:rPr>
        <w:t xml:space="preserve">一、主要职能： </w:t>
      </w:r>
    </w:p>
    <w:p>
      <w:pPr>
        <w:spacing w:line="560" w:lineRule="exact"/>
        <w:ind w:firstLine="800" w:firstLineChars="250"/>
        <w:rPr>
          <w:rFonts w:ascii="仿宋_GB2312" w:hAnsi="宋体" w:eastAsia="仿宋_GB2312" w:cs="仿宋_GB2312"/>
          <w:sz w:val="32"/>
          <w:szCs w:val="32"/>
        </w:rPr>
      </w:pPr>
      <w:r>
        <w:rPr>
          <w:rFonts w:hint="eastAsia" w:ascii="仿宋_GB2312" w:hAnsi="宋体" w:eastAsia="仿宋_GB2312"/>
          <w:sz w:val="32"/>
          <w:szCs w:val="32"/>
        </w:rPr>
        <w:t>叶城县夏合甫乡</w:t>
      </w:r>
      <w:r>
        <w:rPr>
          <w:rFonts w:hint="eastAsia" w:ascii="仿宋_GB2312" w:hAnsi="宋体" w:eastAsia="仿宋_GB2312" w:cs="仿宋_GB2312"/>
          <w:sz w:val="32"/>
          <w:szCs w:val="32"/>
        </w:rPr>
        <w:t>属党政机关行政部门，乡科级行政单位，负责全乡党政行政管理事务。</w:t>
      </w:r>
      <w:bookmarkStart w:id="1" w:name="_GoBack"/>
      <w:bookmarkEnd w:id="1"/>
      <w:r>
        <w:rPr>
          <w:rFonts w:hint="eastAsia" w:ascii="仿宋_GB2312" w:hAnsi="宋体" w:eastAsia="仿宋_GB2312" w:cs="仿宋_GB2312"/>
          <w:sz w:val="32"/>
          <w:szCs w:val="32"/>
        </w:rPr>
        <w:t>以全面建设社会主义新农村为根本出发点，不断深化美丽乡、村建设为总目标，不断铸牢全乡经济社会发展基础，为全乡各群众提供社会服务。</w:t>
      </w:r>
    </w:p>
    <w:p>
      <w:pPr>
        <w:spacing w:line="560" w:lineRule="exact"/>
        <w:ind w:firstLine="640" w:firstLineChars="200"/>
        <w:rPr>
          <w:rFonts w:ascii="仿宋_GB2312" w:eastAsia="仿宋_GB2312"/>
          <w:sz w:val="32"/>
          <w:szCs w:val="32"/>
        </w:rPr>
      </w:pPr>
      <w:r>
        <w:rPr>
          <w:rFonts w:hint="eastAsia" w:ascii="仿宋_GB2312" w:hAnsi="宋体" w:eastAsia="仿宋_GB2312" w:cs="??_GB2312"/>
          <w:sz w:val="32"/>
          <w:szCs w:val="32"/>
        </w:rPr>
        <w:t>二、机构人员情况：</w:t>
      </w:r>
      <w:r>
        <w:rPr>
          <w:rFonts w:hint="eastAsia" w:ascii="仿宋_GB2312" w:hAnsi="宋体" w:eastAsia="仿宋_GB2312"/>
          <w:sz w:val="32"/>
          <w:szCs w:val="32"/>
        </w:rPr>
        <w:t>编制76人，按照编委文件填报，实际实有在职人数64人，离退休0人，属于一般公共预算财政拨款开支44人，其中：在职44人，离退休0人;属于一般公共预算财政补助开支20人，其中：在职20人，离退休0人，</w:t>
      </w:r>
      <w:r>
        <w:rPr>
          <w:rFonts w:hint="eastAsia" w:ascii="仿宋_GB2312" w:eastAsia="仿宋_GB2312"/>
          <w:sz w:val="32"/>
          <w:szCs w:val="32"/>
        </w:rPr>
        <w:t>经费自理0人，其中：在职0人，退休0人。</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三、决算单位构成</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纳入叶城县夏合甫乡人民政府2016年部门决算编制范围的单位名单见下表：</w:t>
      </w:r>
    </w:p>
    <w:tbl>
      <w:tblPr>
        <w:tblStyle w:val="6"/>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5" w:type="dxa"/>
          </w:tcPr>
          <w:p>
            <w:pPr>
              <w:spacing w:line="560" w:lineRule="exact"/>
              <w:rPr>
                <w:rFonts w:ascii="仿宋_GB2312" w:eastAsia="仿宋_GB2312"/>
                <w:sz w:val="32"/>
                <w:szCs w:val="32"/>
              </w:rPr>
            </w:pPr>
            <w:r>
              <w:rPr>
                <w:rFonts w:hint="eastAsia" w:ascii="仿宋_GB2312" w:eastAsia="仿宋_GB2312" w:cs="??_GB2312"/>
                <w:sz w:val="32"/>
                <w:szCs w:val="32"/>
              </w:rPr>
              <w:t>序号</w:t>
            </w:r>
          </w:p>
        </w:tc>
        <w:tc>
          <w:tcPr>
            <w:tcW w:w="4616" w:type="dxa"/>
          </w:tcPr>
          <w:p>
            <w:pPr>
              <w:spacing w:line="560" w:lineRule="exact"/>
              <w:rPr>
                <w:rFonts w:ascii="仿宋_GB2312" w:eastAsia="仿宋_GB2312"/>
                <w:sz w:val="32"/>
                <w:szCs w:val="32"/>
              </w:rPr>
            </w:pPr>
            <w:r>
              <w:rPr>
                <w:rFonts w:hint="eastAsia" w:ascii="仿宋_GB2312" w:eastAsia="仿宋_GB2312" w:cs="??_GB2312"/>
                <w:sz w:val="32"/>
                <w:szCs w:val="32"/>
              </w:rPr>
              <w:t>单位名称</w:t>
            </w:r>
          </w:p>
        </w:tc>
        <w:tc>
          <w:tcPr>
            <w:tcW w:w="2841" w:type="dxa"/>
          </w:tcPr>
          <w:p>
            <w:pPr>
              <w:spacing w:line="560" w:lineRule="exact"/>
              <w:rPr>
                <w:rFonts w:ascii="仿宋_GB2312" w:eastAsia="仿宋_GB2312"/>
                <w:sz w:val="32"/>
                <w:szCs w:val="32"/>
              </w:rPr>
            </w:pPr>
            <w:r>
              <w:rPr>
                <w:rFonts w:hint="eastAsia" w:ascii="仿宋_GB2312" w:eastAsia="仿宋_GB2312" w:cs="??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5" w:type="dxa"/>
          </w:tcPr>
          <w:p>
            <w:pPr>
              <w:spacing w:line="560" w:lineRule="exact"/>
              <w:rPr>
                <w:rFonts w:ascii="仿宋_GB2312" w:eastAsia="仿宋_GB2312"/>
                <w:sz w:val="32"/>
                <w:szCs w:val="32"/>
              </w:rPr>
            </w:pPr>
            <w:r>
              <w:rPr>
                <w:rFonts w:hint="eastAsia" w:ascii="仿宋_GB2312" w:eastAsia="仿宋_GB2312"/>
                <w:sz w:val="32"/>
                <w:szCs w:val="32"/>
              </w:rPr>
              <w:t>1</w:t>
            </w:r>
          </w:p>
        </w:tc>
        <w:tc>
          <w:tcPr>
            <w:tcW w:w="4616" w:type="dxa"/>
          </w:tcPr>
          <w:p>
            <w:pPr>
              <w:spacing w:line="560" w:lineRule="exact"/>
              <w:rPr>
                <w:rFonts w:ascii="仿宋_GB2312" w:eastAsia="仿宋_GB2312"/>
                <w:sz w:val="32"/>
                <w:szCs w:val="32"/>
              </w:rPr>
            </w:pPr>
            <w:r>
              <w:rPr>
                <w:rFonts w:hint="eastAsia" w:ascii="仿宋_GB2312" w:eastAsia="仿宋_GB2312"/>
                <w:sz w:val="32"/>
                <w:szCs w:val="32"/>
              </w:rPr>
              <w:t>叶城县夏合甫乡人民政府</w:t>
            </w:r>
          </w:p>
        </w:tc>
        <w:tc>
          <w:tcPr>
            <w:tcW w:w="2841" w:type="dxa"/>
          </w:tcPr>
          <w:p>
            <w:pPr>
              <w:spacing w:line="560" w:lineRule="exact"/>
              <w:rPr>
                <w:rFonts w:ascii="仿宋_GB2312" w:eastAsia="仿宋_GB2312"/>
                <w:sz w:val="32"/>
                <w:szCs w:val="32"/>
              </w:rPr>
            </w:pPr>
          </w:p>
        </w:tc>
      </w:tr>
    </w:tbl>
    <w:p>
      <w:pPr>
        <w:numPr>
          <w:ilvl w:val="0"/>
          <w:numId w:val="1"/>
        </w:numPr>
        <w:snapToGrid w:val="0"/>
        <w:spacing w:line="560" w:lineRule="exact"/>
        <w:ind w:firstLine="640" w:firstLineChars="200"/>
        <w:rPr>
          <w:rFonts w:ascii="仿宋_GB2312" w:hAnsi="宋体" w:eastAsia="仿宋_GB2312" w:cs="??_GB2312"/>
          <w:sz w:val="32"/>
          <w:szCs w:val="32"/>
        </w:rPr>
      </w:pPr>
      <w:bookmarkStart w:id="0" w:name="YS060102"/>
      <w:r>
        <w:rPr>
          <w:rFonts w:hint="eastAsia" w:ascii="仿宋_GB2312" w:hAnsi="宋体" w:eastAsia="仿宋_GB2312" w:cs="??_GB2312"/>
          <w:sz w:val="32"/>
          <w:szCs w:val="32"/>
        </w:rPr>
        <w:t>机构设置</w:t>
      </w:r>
    </w:p>
    <w:p>
      <w:pPr>
        <w:snapToGrid w:val="0"/>
        <w:spacing w:line="560" w:lineRule="exact"/>
        <w:rPr>
          <w:rFonts w:ascii="仿宋_GB2312" w:hAnsi="宋体" w:eastAsia="仿宋_GB2312" w:cs="??_GB2312"/>
          <w:sz w:val="32"/>
          <w:szCs w:val="32"/>
        </w:rPr>
      </w:pPr>
      <w:r>
        <w:rPr>
          <w:rFonts w:hint="eastAsia" w:ascii="仿宋_GB2312" w:hAnsi="宋体" w:eastAsia="仿宋_GB2312" w:cs="??_GB2312"/>
          <w:sz w:val="32"/>
          <w:szCs w:val="32"/>
        </w:rPr>
        <w:t xml:space="preserve">    根据职责，纳入2016年部门决算编制范围的有7个内设机构，七站八所划归乡镇；共设有有农业农村经济办、、党建办、社会事务办、财政所、民政所等机构。</w:t>
      </w:r>
    </w:p>
    <w:p>
      <w:pPr>
        <w:snapToGrid w:val="0"/>
        <w:spacing w:line="560" w:lineRule="exact"/>
        <w:jc w:val="center"/>
        <w:rPr>
          <w:rFonts w:ascii="仿宋_GB2312" w:hAnsi="宋体" w:eastAsia="仿宋_GB2312" w:cs="??_GB2312"/>
          <w:b/>
          <w:bCs/>
          <w:sz w:val="32"/>
          <w:szCs w:val="32"/>
        </w:rPr>
      </w:pPr>
      <w:r>
        <w:rPr>
          <w:rFonts w:hint="eastAsia" w:ascii="仿宋_GB2312" w:hAnsi="宋体" w:eastAsia="仿宋_GB2312" w:cs="??_GB2312"/>
          <w:b/>
          <w:bCs/>
          <w:sz w:val="32"/>
          <w:szCs w:val="32"/>
        </w:rPr>
        <w:t>第二部分   叶城县夏合甫乡人民政府2016年度部门决算</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_GB2312"/>
          <w:b/>
          <w:bCs/>
          <w:sz w:val="32"/>
          <w:szCs w:val="32"/>
        </w:rPr>
        <w:t>报表</w:t>
      </w:r>
    </w:p>
    <w:p>
      <w:pPr>
        <w:numPr>
          <w:ilvl w:val="0"/>
          <w:numId w:val="2"/>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十九、政府性基金预算财政拨款支出决算明细表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二十五、2016年项目支出专项资金决算公开表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二十六、2016年对个人和家庭的补助项目支出专项资金决算公开表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二十七、2016年度财政拨款“三公”经费支出表及说明</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_GB2312"/>
          <w:b/>
          <w:bCs/>
          <w:sz w:val="32"/>
          <w:szCs w:val="32"/>
        </w:rPr>
        <w:t>第三部分  叶城县夏合甫乡人民政府2016年度部门决算情况说明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_GB2312"/>
          <w:sz w:val="32"/>
          <w:szCs w:val="32"/>
        </w:rPr>
        <w:t>2016年全年收入合计13314927.93元，支出合计         13314927.93元，其中基本支出10803370.43元，项目支出         2511557.50元。</w:t>
      </w:r>
    </w:p>
    <w:bookmarkEnd w:id="0"/>
    <w:p>
      <w:pPr>
        <w:numPr>
          <w:ilvl w:val="0"/>
          <w:numId w:val="3"/>
        </w:numPr>
        <w:snapToGrid w:val="0"/>
        <w:spacing w:line="560" w:lineRule="exact"/>
        <w:rPr>
          <w:rFonts w:ascii="仿宋_GB2312" w:hAnsi="宋体" w:eastAsia="仿宋_GB2312"/>
          <w:bCs/>
          <w:sz w:val="32"/>
          <w:szCs w:val="32"/>
        </w:rPr>
      </w:pPr>
      <w:r>
        <w:rPr>
          <w:rFonts w:hint="eastAsia" w:ascii="仿宋_GB2312" w:hAnsi="宋体" w:eastAsia="仿宋_GB2312" w:cs="??_GB2312"/>
          <w:bCs/>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_GB2312"/>
          <w:sz w:val="32"/>
          <w:szCs w:val="32"/>
        </w:rPr>
        <w:t>2016年本年收入合计13314927.93元，其中：财政拨款收入13314927.93元，事业收入0元，经营收入0元，其他收入0元。</w:t>
      </w:r>
    </w:p>
    <w:p>
      <w:pPr>
        <w:snapToGrid w:val="0"/>
        <w:spacing w:line="560" w:lineRule="exact"/>
        <w:ind w:left="147" w:leftChars="70" w:firstLine="480" w:firstLineChars="150"/>
        <w:rPr>
          <w:rFonts w:ascii="仿宋_GB2312" w:hAnsi="宋体" w:eastAsia="仿宋_GB2312"/>
          <w:bCs/>
          <w:sz w:val="32"/>
          <w:szCs w:val="32"/>
        </w:rPr>
      </w:pPr>
      <w:r>
        <w:rPr>
          <w:rFonts w:hint="eastAsia" w:ascii="仿宋_GB2312" w:hAnsi="宋体" w:eastAsia="仿宋_GB2312" w:cs="??_GB2312"/>
          <w:bCs/>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_GB2312"/>
          <w:sz w:val="32"/>
          <w:szCs w:val="32"/>
        </w:rPr>
        <w:t>2016本年支出合计13314927.93元，其中：基本支出         10803370.43元，项目支出2511557.50元，经营支出 0元。</w:t>
      </w:r>
    </w:p>
    <w:p>
      <w:pPr>
        <w:snapToGrid w:val="0"/>
        <w:spacing w:line="560" w:lineRule="exact"/>
        <w:ind w:left="210" w:leftChars="100" w:firstLine="480" w:firstLineChars="150"/>
        <w:rPr>
          <w:rFonts w:ascii="仿宋_GB2312" w:hAnsi="宋体" w:eastAsia="仿宋_GB2312"/>
          <w:bCs/>
          <w:sz w:val="32"/>
          <w:szCs w:val="32"/>
        </w:rPr>
      </w:pPr>
      <w:r>
        <w:rPr>
          <w:rFonts w:hint="eastAsia" w:ascii="仿宋_GB2312" w:hAnsi="宋体" w:eastAsia="仿宋_GB2312" w:cs="??_GB2312"/>
          <w:bCs/>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napToGrid w:val="0"/>
        <w:spacing w:line="560" w:lineRule="exact"/>
        <w:ind w:firstLine="640" w:firstLineChars="200"/>
        <w:rPr>
          <w:rFonts w:ascii="仿宋_GB2312" w:hAnsi="宋体" w:eastAsia="仿宋_GB2312"/>
          <w:bCs/>
          <w:sz w:val="32"/>
          <w:szCs w:val="32"/>
        </w:rPr>
      </w:pPr>
      <w:r>
        <w:rPr>
          <w:rFonts w:hint="eastAsia" w:ascii="仿宋_GB2312" w:hAnsi="宋体" w:eastAsia="仿宋_GB2312" w:cs="??_GB2312"/>
          <w:bCs/>
          <w:sz w:val="32"/>
          <w:szCs w:val="32"/>
        </w:rPr>
        <w:t>五、“三公”经费、会议费和费支出情况说明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_GB2312"/>
          <w:sz w:val="32"/>
          <w:szCs w:val="32"/>
        </w:rPr>
        <w:t>2016年“三公”经费实际支出45000元，其中：因公外出费用0批次，共组团0批次  人次,无外出事由；公务接待费 0元，共接待 0批次</w:t>
      </w:r>
      <w:r>
        <w:rPr>
          <w:rFonts w:hint="eastAsia" w:ascii="仿宋_GB2312" w:hAnsi="宋体" w:eastAsia="仿宋_GB2312"/>
          <w:sz w:val="32"/>
          <w:szCs w:val="32"/>
        </w:rPr>
        <w:t xml:space="preserve"> 0</w:t>
      </w:r>
      <w:r>
        <w:rPr>
          <w:rFonts w:hint="eastAsia" w:ascii="仿宋_GB2312" w:hAnsi="宋体" w:eastAsia="仿宋_GB2312" w:cs="??_GB2312"/>
          <w:sz w:val="32"/>
          <w:szCs w:val="32"/>
        </w:rPr>
        <w:t>人次；公务用车购置0元，年末公务用车保有量为3辆；公务用车维护费</w:t>
      </w:r>
      <w:r>
        <w:rPr>
          <w:rFonts w:hint="eastAsia" w:ascii="仿宋_GB2312" w:hAnsi="宋体" w:eastAsia="仿宋_GB2312"/>
          <w:sz w:val="32"/>
          <w:szCs w:val="32"/>
        </w:rPr>
        <w:t>45000</w:t>
      </w:r>
      <w:r>
        <w:rPr>
          <w:rFonts w:hint="eastAsia" w:ascii="仿宋_GB2312" w:hAnsi="宋体" w:eastAsia="仿宋_GB2312" w:cs="??_GB2312"/>
          <w:sz w:val="32"/>
          <w:szCs w:val="32"/>
        </w:rPr>
        <w:t>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_GB2312"/>
          <w:sz w:val="32"/>
          <w:szCs w:val="32"/>
        </w:rPr>
        <w:t>“三公”经费较上年相比</w:t>
      </w:r>
      <w:r>
        <w:rPr>
          <w:rFonts w:hint="eastAsia" w:ascii="仿宋_GB2312" w:hAnsi="宋体" w:eastAsia="仿宋_GB2312"/>
          <w:sz w:val="32"/>
          <w:szCs w:val="32"/>
        </w:rPr>
        <w:t>无变化</w:t>
      </w:r>
      <w:r>
        <w:rPr>
          <w:rFonts w:hint="eastAsia" w:ascii="仿宋_GB2312" w:hAnsi="宋体" w:eastAsia="仿宋_GB2312" w:cs="??_GB2312"/>
          <w:sz w:val="32"/>
          <w:szCs w:val="32"/>
        </w:rPr>
        <w:t>，其中：公务用车维护费</w:t>
      </w:r>
      <w:r>
        <w:rPr>
          <w:rFonts w:hint="eastAsia" w:ascii="仿宋_GB2312" w:hAnsi="宋体" w:eastAsia="仿宋_GB2312"/>
          <w:sz w:val="32"/>
          <w:szCs w:val="32"/>
        </w:rPr>
        <w:t xml:space="preserve">多支出 0 </w:t>
      </w:r>
      <w:r>
        <w:rPr>
          <w:rFonts w:hint="eastAsia" w:ascii="仿宋_GB2312" w:hAnsi="宋体" w:eastAsia="仿宋_GB2312" w:cs="??_GB2312"/>
          <w:sz w:val="32"/>
          <w:szCs w:val="32"/>
        </w:rPr>
        <w:t>元,公务接待费</w:t>
      </w:r>
      <w:r>
        <w:rPr>
          <w:rFonts w:hint="eastAsia" w:ascii="仿宋_GB2312" w:hAnsi="宋体" w:eastAsia="仿宋_GB2312"/>
          <w:sz w:val="32"/>
          <w:szCs w:val="32"/>
        </w:rPr>
        <w:t>少支出0</w:t>
      </w:r>
      <w:r>
        <w:rPr>
          <w:rFonts w:hint="eastAsia" w:ascii="仿宋_GB2312" w:hAnsi="宋体" w:eastAsia="仿宋_GB2312" w:cs="??_GB2312"/>
          <w:sz w:val="32"/>
          <w:szCs w:val="32"/>
        </w:rPr>
        <w:t>元；公务用车购置费0元，无因公外出费用。主要原因为：严格遵守十项规定要求。</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 xml:space="preserve">2016年会议费元，主要是：本单位无会议费。 </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2016年培训费元，主要是：本单位无培训费。</w:t>
      </w:r>
    </w:p>
    <w:p>
      <w:pPr>
        <w:snapToGrid w:val="0"/>
        <w:spacing w:line="560" w:lineRule="exact"/>
        <w:ind w:firstLine="640" w:firstLineChars="200"/>
        <w:rPr>
          <w:rFonts w:ascii="仿宋_GB2312" w:hAnsi="宋体" w:eastAsia="仿宋_GB2312"/>
          <w:bCs/>
          <w:sz w:val="32"/>
          <w:szCs w:val="32"/>
        </w:rPr>
      </w:pPr>
      <w:r>
        <w:rPr>
          <w:rFonts w:hint="eastAsia" w:ascii="仿宋_GB2312" w:hAnsi="宋体" w:eastAsia="仿宋_GB2312" w:cs="??_GB2312"/>
          <w:bCs/>
          <w:sz w:val="32"/>
          <w:szCs w:val="32"/>
        </w:rPr>
        <w:t>六、预算执行情况说明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_GB2312"/>
          <w:sz w:val="32"/>
          <w:szCs w:val="32"/>
        </w:rPr>
        <w:t>2016年本年收入13314927.93元，比2015年减少2295030.22元，减少原因：行政事业类项目减少</w:t>
      </w:r>
      <w:r>
        <w:rPr>
          <w:rFonts w:hint="eastAsia" w:ascii="仿宋_GB2312" w:eastAsia="仿宋_GB2312" w:cs="??_GB2312"/>
          <w:sz w:val="32"/>
          <w:szCs w:val="32"/>
        </w:rPr>
        <w:t>。</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_GB2312"/>
          <w:sz w:val="32"/>
          <w:szCs w:val="32"/>
        </w:rPr>
        <w:t>2016年本年支出13314927.93元，比2015年减少     2295030.22元，减少原因：行政事业类项目减少</w:t>
      </w:r>
      <w:r>
        <w:rPr>
          <w:rFonts w:hint="eastAsia" w:ascii="仿宋_GB2312" w:eastAsia="仿宋_GB2312" w:cs="??_GB2312"/>
          <w:sz w:val="32"/>
          <w:szCs w:val="32"/>
        </w:rPr>
        <w:t>。</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_GB2312"/>
          <w:sz w:val="32"/>
          <w:szCs w:val="32"/>
        </w:rPr>
        <w:t>2016年财政拨款支出 13314927.93元，年初预算数       8870627.34元，差异原因为：行政事业类项目减少</w:t>
      </w:r>
      <w:r>
        <w:rPr>
          <w:rFonts w:hint="eastAsia" w:ascii="仿宋_GB2312" w:eastAsia="仿宋_GB2312" w:cs="??_GB2312"/>
          <w:sz w:val="32"/>
          <w:szCs w:val="32"/>
        </w:rPr>
        <w:t>。</w:t>
      </w:r>
    </w:p>
    <w:p>
      <w:pPr>
        <w:snapToGrid w:val="0"/>
        <w:spacing w:line="560" w:lineRule="exact"/>
        <w:ind w:firstLine="640" w:firstLineChars="200"/>
        <w:rPr>
          <w:rFonts w:ascii="仿宋_GB2312" w:eastAsia="仿宋_GB2312"/>
          <w:bCs/>
          <w:sz w:val="32"/>
          <w:szCs w:val="32"/>
        </w:rPr>
      </w:pPr>
      <w:r>
        <w:rPr>
          <w:rFonts w:hint="eastAsia" w:ascii="仿宋_GB2312" w:eastAsia="仿宋_GB2312" w:cs="??_GB2312"/>
          <w:bCs/>
          <w:sz w:val="32"/>
          <w:szCs w:val="32"/>
        </w:rPr>
        <w:t>七、决算公开其他重要事项情况说明</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（一）机关运行经费支出情况</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_GB2312"/>
          <w:sz w:val="32"/>
          <w:szCs w:val="32"/>
        </w:rPr>
        <w:t>2016年</w:t>
      </w:r>
      <w:r>
        <w:rPr>
          <w:rFonts w:hint="eastAsia" w:ascii="仿宋_GB2312" w:hAnsi="宋体" w:eastAsia="仿宋_GB2312"/>
          <w:sz w:val="32"/>
          <w:szCs w:val="32"/>
        </w:rPr>
        <w:t>叶城县夏合甫乡人民政府</w:t>
      </w:r>
      <w:r>
        <w:rPr>
          <w:rFonts w:hint="eastAsia" w:ascii="仿宋_GB2312" w:eastAsia="仿宋_GB2312" w:cs="??_GB2312"/>
          <w:sz w:val="32"/>
          <w:szCs w:val="32"/>
        </w:rPr>
        <w:t>机关运行经费支出293500元，比2015年增加66500元，增加30% ，主要原因是：力度加大机关运行费用增加。</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（二）政府采购支出情况</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2016年，叶城县夏合甫乡人民政府政府采购支出总额6495210元，其中政府采购货物支出5735610元，政府采购工程支出759600元，政府采购服务支出0元。喀什地区为偏远地区，参与招投标的供应商基本为中小微企业。    </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（三）国有资产占用情况</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lang w:eastAsia="zh-CN"/>
        </w:rPr>
        <w:t>截至</w:t>
      </w:r>
      <w:r>
        <w:rPr>
          <w:rFonts w:hint="eastAsia" w:ascii="仿宋_GB2312" w:eastAsia="仿宋_GB2312" w:cs="??_GB2312"/>
          <w:sz w:val="32"/>
          <w:szCs w:val="32"/>
        </w:rPr>
        <w:t>2016年12月31日，本单位共有车辆6辆，其中一般公务用车2辆，一般用车1辆，专业用车3辆，其他车辆0辆， 其他用车0辆，单位价值在50万元以上的设备0台（套），价值0元。</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（四）民生项目、重点支出项目绩效评价结果</w:t>
      </w:r>
    </w:p>
    <w:p>
      <w:pPr>
        <w:spacing w:line="560" w:lineRule="exact"/>
        <w:ind w:firstLine="640" w:firstLineChars="200"/>
        <w:rPr>
          <w:rFonts w:ascii="仿宋_GB2312" w:eastAsia="仿宋_GB2312" w:cs="仿宋_GB2312"/>
          <w:sz w:val="32"/>
          <w:szCs w:val="32"/>
        </w:rPr>
      </w:pPr>
      <w:r>
        <w:rPr>
          <w:rFonts w:hint="eastAsia" w:ascii="仿宋_GB2312" w:eastAsia="仿宋_GB2312" w:cs="??_GB2312"/>
          <w:sz w:val="32"/>
          <w:szCs w:val="32"/>
        </w:rPr>
        <w:t>2016年，叶城县叶城县夏合甫乡人民政府共组织对     2个项目进行了预算绩效评价，涉及一般公共预算当年财政拨款</w:t>
      </w:r>
      <w:r>
        <w:rPr>
          <w:rFonts w:ascii="仿宋_GB2312" w:eastAsia="仿宋_GB2312" w:cs="??_GB2312"/>
          <w:sz w:val="32"/>
          <w:szCs w:val="32"/>
        </w:rPr>
        <w:t>2511557.50</w:t>
      </w:r>
      <w:r>
        <w:rPr>
          <w:rFonts w:hint="eastAsia" w:ascii="仿宋_GB2312" w:eastAsia="仿宋_GB2312" w:cs="??_GB2312"/>
          <w:sz w:val="32"/>
          <w:szCs w:val="32"/>
        </w:rPr>
        <w:t>元。绩效评价结果：2016年我</w:t>
      </w:r>
      <w:r>
        <w:rPr>
          <w:rFonts w:hint="eastAsia" w:ascii="仿宋_GB2312" w:eastAsia="仿宋_GB2312" w:cs="仿宋_GB2312"/>
          <w:sz w:val="32"/>
          <w:szCs w:val="32"/>
        </w:rPr>
        <w:t>乡一事一议惠民生项目资金的实施主要用于建设</w:t>
      </w:r>
      <w:r>
        <w:rPr>
          <w:rFonts w:hint="eastAsia" w:ascii="仿宋_GB2312" w:eastAsia="仿宋_GB2312" w:cs="??_GB2312"/>
          <w:sz w:val="32"/>
          <w:szCs w:val="32"/>
        </w:rPr>
        <w:t>村水泥路项目</w:t>
      </w:r>
      <w:r>
        <w:rPr>
          <w:rFonts w:hint="eastAsia" w:ascii="仿宋_GB2312" w:eastAsia="仿宋_GB2312" w:cs="仿宋_GB2312"/>
          <w:sz w:val="32"/>
          <w:szCs w:val="32"/>
        </w:rPr>
        <w:t>，村广场建设,村民服务站，</w:t>
      </w:r>
      <w:r>
        <w:rPr>
          <w:rFonts w:hint="eastAsia" w:ascii="仿宋_GB2312" w:eastAsia="仿宋_GB2312" w:cs="??_GB2312"/>
          <w:sz w:val="32"/>
          <w:szCs w:val="32"/>
        </w:rPr>
        <w:t>村浴室,</w:t>
      </w:r>
      <w:r>
        <w:rPr>
          <w:rFonts w:hint="eastAsia" w:ascii="仿宋_GB2312" w:eastAsia="仿宋_GB2312" w:cs="仿宋_GB2312"/>
          <w:sz w:val="32"/>
          <w:szCs w:val="32"/>
        </w:rPr>
        <w:t>防渗渠，解决了乡村两级的日常出行及农田灌溉,提升了百姓的幸福指数.</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（五）事业收入明细、经营收入明细</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按收入项目分别列示：本单位是行政单位，无事业收入和经营收入。</w:t>
      </w:r>
    </w:p>
    <w:p>
      <w:pPr>
        <w:spacing w:line="560" w:lineRule="exact"/>
        <w:ind w:firstLine="640" w:firstLineChars="200"/>
        <w:rPr>
          <w:rFonts w:ascii="仿宋_GB2312" w:eastAsia="仿宋_GB2312"/>
          <w:bCs/>
          <w:sz w:val="32"/>
          <w:szCs w:val="32"/>
        </w:rPr>
      </w:pPr>
      <w:r>
        <w:rPr>
          <w:rFonts w:hint="eastAsia" w:ascii="仿宋_GB2312" w:eastAsia="仿宋_GB2312" w:cs="??_GB2312"/>
          <w:bCs/>
          <w:sz w:val="32"/>
          <w:szCs w:val="32"/>
        </w:rPr>
        <w:t>八、专业名词解释</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（一）财政拨款收入：指单位本年度从本级财政部门取得得财政拨款。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（二）事业收入：指事业单位开展专业业务活动及辅助活动所取得的收入。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（四）其他收入：指除上述“财政拨款收入”、“事业收入”、“经营收入”等以外的收入。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（七）结余分配：指事业单位按规定提取的职工福利基</w:t>
      </w:r>
    </w:p>
    <w:p>
      <w:pPr>
        <w:spacing w:line="560" w:lineRule="exact"/>
        <w:rPr>
          <w:rFonts w:ascii="仿宋_GB2312" w:eastAsia="仿宋_GB2312" w:cs="??_GB2312"/>
          <w:sz w:val="32"/>
          <w:szCs w:val="32"/>
        </w:rPr>
      </w:pPr>
      <w:r>
        <w:rPr>
          <w:rFonts w:hint="eastAsia" w:ascii="仿宋_GB2312" w:eastAsia="仿宋_GB2312" w:cs="??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（八）年末结转和结余：指本年度或以前年度预算安排、</w:t>
      </w:r>
    </w:p>
    <w:p>
      <w:pPr>
        <w:spacing w:line="560" w:lineRule="exact"/>
        <w:rPr>
          <w:rFonts w:ascii="仿宋_GB2312" w:eastAsia="仿宋_GB2312" w:cs="??_GB2312"/>
          <w:sz w:val="32"/>
          <w:szCs w:val="32"/>
        </w:rPr>
      </w:pPr>
      <w:r>
        <w:rPr>
          <w:rFonts w:hint="eastAsia" w:ascii="仿宋_GB2312" w:eastAsia="仿宋_GB2312" w:cs="??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十二）“三公”经费：纳入财政预决算管理的“三公”经费，是指各单位用财政拨款安排的因公外出费、公务用车购置及运行费和公务接待费。其中，因公外出费反映单位公务外出的、旅费、城市间交通费、住宿费、、费、公杂费等支出；公务用车购置及运行费反映单位公务用车车辆购置支出（含车辆购置税）及租用费、燃料费、维修费、过路过桥费、保险费、工作奖励费用等支出；公务接待费反映单位按规定开支的各类公务接待（含外宾接待）支出。 </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5</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1056E6B"/>
    <w:multiLevelType w:val="multilevel"/>
    <w:tmpl w:val="51056E6B"/>
    <w:lvl w:ilvl="0" w:tentative="0">
      <w:start w:val="2"/>
      <w:numFmt w:val="japaneseCounting"/>
      <w:lvlText w:val="%1、"/>
      <w:lvlJc w:val="left"/>
      <w:pPr>
        <w:ind w:left="1260" w:hanging="720"/>
      </w:pPr>
      <w:rPr>
        <w:rFonts w:hint="default" w:cs="Times New Roman"/>
      </w:rPr>
    </w:lvl>
    <w:lvl w:ilvl="1" w:tentative="0">
      <w:start w:val="1"/>
      <w:numFmt w:val="lowerLetter"/>
      <w:lvlText w:val="%2)"/>
      <w:lvlJc w:val="left"/>
      <w:pPr>
        <w:ind w:left="1380" w:hanging="420"/>
      </w:pPr>
      <w:rPr>
        <w:rFonts w:cs="Times New Roman"/>
      </w:rPr>
    </w:lvl>
    <w:lvl w:ilvl="2" w:tentative="0">
      <w:start w:val="1"/>
      <w:numFmt w:val="lowerRoman"/>
      <w:lvlText w:val="%3."/>
      <w:lvlJc w:val="right"/>
      <w:pPr>
        <w:ind w:left="1800" w:hanging="420"/>
      </w:pPr>
      <w:rPr>
        <w:rFonts w:cs="Times New Roman"/>
      </w:rPr>
    </w:lvl>
    <w:lvl w:ilvl="3" w:tentative="0">
      <w:start w:val="1"/>
      <w:numFmt w:val="decimal"/>
      <w:lvlText w:val="%4."/>
      <w:lvlJc w:val="left"/>
      <w:pPr>
        <w:ind w:left="2220" w:hanging="420"/>
      </w:pPr>
      <w:rPr>
        <w:rFonts w:cs="Times New Roman"/>
      </w:rPr>
    </w:lvl>
    <w:lvl w:ilvl="4" w:tentative="0">
      <w:start w:val="1"/>
      <w:numFmt w:val="lowerLetter"/>
      <w:lvlText w:val="%5)"/>
      <w:lvlJc w:val="left"/>
      <w:pPr>
        <w:ind w:left="2640" w:hanging="420"/>
      </w:pPr>
      <w:rPr>
        <w:rFonts w:cs="Times New Roman"/>
      </w:rPr>
    </w:lvl>
    <w:lvl w:ilvl="5" w:tentative="0">
      <w:start w:val="1"/>
      <w:numFmt w:val="lowerRoman"/>
      <w:lvlText w:val="%6."/>
      <w:lvlJc w:val="right"/>
      <w:pPr>
        <w:ind w:left="3060" w:hanging="420"/>
      </w:pPr>
      <w:rPr>
        <w:rFonts w:cs="Times New Roman"/>
      </w:rPr>
    </w:lvl>
    <w:lvl w:ilvl="6" w:tentative="0">
      <w:start w:val="1"/>
      <w:numFmt w:val="decimal"/>
      <w:lvlText w:val="%7."/>
      <w:lvlJc w:val="left"/>
      <w:pPr>
        <w:ind w:left="3480" w:hanging="420"/>
      </w:pPr>
      <w:rPr>
        <w:rFonts w:cs="Times New Roman"/>
      </w:rPr>
    </w:lvl>
    <w:lvl w:ilvl="7" w:tentative="0">
      <w:start w:val="1"/>
      <w:numFmt w:val="lowerLetter"/>
      <w:lvlText w:val="%8)"/>
      <w:lvlJc w:val="left"/>
      <w:pPr>
        <w:ind w:left="3900" w:hanging="420"/>
      </w:pPr>
      <w:rPr>
        <w:rFonts w:cs="Times New Roman"/>
      </w:rPr>
    </w:lvl>
    <w:lvl w:ilvl="8" w:tentative="0">
      <w:start w:val="1"/>
      <w:numFmt w:val="lowerRoman"/>
      <w:lvlText w:val="%9."/>
      <w:lvlJc w:val="right"/>
      <w:pPr>
        <w:ind w:left="4320" w:hanging="420"/>
      </w:pPr>
      <w:rPr>
        <w:rFonts w:cs="Times New Roman"/>
      </w:rPr>
    </w:lvl>
  </w:abstractNum>
  <w:abstractNum w:abstractNumId="2">
    <w:nsid w:val="59FAFFCE"/>
    <w:multiLevelType w:val="singleLevel"/>
    <w:tmpl w:val="59FAFFCE"/>
    <w:lvl w:ilvl="0" w:tentative="0">
      <w:start w:val="4"/>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34248"/>
    <w:rsid w:val="00052FE0"/>
    <w:rsid w:val="00054384"/>
    <w:rsid w:val="00056D13"/>
    <w:rsid w:val="000703F5"/>
    <w:rsid w:val="00070B61"/>
    <w:rsid w:val="000775E8"/>
    <w:rsid w:val="00085817"/>
    <w:rsid w:val="00086A97"/>
    <w:rsid w:val="00091F7F"/>
    <w:rsid w:val="00094D69"/>
    <w:rsid w:val="000A5DE3"/>
    <w:rsid w:val="000A65DB"/>
    <w:rsid w:val="000B1596"/>
    <w:rsid w:val="000B5213"/>
    <w:rsid w:val="000C3B20"/>
    <w:rsid w:val="000E5B19"/>
    <w:rsid w:val="000E7FFD"/>
    <w:rsid w:val="0010183B"/>
    <w:rsid w:val="00140E78"/>
    <w:rsid w:val="00142BCE"/>
    <w:rsid w:val="00147040"/>
    <w:rsid w:val="00151463"/>
    <w:rsid w:val="00170582"/>
    <w:rsid w:val="001870FE"/>
    <w:rsid w:val="00187C0D"/>
    <w:rsid w:val="00192713"/>
    <w:rsid w:val="001943AB"/>
    <w:rsid w:val="001B3F1C"/>
    <w:rsid w:val="001B44CC"/>
    <w:rsid w:val="001D09C9"/>
    <w:rsid w:val="001E4658"/>
    <w:rsid w:val="001E6C3B"/>
    <w:rsid w:val="001E7C6A"/>
    <w:rsid w:val="001F2B9D"/>
    <w:rsid w:val="001F33C0"/>
    <w:rsid w:val="001F6536"/>
    <w:rsid w:val="001F6EF5"/>
    <w:rsid w:val="0020099B"/>
    <w:rsid w:val="00205C3B"/>
    <w:rsid w:val="0023480E"/>
    <w:rsid w:val="002353C0"/>
    <w:rsid w:val="00242FE4"/>
    <w:rsid w:val="00247D81"/>
    <w:rsid w:val="00262C89"/>
    <w:rsid w:val="00265B72"/>
    <w:rsid w:val="002743C3"/>
    <w:rsid w:val="00287A2E"/>
    <w:rsid w:val="002B5B38"/>
    <w:rsid w:val="002C37F3"/>
    <w:rsid w:val="002C677C"/>
    <w:rsid w:val="002C740B"/>
    <w:rsid w:val="002D02F4"/>
    <w:rsid w:val="002E0692"/>
    <w:rsid w:val="00302174"/>
    <w:rsid w:val="00303B2E"/>
    <w:rsid w:val="003158E9"/>
    <w:rsid w:val="003166A5"/>
    <w:rsid w:val="00333969"/>
    <w:rsid w:val="00343DE8"/>
    <w:rsid w:val="00345101"/>
    <w:rsid w:val="003472C5"/>
    <w:rsid w:val="00347942"/>
    <w:rsid w:val="00347996"/>
    <w:rsid w:val="00350B5B"/>
    <w:rsid w:val="00355BAD"/>
    <w:rsid w:val="003632BC"/>
    <w:rsid w:val="00374661"/>
    <w:rsid w:val="0038373F"/>
    <w:rsid w:val="003978C1"/>
    <w:rsid w:val="003B0831"/>
    <w:rsid w:val="003B594E"/>
    <w:rsid w:val="003C2E54"/>
    <w:rsid w:val="003C4FA5"/>
    <w:rsid w:val="003D0C72"/>
    <w:rsid w:val="003D6134"/>
    <w:rsid w:val="003E0D94"/>
    <w:rsid w:val="003E350B"/>
    <w:rsid w:val="004011AD"/>
    <w:rsid w:val="0040177E"/>
    <w:rsid w:val="00406AB0"/>
    <w:rsid w:val="00407FB0"/>
    <w:rsid w:val="00414250"/>
    <w:rsid w:val="00414839"/>
    <w:rsid w:val="00417715"/>
    <w:rsid w:val="00420614"/>
    <w:rsid w:val="0043072D"/>
    <w:rsid w:val="00434EEE"/>
    <w:rsid w:val="00445215"/>
    <w:rsid w:val="004452FA"/>
    <w:rsid w:val="0045212A"/>
    <w:rsid w:val="00457BD9"/>
    <w:rsid w:val="004743B3"/>
    <w:rsid w:val="00486188"/>
    <w:rsid w:val="00487059"/>
    <w:rsid w:val="004A08C1"/>
    <w:rsid w:val="004A28B1"/>
    <w:rsid w:val="004B6AAB"/>
    <w:rsid w:val="004C4F06"/>
    <w:rsid w:val="004D2787"/>
    <w:rsid w:val="004D48D7"/>
    <w:rsid w:val="004D65D7"/>
    <w:rsid w:val="004D6F93"/>
    <w:rsid w:val="0050291C"/>
    <w:rsid w:val="00521924"/>
    <w:rsid w:val="005272D8"/>
    <w:rsid w:val="00532879"/>
    <w:rsid w:val="00552B99"/>
    <w:rsid w:val="00563CF9"/>
    <w:rsid w:val="00565025"/>
    <w:rsid w:val="005766BD"/>
    <w:rsid w:val="00592401"/>
    <w:rsid w:val="00595CD5"/>
    <w:rsid w:val="005A0EA5"/>
    <w:rsid w:val="005B007A"/>
    <w:rsid w:val="005D008D"/>
    <w:rsid w:val="005D5345"/>
    <w:rsid w:val="005D6922"/>
    <w:rsid w:val="005E2747"/>
    <w:rsid w:val="00611A83"/>
    <w:rsid w:val="0063208D"/>
    <w:rsid w:val="00642F1B"/>
    <w:rsid w:val="00644F4F"/>
    <w:rsid w:val="00647EAC"/>
    <w:rsid w:val="006537AC"/>
    <w:rsid w:val="00672B4C"/>
    <w:rsid w:val="00672E1F"/>
    <w:rsid w:val="006773BD"/>
    <w:rsid w:val="00687879"/>
    <w:rsid w:val="00696752"/>
    <w:rsid w:val="006A1621"/>
    <w:rsid w:val="006A2219"/>
    <w:rsid w:val="006A56FC"/>
    <w:rsid w:val="006A6461"/>
    <w:rsid w:val="006A7356"/>
    <w:rsid w:val="006A7FC3"/>
    <w:rsid w:val="006B3168"/>
    <w:rsid w:val="006D4B96"/>
    <w:rsid w:val="006F1159"/>
    <w:rsid w:val="006F13E9"/>
    <w:rsid w:val="006F3090"/>
    <w:rsid w:val="006F3AD3"/>
    <w:rsid w:val="006F7FA8"/>
    <w:rsid w:val="00700977"/>
    <w:rsid w:val="007226FB"/>
    <w:rsid w:val="007541E7"/>
    <w:rsid w:val="00771F12"/>
    <w:rsid w:val="00774810"/>
    <w:rsid w:val="00782159"/>
    <w:rsid w:val="00793D15"/>
    <w:rsid w:val="007978CD"/>
    <w:rsid w:val="007A2BDC"/>
    <w:rsid w:val="007B7E7F"/>
    <w:rsid w:val="007C7B82"/>
    <w:rsid w:val="007D708C"/>
    <w:rsid w:val="007D75E2"/>
    <w:rsid w:val="007F238C"/>
    <w:rsid w:val="008012F4"/>
    <w:rsid w:val="00807749"/>
    <w:rsid w:val="008104D1"/>
    <w:rsid w:val="00815033"/>
    <w:rsid w:val="008363CD"/>
    <w:rsid w:val="00842279"/>
    <w:rsid w:val="00844D3A"/>
    <w:rsid w:val="00847706"/>
    <w:rsid w:val="00851DA7"/>
    <w:rsid w:val="00854186"/>
    <w:rsid w:val="008664F8"/>
    <w:rsid w:val="00873573"/>
    <w:rsid w:val="00877032"/>
    <w:rsid w:val="00880D0D"/>
    <w:rsid w:val="008872A2"/>
    <w:rsid w:val="00895A64"/>
    <w:rsid w:val="00895BE7"/>
    <w:rsid w:val="008A0DC9"/>
    <w:rsid w:val="008A1BE2"/>
    <w:rsid w:val="008A5C2E"/>
    <w:rsid w:val="008B02AA"/>
    <w:rsid w:val="008C5ABD"/>
    <w:rsid w:val="008D28A9"/>
    <w:rsid w:val="008E26A2"/>
    <w:rsid w:val="008F0078"/>
    <w:rsid w:val="008F503D"/>
    <w:rsid w:val="009078E5"/>
    <w:rsid w:val="00910498"/>
    <w:rsid w:val="00912ADD"/>
    <w:rsid w:val="00921F8C"/>
    <w:rsid w:val="0092223E"/>
    <w:rsid w:val="009420B7"/>
    <w:rsid w:val="00954B4B"/>
    <w:rsid w:val="009572A2"/>
    <w:rsid w:val="00970D9F"/>
    <w:rsid w:val="00986E5F"/>
    <w:rsid w:val="009A7D21"/>
    <w:rsid w:val="009C453B"/>
    <w:rsid w:val="009C7F6B"/>
    <w:rsid w:val="009F1B75"/>
    <w:rsid w:val="009F39C7"/>
    <w:rsid w:val="009F6D25"/>
    <w:rsid w:val="00A013AA"/>
    <w:rsid w:val="00A02AA2"/>
    <w:rsid w:val="00A32422"/>
    <w:rsid w:val="00A3418E"/>
    <w:rsid w:val="00A407D1"/>
    <w:rsid w:val="00A63C42"/>
    <w:rsid w:val="00A65801"/>
    <w:rsid w:val="00A87987"/>
    <w:rsid w:val="00A87B5D"/>
    <w:rsid w:val="00A906D1"/>
    <w:rsid w:val="00A97E66"/>
    <w:rsid w:val="00AA1759"/>
    <w:rsid w:val="00AA3003"/>
    <w:rsid w:val="00AC139B"/>
    <w:rsid w:val="00AC4897"/>
    <w:rsid w:val="00AD7784"/>
    <w:rsid w:val="00B0409B"/>
    <w:rsid w:val="00B07A97"/>
    <w:rsid w:val="00B21656"/>
    <w:rsid w:val="00B24563"/>
    <w:rsid w:val="00B24CC1"/>
    <w:rsid w:val="00B635BA"/>
    <w:rsid w:val="00B66B0F"/>
    <w:rsid w:val="00B919A9"/>
    <w:rsid w:val="00BA4370"/>
    <w:rsid w:val="00BB2497"/>
    <w:rsid w:val="00BB372B"/>
    <w:rsid w:val="00BD1D14"/>
    <w:rsid w:val="00BF1245"/>
    <w:rsid w:val="00C06E4A"/>
    <w:rsid w:val="00C1429D"/>
    <w:rsid w:val="00C15174"/>
    <w:rsid w:val="00C17D9A"/>
    <w:rsid w:val="00C337C1"/>
    <w:rsid w:val="00C4155A"/>
    <w:rsid w:val="00C45F21"/>
    <w:rsid w:val="00C46A85"/>
    <w:rsid w:val="00C519BC"/>
    <w:rsid w:val="00C55E43"/>
    <w:rsid w:val="00C5634D"/>
    <w:rsid w:val="00C605BD"/>
    <w:rsid w:val="00C60ABA"/>
    <w:rsid w:val="00C61DC5"/>
    <w:rsid w:val="00C62423"/>
    <w:rsid w:val="00C709B8"/>
    <w:rsid w:val="00C80512"/>
    <w:rsid w:val="00C91BDE"/>
    <w:rsid w:val="00C955CC"/>
    <w:rsid w:val="00CA6F46"/>
    <w:rsid w:val="00CA7C1B"/>
    <w:rsid w:val="00CB3117"/>
    <w:rsid w:val="00CE1862"/>
    <w:rsid w:val="00CE37ED"/>
    <w:rsid w:val="00D16906"/>
    <w:rsid w:val="00D1711B"/>
    <w:rsid w:val="00D36C62"/>
    <w:rsid w:val="00D4613F"/>
    <w:rsid w:val="00D5318C"/>
    <w:rsid w:val="00D554FC"/>
    <w:rsid w:val="00D81E3D"/>
    <w:rsid w:val="00D949F7"/>
    <w:rsid w:val="00DA057C"/>
    <w:rsid w:val="00DA16BE"/>
    <w:rsid w:val="00DB13AB"/>
    <w:rsid w:val="00DB2FC5"/>
    <w:rsid w:val="00DE344D"/>
    <w:rsid w:val="00DE619D"/>
    <w:rsid w:val="00E323D8"/>
    <w:rsid w:val="00E339F2"/>
    <w:rsid w:val="00E424A7"/>
    <w:rsid w:val="00E62F90"/>
    <w:rsid w:val="00E774D0"/>
    <w:rsid w:val="00E8388E"/>
    <w:rsid w:val="00EA337C"/>
    <w:rsid w:val="00EA5F52"/>
    <w:rsid w:val="00EB0536"/>
    <w:rsid w:val="00EB563F"/>
    <w:rsid w:val="00EB7DD0"/>
    <w:rsid w:val="00EC1979"/>
    <w:rsid w:val="00EC282F"/>
    <w:rsid w:val="00ED7C8E"/>
    <w:rsid w:val="00EE2E07"/>
    <w:rsid w:val="00EE66B1"/>
    <w:rsid w:val="00EF1F2A"/>
    <w:rsid w:val="00EF3B2C"/>
    <w:rsid w:val="00EF7B17"/>
    <w:rsid w:val="00F0364D"/>
    <w:rsid w:val="00F06CB4"/>
    <w:rsid w:val="00F147EB"/>
    <w:rsid w:val="00F16C5D"/>
    <w:rsid w:val="00F453E0"/>
    <w:rsid w:val="00F51607"/>
    <w:rsid w:val="00F627E2"/>
    <w:rsid w:val="00F81C9E"/>
    <w:rsid w:val="00F820FC"/>
    <w:rsid w:val="00F97440"/>
    <w:rsid w:val="00FA08FE"/>
    <w:rsid w:val="00FB101C"/>
    <w:rsid w:val="00FB61FC"/>
    <w:rsid w:val="00FC1406"/>
    <w:rsid w:val="00FF5D03"/>
    <w:rsid w:val="01A04371"/>
    <w:rsid w:val="0CFE7B00"/>
    <w:rsid w:val="11C84621"/>
    <w:rsid w:val="3A487F65"/>
    <w:rsid w:val="419E7C58"/>
    <w:rsid w:val="548A5AA1"/>
    <w:rsid w:val="646064E7"/>
    <w:rsid w:val="6D0647AA"/>
    <w:rsid w:val="7BA45320"/>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unhideWhenUsed/>
    <w:uiPriority w:val="1"/>
  </w:style>
  <w:style w:type="table" w:default="1" w:styleId="6">
    <w:name w:val="Normal Table"/>
    <w:unhideWhenUsed/>
    <w:uiPriority w:val="99"/>
    <w:tblPr>
      <w:tblCellMar>
        <w:top w:w="0" w:type="dxa"/>
        <w:left w:w="108" w:type="dxa"/>
        <w:bottom w:w="0" w:type="dxa"/>
        <w:right w:w="108" w:type="dxa"/>
      </w:tblCellMar>
    </w:tblPr>
  </w:style>
  <w:style w:type="paragraph" w:styleId="2">
    <w:name w:val="Date"/>
    <w:basedOn w:val="1"/>
    <w:next w:val="1"/>
    <w:link w:val="10"/>
    <w:qFormat/>
    <w:uiPriority w:val="99"/>
    <w:pPr>
      <w:ind w:left="100" w:leftChars="2500"/>
    </w:pPr>
    <w:rPr>
      <w:kern w:val="0"/>
    </w:rPr>
  </w:style>
  <w:style w:type="paragraph" w:styleId="3">
    <w:name w:val="Balloon Text"/>
    <w:basedOn w:val="1"/>
    <w:link w:val="11"/>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uiPriority w:val="99"/>
    <w:rPr>
      <w:rFonts w:cs="Times New Roman"/>
    </w:rPr>
  </w:style>
  <w:style w:type="character" w:customStyle="1" w:styleId="10">
    <w:name w:val="日期 Char"/>
    <w:link w:val="2"/>
    <w:semiHidden/>
    <w:locked/>
    <w:uiPriority w:val="99"/>
    <w:rPr>
      <w:rFonts w:cs="Times New Roman"/>
      <w:sz w:val="21"/>
      <w:szCs w:val="21"/>
    </w:rPr>
  </w:style>
  <w:style w:type="character" w:customStyle="1" w:styleId="11">
    <w:name w:val="批注框文本 Char"/>
    <w:link w:val="3"/>
    <w:locked/>
    <w:uiPriority w:val="99"/>
    <w:rPr>
      <w:rFonts w:cs="Times New Roman"/>
      <w:kern w:val="2"/>
      <w:sz w:val="18"/>
      <w:szCs w:val="18"/>
    </w:rPr>
  </w:style>
  <w:style w:type="character" w:customStyle="1" w:styleId="12">
    <w:name w:val="页脚 Char"/>
    <w:link w:val="4"/>
    <w:locked/>
    <w:uiPriority w:val="99"/>
    <w:rPr>
      <w:rFonts w:cs="Times New Roman"/>
      <w:kern w:val="2"/>
      <w:sz w:val="18"/>
      <w:szCs w:val="18"/>
    </w:rPr>
  </w:style>
  <w:style w:type="character" w:customStyle="1" w:styleId="13">
    <w:name w:val="页眉 Char"/>
    <w:link w:val="5"/>
    <w:locked/>
    <w:uiPriority w:val="99"/>
    <w:rPr>
      <w:rFonts w:cs="Times New Roman"/>
      <w:kern w:val="2"/>
      <w:sz w:val="18"/>
      <w:szCs w:val="18"/>
    </w:rPr>
  </w:style>
  <w:style w:type="paragraph" w:customStyle="1" w:styleId="14">
    <w:name w:val="List Paragraph1"/>
    <w:basedOn w:val="1"/>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510</Words>
  <Characters>2910</Characters>
  <Lines>24</Lines>
  <Paragraphs>6</Paragraphs>
  <TotalTime>0</TotalTime>
  <ScaleCrop>false</ScaleCrop>
  <LinksUpToDate>false</LinksUpToDate>
  <CharactersWithSpaces>3414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2017-06-09T05:06:00Z</dcterms:created>
  <dc:creator>许梦如</dc:creator>
  <cp:lastModifiedBy>Administrator</cp:lastModifiedBy>
  <cp:lastPrinted>2016-08-03T02:49:00Z</cp:lastPrinted>
  <dcterms:modified xsi:type="dcterms:W3CDTF">2023-12-12T10:53:58Z</dcterms:modified>
  <dc:title>喀什地区部门决算和三公经费</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