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仿宋_GB2312" w:eastAsia="仿宋_GB2312" w:cs="仿宋_GB2312"/>
          <w:b/>
          <w:sz w:val="44"/>
          <w:szCs w:val="44"/>
        </w:rPr>
      </w:pPr>
      <w:bookmarkStart w:id="1" w:name="_GoBack"/>
      <w:bookmarkEnd w:id="1"/>
    </w:p>
    <w:p>
      <w:pPr>
        <w:spacing w:line="500" w:lineRule="exact"/>
        <w:jc w:val="center"/>
        <w:rPr>
          <w:rFonts w:ascii="仿宋_GB2312" w:eastAsia="仿宋_GB2312" w:cs="仿宋_GB2312"/>
          <w:b/>
          <w:sz w:val="44"/>
          <w:szCs w:val="44"/>
        </w:rPr>
      </w:pPr>
      <w:r>
        <w:rPr>
          <w:rFonts w:ascii="仿宋_GB2312" w:eastAsia="仿宋_GB2312" w:cs="仿宋_GB2312"/>
          <w:b/>
          <w:sz w:val="44"/>
          <w:szCs w:val="44"/>
        </w:rPr>
        <w:t>2016</w:t>
      </w:r>
      <w:r>
        <w:rPr>
          <w:rFonts w:hint="eastAsia" w:ascii="仿宋_GB2312" w:eastAsia="仿宋_GB2312" w:cs="仿宋_GB2312"/>
          <w:b/>
          <w:sz w:val="44"/>
          <w:szCs w:val="44"/>
        </w:rPr>
        <w:t>年</w:t>
      </w:r>
      <w:r>
        <w:rPr>
          <w:rFonts w:hint="eastAsia" w:ascii="仿宋_GB2312" w:hAnsi="宋体" w:eastAsia="仿宋_GB2312" w:cs="仿宋_GB2312"/>
          <w:b/>
          <w:sz w:val="44"/>
          <w:szCs w:val="44"/>
        </w:rPr>
        <w:t>喀什地区叶城县</w:t>
      </w:r>
      <w:r>
        <w:rPr>
          <w:rFonts w:hint="eastAsia" w:ascii="仿宋_GB2312" w:eastAsia="仿宋_GB2312" w:cs="仿宋_GB2312"/>
          <w:b/>
          <w:sz w:val="44"/>
          <w:szCs w:val="44"/>
        </w:rPr>
        <w:t>棋盘乡人民政府</w:t>
      </w:r>
    </w:p>
    <w:p>
      <w:pPr>
        <w:spacing w:line="500" w:lineRule="exact"/>
        <w:jc w:val="center"/>
        <w:rPr>
          <w:rFonts w:ascii="仿宋_GB2312" w:eastAsia="仿宋_GB2312"/>
          <w:b/>
          <w:sz w:val="44"/>
          <w:szCs w:val="44"/>
        </w:rPr>
      </w:pPr>
      <w:r>
        <w:rPr>
          <w:rFonts w:hint="eastAsia" w:ascii="仿宋_GB2312" w:eastAsia="仿宋_GB2312" w:cs="仿宋_GB2312"/>
          <w:b/>
          <w:sz w:val="44"/>
          <w:szCs w:val="44"/>
        </w:rPr>
        <w:t>部门决算</w:t>
      </w:r>
    </w:p>
    <w:p>
      <w:pPr>
        <w:spacing w:line="500" w:lineRule="exact"/>
        <w:jc w:val="center"/>
        <w:rPr>
          <w:rFonts w:ascii="仿宋_GB2312" w:eastAsia="仿宋_GB2312"/>
          <w:b/>
          <w:bCs/>
          <w:sz w:val="32"/>
          <w:szCs w:val="32"/>
        </w:rPr>
      </w:pP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第一部分单位概述</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棋盘乡单位性质为行政单位，全额拨款，执行会计制度为行政会计制度。独立编制机构</w:t>
      </w:r>
      <w:r>
        <w:rPr>
          <w:rFonts w:ascii="仿宋_GB2312" w:eastAsia="仿宋_GB2312" w:cs="仿宋_GB2312"/>
          <w:sz w:val="32"/>
          <w:szCs w:val="32"/>
        </w:rPr>
        <w:t xml:space="preserve"> 1 </w:t>
      </w:r>
      <w:r>
        <w:rPr>
          <w:rFonts w:hint="eastAsia" w:ascii="仿宋_GB2312" w:eastAsia="仿宋_GB2312" w:cs="仿宋_GB2312"/>
          <w:sz w:val="32"/>
          <w:szCs w:val="32"/>
        </w:rPr>
        <w:t>个，独立编制机构与上年一致。</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一、主要职能：</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负责全乡党政行政管理事务。负责全乡经济社会发展、社会事务管理、基层组织建设等全面工作。以全面建设社会主义新农村为根本出发点，不断深化美丽乡、村建设，不断铸牢全乡经济社会发展基础，为全乡人民群众提供社会服务。</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二、机构人员情况：</w:t>
      </w:r>
      <w:r>
        <w:rPr>
          <w:rFonts w:hint="eastAsia" w:ascii="仿宋_GB2312" w:eastAsia="仿宋_GB2312"/>
          <w:sz w:val="32"/>
          <w:szCs w:val="32"/>
        </w:rPr>
        <w:t>编制</w:t>
      </w:r>
      <w:r>
        <w:rPr>
          <w:rFonts w:ascii="仿宋_GB2312" w:eastAsia="仿宋_GB2312"/>
          <w:sz w:val="32"/>
          <w:szCs w:val="32"/>
        </w:rPr>
        <w:t>81</w:t>
      </w:r>
      <w:r>
        <w:rPr>
          <w:rFonts w:hint="eastAsia" w:ascii="仿宋_GB2312" w:eastAsia="仿宋_GB2312"/>
          <w:sz w:val="32"/>
          <w:szCs w:val="32"/>
        </w:rPr>
        <w:t>人，按照编委文件填报，实际实有在职人数</w:t>
      </w:r>
      <w:r>
        <w:rPr>
          <w:rFonts w:ascii="仿宋_GB2312" w:eastAsia="仿宋_GB2312"/>
          <w:sz w:val="32"/>
          <w:szCs w:val="32"/>
        </w:rPr>
        <w:t xml:space="preserve"> 66</w:t>
      </w:r>
      <w:r>
        <w:rPr>
          <w:rFonts w:hint="eastAsia" w:ascii="仿宋_GB2312" w:eastAsia="仿宋_GB2312"/>
          <w:sz w:val="32"/>
          <w:szCs w:val="32"/>
        </w:rPr>
        <w:t>人，退休</w:t>
      </w:r>
      <w:r>
        <w:rPr>
          <w:rFonts w:ascii="仿宋_GB2312" w:eastAsia="仿宋_GB2312"/>
          <w:sz w:val="32"/>
          <w:szCs w:val="32"/>
        </w:rPr>
        <w:t xml:space="preserve"> 0 </w:t>
      </w:r>
      <w:r>
        <w:rPr>
          <w:rFonts w:hint="eastAsia" w:ascii="仿宋_GB2312" w:eastAsia="仿宋_GB2312"/>
          <w:sz w:val="32"/>
          <w:szCs w:val="32"/>
        </w:rPr>
        <w:t>人，属于一般公共预算财政拨款开支</w:t>
      </w:r>
      <w:r>
        <w:rPr>
          <w:rFonts w:ascii="仿宋_GB2312" w:eastAsia="仿宋_GB2312"/>
          <w:sz w:val="32"/>
          <w:szCs w:val="32"/>
        </w:rPr>
        <w:t xml:space="preserve">48 </w:t>
      </w:r>
      <w:r>
        <w:rPr>
          <w:rFonts w:hint="eastAsia" w:ascii="仿宋_GB2312" w:eastAsia="仿宋_GB2312"/>
          <w:sz w:val="32"/>
          <w:szCs w:val="32"/>
        </w:rPr>
        <w:t>人，其中：在职</w:t>
      </w:r>
      <w:r>
        <w:rPr>
          <w:rFonts w:ascii="仿宋_GB2312" w:eastAsia="仿宋_GB2312"/>
          <w:sz w:val="32"/>
          <w:szCs w:val="32"/>
        </w:rPr>
        <w:t>48</w:t>
      </w:r>
      <w:r>
        <w:rPr>
          <w:rFonts w:hint="eastAsia" w:ascii="仿宋_GB2312" w:eastAsia="仿宋_GB2312"/>
          <w:sz w:val="32"/>
          <w:szCs w:val="32"/>
        </w:rPr>
        <w:t>人，退休</w:t>
      </w:r>
      <w:r>
        <w:rPr>
          <w:rFonts w:ascii="仿宋_GB2312" w:eastAsia="仿宋_GB2312"/>
          <w:sz w:val="32"/>
          <w:szCs w:val="32"/>
        </w:rPr>
        <w:t xml:space="preserve">0 </w:t>
      </w:r>
      <w:r>
        <w:rPr>
          <w:rFonts w:hint="eastAsia" w:ascii="仿宋_GB2312" w:eastAsia="仿宋_GB2312"/>
          <w:sz w:val="32"/>
          <w:szCs w:val="32"/>
        </w:rPr>
        <w:t>人。一般公共预算财政补助开支</w:t>
      </w:r>
      <w:r>
        <w:rPr>
          <w:rFonts w:ascii="仿宋_GB2312" w:eastAsia="仿宋_GB2312"/>
          <w:sz w:val="32"/>
          <w:szCs w:val="32"/>
        </w:rPr>
        <w:t xml:space="preserve"> 18 </w:t>
      </w:r>
      <w:r>
        <w:rPr>
          <w:rFonts w:hint="eastAsia" w:ascii="仿宋_GB2312" w:eastAsia="仿宋_GB2312"/>
          <w:sz w:val="32"/>
          <w:szCs w:val="32"/>
        </w:rPr>
        <w:t>人，其中：在职</w:t>
      </w:r>
      <w:r>
        <w:rPr>
          <w:rFonts w:ascii="仿宋_GB2312" w:eastAsia="仿宋_GB2312"/>
          <w:sz w:val="32"/>
          <w:szCs w:val="32"/>
        </w:rPr>
        <w:t xml:space="preserve"> 18</w:t>
      </w:r>
      <w:r>
        <w:rPr>
          <w:rFonts w:hint="eastAsia" w:ascii="仿宋_GB2312" w:eastAsia="仿宋_GB2312"/>
          <w:sz w:val="32"/>
          <w:szCs w:val="32"/>
        </w:rPr>
        <w:t>人，退休</w:t>
      </w:r>
      <w:r>
        <w:rPr>
          <w:rFonts w:ascii="仿宋_GB2312" w:eastAsia="仿宋_GB2312"/>
          <w:sz w:val="32"/>
          <w:szCs w:val="32"/>
        </w:rPr>
        <w:t xml:space="preserve">  0</w:t>
      </w:r>
      <w:r>
        <w:rPr>
          <w:rFonts w:hint="eastAsia" w:ascii="仿宋_GB2312" w:eastAsia="仿宋_GB2312"/>
          <w:sz w:val="32"/>
          <w:szCs w:val="32"/>
        </w:rPr>
        <w:t>人。经费自理</w:t>
      </w:r>
      <w:r>
        <w:rPr>
          <w:rFonts w:ascii="仿宋_GB2312" w:eastAsia="仿宋_GB2312"/>
          <w:sz w:val="32"/>
          <w:szCs w:val="32"/>
        </w:rPr>
        <w:t xml:space="preserve"> 0</w:t>
      </w:r>
      <w:r>
        <w:rPr>
          <w:rFonts w:hint="eastAsia" w:ascii="仿宋_GB2312" w:eastAsia="仿宋_GB2312"/>
          <w:sz w:val="32"/>
          <w:szCs w:val="32"/>
        </w:rPr>
        <w:t>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三、决算单位构成</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纳入叶城县棋盘乡人民政府</w:t>
      </w:r>
      <w:r>
        <w:rPr>
          <w:rFonts w:ascii="仿宋_GB2312" w:eastAsia="仿宋_GB2312" w:cs="仿宋_GB2312"/>
          <w:sz w:val="32"/>
          <w:szCs w:val="32"/>
        </w:rPr>
        <w:t>2016</w:t>
      </w:r>
      <w:r>
        <w:rPr>
          <w:rFonts w:hint="eastAsia" w:ascii="仿宋_GB2312" w:eastAsia="仿宋_GB2312" w:cs="仿宋_GB2312"/>
          <w:sz w:val="32"/>
          <w:szCs w:val="32"/>
        </w:rPr>
        <w:t>年部门决算编制范围的单位名单见下表：</w:t>
      </w:r>
    </w:p>
    <w:p>
      <w:pPr>
        <w:spacing w:line="560" w:lineRule="exact"/>
        <w:ind w:firstLine="640" w:firstLineChars="200"/>
        <w:rPr>
          <w:rFonts w:ascii="仿宋_GB2312" w:eastAsia="仿宋_GB2312"/>
          <w:sz w:val="32"/>
          <w:szCs w:val="32"/>
        </w:rPr>
      </w:pPr>
    </w:p>
    <w:tbl>
      <w:tblPr>
        <w:tblStyle w:val="6"/>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2"/>
        <w:gridCol w:w="4049"/>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2" w:type="dxa"/>
          </w:tcPr>
          <w:p>
            <w:pPr>
              <w:spacing w:line="560" w:lineRule="exact"/>
              <w:rPr>
                <w:rFonts w:ascii="仿宋_GB2312" w:eastAsia="仿宋_GB2312"/>
                <w:sz w:val="32"/>
                <w:szCs w:val="32"/>
              </w:rPr>
            </w:pPr>
            <w:r>
              <w:rPr>
                <w:rFonts w:hint="eastAsia" w:ascii="仿宋_GB2312" w:eastAsia="仿宋_GB2312" w:cs="仿宋_GB2312"/>
                <w:sz w:val="32"/>
                <w:szCs w:val="32"/>
              </w:rPr>
              <w:t>序号</w:t>
            </w:r>
          </w:p>
        </w:tc>
        <w:tc>
          <w:tcPr>
            <w:tcW w:w="4049" w:type="dxa"/>
          </w:tcPr>
          <w:p>
            <w:pPr>
              <w:spacing w:line="560" w:lineRule="exact"/>
              <w:rPr>
                <w:rFonts w:ascii="仿宋_GB2312" w:eastAsia="仿宋_GB2312"/>
                <w:sz w:val="32"/>
                <w:szCs w:val="32"/>
              </w:rPr>
            </w:pPr>
            <w:r>
              <w:rPr>
                <w:rFonts w:hint="eastAsia" w:ascii="仿宋_GB2312" w:eastAsia="仿宋_GB2312" w:cs="仿宋_GB2312"/>
                <w:sz w:val="32"/>
                <w:szCs w:val="32"/>
              </w:rPr>
              <w:t>单位名称</w:t>
            </w:r>
          </w:p>
        </w:tc>
        <w:tc>
          <w:tcPr>
            <w:tcW w:w="2841" w:type="dxa"/>
          </w:tcPr>
          <w:p>
            <w:pPr>
              <w:spacing w:line="560" w:lineRule="exact"/>
              <w:rPr>
                <w:rFonts w:ascii="仿宋_GB2312" w:eastAsia="仿宋_GB2312"/>
                <w:sz w:val="32"/>
                <w:szCs w:val="32"/>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2" w:type="dxa"/>
          </w:tcPr>
          <w:p>
            <w:pPr>
              <w:spacing w:line="560" w:lineRule="exact"/>
              <w:rPr>
                <w:rFonts w:ascii="仿宋_GB2312" w:eastAsia="仿宋_GB2312"/>
                <w:sz w:val="32"/>
                <w:szCs w:val="32"/>
              </w:rPr>
            </w:pPr>
            <w:r>
              <w:rPr>
                <w:rFonts w:ascii="仿宋_GB2312" w:eastAsia="仿宋_GB2312"/>
                <w:sz w:val="32"/>
                <w:szCs w:val="32"/>
              </w:rPr>
              <w:t>1</w:t>
            </w:r>
          </w:p>
        </w:tc>
        <w:tc>
          <w:tcPr>
            <w:tcW w:w="4049" w:type="dxa"/>
          </w:tcPr>
          <w:p>
            <w:pPr>
              <w:spacing w:line="560" w:lineRule="exact"/>
              <w:rPr>
                <w:rFonts w:ascii="仿宋_GB2312" w:eastAsia="仿宋_GB2312"/>
                <w:sz w:val="32"/>
                <w:szCs w:val="32"/>
              </w:rPr>
            </w:pPr>
            <w:r>
              <w:rPr>
                <w:rFonts w:hint="eastAsia" w:ascii="仿宋_GB2312" w:eastAsia="仿宋_GB2312"/>
                <w:sz w:val="32"/>
                <w:szCs w:val="32"/>
              </w:rPr>
              <w:t>叶城县棋盘乡人民政府</w:t>
            </w:r>
          </w:p>
        </w:tc>
        <w:tc>
          <w:tcPr>
            <w:tcW w:w="2841" w:type="dxa"/>
          </w:tcPr>
          <w:p>
            <w:pPr>
              <w:spacing w:line="560" w:lineRule="exact"/>
              <w:rPr>
                <w:rFonts w:ascii="仿宋_GB2312" w:eastAsia="仿宋_GB2312"/>
                <w:sz w:val="32"/>
                <w:szCs w:val="32"/>
              </w:rPr>
            </w:pPr>
          </w:p>
        </w:tc>
      </w:tr>
    </w:tbl>
    <w:p>
      <w:pPr>
        <w:numPr>
          <w:ilvl w:val="0"/>
          <w:numId w:val="1"/>
        </w:numPr>
        <w:snapToGrid w:val="0"/>
        <w:spacing w:line="560" w:lineRule="exact"/>
        <w:ind w:firstLine="640" w:firstLineChars="200"/>
        <w:rPr>
          <w:rFonts w:ascii="仿宋_GB2312" w:eastAsia="仿宋_GB2312"/>
          <w:bCs/>
          <w:sz w:val="32"/>
          <w:szCs w:val="32"/>
        </w:rPr>
      </w:pPr>
      <w:bookmarkStart w:id="0" w:name="YS060102"/>
      <w:r>
        <w:rPr>
          <w:rFonts w:hint="eastAsia" w:ascii="仿宋_GB2312" w:eastAsia="仿宋_GB2312"/>
          <w:bCs/>
          <w:sz w:val="32"/>
          <w:szCs w:val="32"/>
        </w:rPr>
        <w:t>机构设置</w:t>
      </w:r>
    </w:p>
    <w:p>
      <w:pPr>
        <w:snapToGrid w:val="0"/>
        <w:spacing w:line="560" w:lineRule="exact"/>
        <w:ind w:left="640"/>
        <w:rPr>
          <w:rFonts w:ascii="仿宋_GB2312" w:eastAsia="仿宋_GB2312"/>
          <w:bCs/>
          <w:sz w:val="32"/>
          <w:szCs w:val="32"/>
        </w:rPr>
      </w:pPr>
      <w:r>
        <w:rPr>
          <w:rFonts w:hint="eastAsia" w:ascii="仿宋_GB2312" w:eastAsia="仿宋_GB2312"/>
          <w:bCs/>
          <w:sz w:val="32"/>
          <w:szCs w:val="32"/>
        </w:rPr>
        <w:t>根据县要求，</w:t>
      </w:r>
      <w:r>
        <w:rPr>
          <w:rFonts w:hint="eastAsia" w:ascii="仿宋_GB2312" w:hAnsi="Arial" w:eastAsia="仿宋_GB2312" w:cs="Arial"/>
          <w:bCs/>
          <w:sz w:val="32"/>
          <w:szCs w:val="32"/>
        </w:rPr>
        <w:t>纳入</w:t>
      </w:r>
      <w:r>
        <w:rPr>
          <w:rFonts w:ascii="仿宋_GB2312" w:hAnsi="Arial" w:eastAsia="仿宋_GB2312" w:cs="Arial"/>
          <w:bCs/>
          <w:sz w:val="32"/>
          <w:szCs w:val="32"/>
        </w:rPr>
        <w:t>2016</w:t>
      </w:r>
      <w:r>
        <w:rPr>
          <w:rFonts w:hint="eastAsia" w:ascii="仿宋_GB2312" w:hAnsi="Arial" w:eastAsia="仿宋_GB2312" w:cs="Arial"/>
          <w:bCs/>
          <w:sz w:val="32"/>
          <w:szCs w:val="32"/>
        </w:rPr>
        <w:t>年部门决算编制范围的有</w:t>
      </w:r>
      <w:r>
        <w:rPr>
          <w:rFonts w:ascii="仿宋_GB2312" w:hAnsi="Arial" w:eastAsia="仿宋_GB2312" w:cs="Arial"/>
          <w:bCs/>
          <w:sz w:val="32"/>
          <w:szCs w:val="32"/>
        </w:rPr>
        <w:t>7</w:t>
      </w:r>
      <w:r>
        <w:rPr>
          <w:rFonts w:hint="eastAsia" w:ascii="仿宋_GB2312" w:hAnsi="Arial" w:eastAsia="仿宋_GB2312" w:cs="Arial"/>
          <w:bCs/>
          <w:sz w:val="32"/>
          <w:szCs w:val="32"/>
        </w:rPr>
        <w:t>个内设机构，七站八所划归乡镇，</w:t>
      </w:r>
      <w:r>
        <w:rPr>
          <w:rFonts w:hint="eastAsia" w:ascii="仿宋_GB2312" w:eastAsia="仿宋_GB2312"/>
          <w:bCs/>
          <w:sz w:val="32"/>
          <w:szCs w:val="32"/>
        </w:rPr>
        <w:t>共设有农业农村经济办、党建办、社会事务办、财政所、民政所、等机构</w:t>
      </w:r>
    </w:p>
    <w:p>
      <w:pPr>
        <w:tabs>
          <w:tab w:val="left" w:pos="823"/>
        </w:tabs>
        <w:snapToGrid w:val="0"/>
        <w:spacing w:line="560" w:lineRule="exact"/>
        <w:ind w:firstLine="640" w:firstLineChars="200"/>
        <w:rPr>
          <w:rFonts w:ascii="仿宋_GB2312" w:eastAsia="仿宋_GB2312"/>
          <w:bCs/>
          <w:sz w:val="32"/>
          <w:szCs w:val="32"/>
        </w:rPr>
      </w:pPr>
      <w:r>
        <w:rPr>
          <w:rFonts w:hint="eastAsia" w:ascii="仿宋_GB2312" w:eastAsia="仿宋_GB2312" w:cs="仿宋_GB2312"/>
          <w:bCs/>
          <w:sz w:val="32"/>
          <w:szCs w:val="32"/>
        </w:rPr>
        <w:t>第二部分棋盘乡</w:t>
      </w:r>
      <w:r>
        <w:rPr>
          <w:rFonts w:ascii="仿宋_GB2312" w:eastAsia="仿宋_GB2312" w:cs="仿宋_GB2312"/>
          <w:bCs/>
          <w:sz w:val="32"/>
          <w:szCs w:val="32"/>
        </w:rPr>
        <w:t>2016</w:t>
      </w:r>
      <w:r>
        <w:rPr>
          <w:rFonts w:hint="eastAsia" w:ascii="仿宋_GB2312" w:eastAsia="仿宋_GB2312" w:cs="仿宋_GB2312"/>
          <w:bCs/>
          <w:sz w:val="32"/>
          <w:szCs w:val="32"/>
        </w:rPr>
        <w:t>年度部门决算报表，</w:t>
      </w:r>
    </w:p>
    <w:p>
      <w:pPr>
        <w:numPr>
          <w:ilvl w:val="0"/>
          <w:numId w:val="2"/>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十九、政府性基金预算财政拨款支出决算明细表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w:t>
      </w:r>
      <w:r>
        <w:rPr>
          <w:rFonts w:ascii="仿宋_GB2312" w:eastAsia="仿宋_GB2312" w:cs="仿宋_GB2312"/>
          <w:sz w:val="32"/>
          <w:szCs w:val="32"/>
        </w:rPr>
        <w:t>2016</w:t>
      </w:r>
      <w:r>
        <w:rPr>
          <w:rFonts w:hint="eastAsia" w:ascii="仿宋_GB2312" w:eastAsia="仿宋_GB2312" w:cs="仿宋_GB2312"/>
          <w:sz w:val="32"/>
          <w:szCs w:val="32"/>
        </w:rPr>
        <w:t>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w:t>
      </w:r>
      <w:r>
        <w:rPr>
          <w:rFonts w:ascii="仿宋_GB2312" w:eastAsia="仿宋_GB2312" w:cs="仿宋_GB2312"/>
          <w:sz w:val="32"/>
          <w:szCs w:val="32"/>
        </w:rPr>
        <w:t>2016</w:t>
      </w:r>
      <w:r>
        <w:rPr>
          <w:rFonts w:hint="eastAsia" w:ascii="仿宋_GB2312" w:eastAsia="仿宋_GB2312" w:cs="仿宋_GB2312"/>
          <w:sz w:val="32"/>
          <w:szCs w:val="32"/>
        </w:rPr>
        <w:t>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w:t>
      </w:r>
      <w:r>
        <w:rPr>
          <w:rFonts w:ascii="仿宋_GB2312" w:hAnsi="宋体" w:eastAsia="仿宋_GB2312" w:cs="仿宋_GB2312"/>
          <w:sz w:val="32"/>
          <w:szCs w:val="32"/>
        </w:rPr>
        <w:t>2016</w:t>
      </w:r>
      <w:r>
        <w:rPr>
          <w:rFonts w:hint="eastAsia" w:ascii="仿宋_GB2312" w:hAnsi="宋体" w:eastAsia="仿宋_GB2312" w:cs="仿宋_GB2312"/>
          <w:sz w:val="32"/>
          <w:szCs w:val="32"/>
        </w:rPr>
        <w:t>年度财政拨款“三公”经费支出表及说明</w:t>
      </w:r>
    </w:p>
    <w:p>
      <w:pPr>
        <w:snapToGrid w:val="0"/>
        <w:spacing w:line="560" w:lineRule="exact"/>
        <w:jc w:val="center"/>
        <w:rPr>
          <w:rFonts w:ascii="仿宋_GB2312" w:eastAsia="仿宋_GB2312" w:cs="仿宋_GB2312"/>
          <w:b/>
          <w:sz w:val="32"/>
          <w:szCs w:val="32"/>
        </w:rPr>
      </w:pPr>
      <w:r>
        <w:rPr>
          <w:rFonts w:hint="eastAsia" w:ascii="仿宋_GB2312" w:eastAsia="仿宋_GB2312" w:cs="仿宋_GB2312"/>
          <w:b/>
          <w:sz w:val="32"/>
          <w:szCs w:val="32"/>
        </w:rPr>
        <w:t>第三部分</w:t>
      </w:r>
      <w:r>
        <w:rPr>
          <w:rFonts w:ascii="仿宋_GB2312" w:eastAsia="仿宋_GB2312" w:cs="仿宋_GB2312"/>
          <w:b/>
          <w:sz w:val="32"/>
          <w:szCs w:val="32"/>
        </w:rPr>
        <w:t xml:space="preserve">  </w:t>
      </w:r>
      <w:r>
        <w:rPr>
          <w:rFonts w:hint="eastAsia" w:ascii="仿宋_GB2312" w:eastAsia="仿宋_GB2312" w:cs="仿宋_GB2312"/>
          <w:b/>
          <w:sz w:val="32"/>
          <w:szCs w:val="32"/>
        </w:rPr>
        <w:t>棋盘乡</w:t>
      </w:r>
      <w:r>
        <w:rPr>
          <w:rFonts w:ascii="仿宋_GB2312" w:eastAsia="仿宋_GB2312" w:cs="仿宋_GB2312"/>
          <w:b/>
          <w:sz w:val="32"/>
          <w:szCs w:val="32"/>
        </w:rPr>
        <w:t>2016</w:t>
      </w:r>
      <w:r>
        <w:rPr>
          <w:rFonts w:hint="eastAsia" w:ascii="仿宋_GB2312" w:eastAsia="仿宋_GB2312" w:cs="仿宋_GB2312"/>
          <w:b/>
          <w:sz w:val="32"/>
          <w:szCs w:val="32"/>
        </w:rPr>
        <w:t>年度部门决算情况说明</w:t>
      </w:r>
    </w:p>
    <w:p>
      <w:pPr>
        <w:snapToGrid w:val="0"/>
        <w:spacing w:line="560" w:lineRule="exact"/>
        <w:ind w:left="149" w:leftChars="71" w:firstLine="480" w:firstLineChars="150"/>
        <w:rPr>
          <w:rFonts w:ascii="仿宋_GB2312" w:eastAsia="仿宋_GB2312" w:cs="仿宋_GB2312"/>
          <w:sz w:val="32"/>
          <w:szCs w:val="32"/>
        </w:rPr>
      </w:pPr>
      <w:r>
        <w:rPr>
          <w:rFonts w:hint="eastAsia" w:ascii="仿宋_GB2312" w:eastAsia="仿宋_GB2312" w:cs="仿宋_GB2312"/>
          <w:sz w:val="32"/>
          <w:szCs w:val="32"/>
        </w:rPr>
        <w:t>一、部门收入支出决算总体情况说明：</w:t>
      </w:r>
    </w:p>
    <w:p>
      <w:pPr>
        <w:spacing w:line="560" w:lineRule="exact"/>
        <w:ind w:firstLine="480" w:firstLineChars="15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年全年收入合</w:t>
      </w:r>
      <w:r>
        <w:rPr>
          <w:rFonts w:ascii="仿宋_GB2312" w:eastAsia="仿宋_GB2312" w:cs="仿宋_GB2312"/>
          <w:sz w:val="32"/>
          <w:szCs w:val="32"/>
        </w:rPr>
        <w:t>16,217,510.76</w:t>
      </w:r>
      <w:r>
        <w:rPr>
          <w:rFonts w:hint="eastAsia" w:ascii="仿宋_GB2312" w:eastAsia="仿宋_GB2312" w:cs="仿宋_GB2312"/>
          <w:sz w:val="32"/>
          <w:szCs w:val="32"/>
        </w:rPr>
        <w:t>元，支出合计</w:t>
      </w:r>
      <w:r>
        <w:rPr>
          <w:rFonts w:ascii="仿宋_GB2312" w:eastAsia="仿宋_GB2312" w:cs="仿宋_GB2312"/>
          <w:sz w:val="32"/>
          <w:szCs w:val="32"/>
        </w:rPr>
        <w:t>16,</w:t>
      </w:r>
      <w:r>
        <w:rPr>
          <w:rFonts w:hint="eastAsia" w:ascii="仿宋_GB2312" w:eastAsia="仿宋_GB2312" w:cs="仿宋_GB2312"/>
          <w:sz w:val="32"/>
          <w:szCs w:val="32"/>
        </w:rPr>
        <w:t>1</w:t>
      </w:r>
      <w:r>
        <w:rPr>
          <w:rFonts w:ascii="仿宋_GB2312" w:eastAsia="仿宋_GB2312" w:cs="仿宋_GB2312"/>
          <w:sz w:val="32"/>
          <w:szCs w:val="32"/>
        </w:rPr>
        <w:t>17,510.76</w:t>
      </w:r>
      <w:r>
        <w:rPr>
          <w:rFonts w:hint="eastAsia" w:ascii="仿宋_GB2312" w:eastAsia="仿宋_GB2312" w:cs="仿宋_GB2312"/>
          <w:sz w:val="32"/>
          <w:szCs w:val="32"/>
        </w:rPr>
        <w:t>元，其中基本支出</w:t>
      </w:r>
      <w:r>
        <w:rPr>
          <w:rFonts w:ascii="仿宋_GB2312" w:eastAsia="仿宋_GB2312" w:cs="仿宋_GB2312"/>
          <w:sz w:val="32"/>
          <w:szCs w:val="32"/>
        </w:rPr>
        <w:t>10,942,530.76</w:t>
      </w:r>
      <w:r>
        <w:rPr>
          <w:rFonts w:hint="eastAsia" w:ascii="仿宋_GB2312" w:eastAsia="仿宋_GB2312" w:cs="仿宋_GB2312"/>
          <w:sz w:val="32"/>
          <w:szCs w:val="32"/>
        </w:rPr>
        <w:t>元，项目支出</w:t>
      </w:r>
      <w:r>
        <w:rPr>
          <w:rFonts w:ascii="仿宋_GB2312" w:eastAsia="仿宋_GB2312" w:cs="仿宋_GB2312"/>
          <w:sz w:val="32"/>
          <w:szCs w:val="32"/>
        </w:rPr>
        <w:t>5,174,980.00</w:t>
      </w:r>
      <w:r>
        <w:rPr>
          <w:rFonts w:hint="eastAsia" w:ascii="仿宋_GB2312" w:eastAsia="仿宋_GB2312" w:cs="仿宋_GB2312"/>
          <w:sz w:val="32"/>
          <w:szCs w:val="32"/>
        </w:rPr>
        <w:t>元。</w:t>
      </w:r>
    </w:p>
    <w:bookmarkEnd w:id="0"/>
    <w:p>
      <w:pPr>
        <w:numPr>
          <w:ilvl w:val="0"/>
          <w:numId w:val="3"/>
        </w:numPr>
        <w:snapToGrid w:val="0"/>
        <w:spacing w:line="560" w:lineRule="exact"/>
        <w:rPr>
          <w:rFonts w:ascii="仿宋_GB2312" w:eastAsia="仿宋_GB2312" w:cs="仿宋_GB2312"/>
          <w:sz w:val="32"/>
          <w:szCs w:val="32"/>
        </w:rPr>
      </w:pPr>
      <w:r>
        <w:rPr>
          <w:rFonts w:hint="eastAsia" w:ascii="仿宋_GB2312" w:eastAsia="仿宋_GB2312" w:cs="仿宋_GB2312"/>
          <w:sz w:val="32"/>
          <w:szCs w:val="32"/>
        </w:rPr>
        <w:t>收入情况说明</w:t>
      </w:r>
    </w:p>
    <w:p>
      <w:pPr>
        <w:snapToGrid w:val="0"/>
        <w:spacing w:line="560" w:lineRule="exact"/>
        <w:ind w:firstLine="480" w:firstLineChars="15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年本年收入合计</w:t>
      </w:r>
      <w:r>
        <w:rPr>
          <w:rFonts w:ascii="仿宋_GB2312" w:eastAsia="仿宋_GB2312" w:cs="仿宋_GB2312"/>
          <w:sz w:val="32"/>
          <w:szCs w:val="32"/>
        </w:rPr>
        <w:t>16,217,510.76</w:t>
      </w:r>
      <w:r>
        <w:rPr>
          <w:rFonts w:hint="eastAsia" w:ascii="仿宋_GB2312" w:eastAsia="仿宋_GB2312" w:cs="仿宋_GB2312"/>
          <w:sz w:val="32"/>
          <w:szCs w:val="32"/>
        </w:rPr>
        <w:t>元，其中：财政拨款收入</w:t>
      </w:r>
      <w:r>
        <w:rPr>
          <w:rFonts w:ascii="仿宋_GB2312" w:eastAsia="仿宋_GB2312" w:cs="仿宋_GB2312"/>
          <w:sz w:val="32"/>
          <w:szCs w:val="32"/>
        </w:rPr>
        <w:t xml:space="preserve"> 16,217,510.76 </w:t>
      </w:r>
      <w:r>
        <w:rPr>
          <w:rFonts w:hint="eastAsia" w:ascii="仿宋_GB2312" w:eastAsia="仿宋_GB2312" w:cs="仿宋_GB2312"/>
          <w:sz w:val="32"/>
          <w:szCs w:val="32"/>
        </w:rPr>
        <w:t>元，事业收入</w:t>
      </w:r>
      <w:r>
        <w:rPr>
          <w:rFonts w:ascii="仿宋_GB2312" w:eastAsia="仿宋_GB2312" w:cs="仿宋_GB2312"/>
          <w:sz w:val="32"/>
          <w:szCs w:val="32"/>
        </w:rPr>
        <w:t xml:space="preserve">0 </w:t>
      </w:r>
      <w:r>
        <w:rPr>
          <w:rFonts w:hint="eastAsia" w:ascii="仿宋_GB2312" w:eastAsia="仿宋_GB2312" w:cs="仿宋_GB2312"/>
          <w:sz w:val="32"/>
          <w:szCs w:val="32"/>
        </w:rPr>
        <w:t>元，经营收入</w:t>
      </w:r>
      <w:r>
        <w:rPr>
          <w:rFonts w:ascii="仿宋_GB2312" w:eastAsia="仿宋_GB2312" w:cs="仿宋_GB2312"/>
          <w:sz w:val="32"/>
          <w:szCs w:val="32"/>
        </w:rPr>
        <w:t xml:space="preserve">  0</w:t>
      </w:r>
      <w:r>
        <w:rPr>
          <w:rFonts w:hint="eastAsia" w:ascii="仿宋_GB2312" w:eastAsia="仿宋_GB2312" w:cs="仿宋_GB2312"/>
          <w:sz w:val="32"/>
          <w:szCs w:val="32"/>
        </w:rPr>
        <w:t>元，其他收入</w:t>
      </w:r>
      <w:r>
        <w:rPr>
          <w:rFonts w:ascii="仿宋_GB2312" w:eastAsia="仿宋_GB2312" w:cs="仿宋_GB2312"/>
          <w:sz w:val="32"/>
          <w:szCs w:val="32"/>
        </w:rPr>
        <w:t xml:space="preserve"> 0</w:t>
      </w:r>
      <w:r>
        <w:rPr>
          <w:rFonts w:hint="eastAsia" w:ascii="仿宋_GB2312" w:eastAsia="仿宋_GB2312" w:cs="仿宋_GB2312"/>
          <w:sz w:val="32"/>
          <w:szCs w:val="32"/>
        </w:rPr>
        <w:t>元。</w:t>
      </w:r>
    </w:p>
    <w:p>
      <w:pPr>
        <w:snapToGrid w:val="0"/>
        <w:spacing w:line="560" w:lineRule="exact"/>
        <w:ind w:left="147" w:leftChars="70" w:firstLine="480" w:firstLineChars="150"/>
        <w:rPr>
          <w:rFonts w:ascii="仿宋_GB2312" w:eastAsia="仿宋_GB2312" w:cs="仿宋_GB2312"/>
          <w:sz w:val="32"/>
          <w:szCs w:val="32"/>
        </w:rPr>
      </w:pPr>
      <w:r>
        <w:rPr>
          <w:rFonts w:hint="eastAsia" w:ascii="仿宋_GB2312" w:eastAsia="仿宋_GB2312" w:cs="仿宋_GB2312"/>
          <w:sz w:val="32"/>
          <w:szCs w:val="32"/>
        </w:rPr>
        <w:t>三、支出情况说明</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本年支出合计</w:t>
      </w:r>
      <w:r>
        <w:rPr>
          <w:rFonts w:ascii="仿宋_GB2312" w:eastAsia="仿宋_GB2312" w:cs="仿宋_GB2312"/>
          <w:sz w:val="32"/>
          <w:szCs w:val="32"/>
        </w:rPr>
        <w:t>16,117,510.76</w:t>
      </w:r>
      <w:r>
        <w:rPr>
          <w:rFonts w:hint="eastAsia" w:ascii="仿宋_GB2312" w:eastAsia="仿宋_GB2312" w:cs="仿宋_GB2312"/>
          <w:sz w:val="32"/>
          <w:szCs w:val="32"/>
        </w:rPr>
        <w:t>元，其中：基本支出</w:t>
      </w:r>
      <w:r>
        <w:rPr>
          <w:rFonts w:ascii="仿宋_GB2312" w:eastAsia="仿宋_GB2312" w:cs="仿宋_GB2312"/>
          <w:sz w:val="32"/>
          <w:szCs w:val="32"/>
        </w:rPr>
        <w:t>10,942,530.76</w:t>
      </w:r>
      <w:r>
        <w:rPr>
          <w:rFonts w:hint="eastAsia" w:ascii="仿宋_GB2312" w:eastAsia="仿宋_GB2312" w:cs="仿宋_GB2312"/>
          <w:sz w:val="32"/>
          <w:szCs w:val="32"/>
        </w:rPr>
        <w:t>元，项目支出</w:t>
      </w:r>
      <w:r>
        <w:rPr>
          <w:rFonts w:ascii="仿宋_GB2312" w:eastAsia="仿宋_GB2312" w:cs="仿宋_GB2312"/>
          <w:sz w:val="32"/>
          <w:szCs w:val="32"/>
        </w:rPr>
        <w:t>5,174,980.00</w:t>
      </w:r>
      <w:r>
        <w:rPr>
          <w:rFonts w:hint="eastAsia" w:ascii="仿宋_GB2312" w:eastAsia="仿宋_GB2312" w:cs="仿宋_GB2312"/>
          <w:sz w:val="32"/>
          <w:szCs w:val="32"/>
        </w:rPr>
        <w:t>元，经营支出</w:t>
      </w:r>
      <w:r>
        <w:rPr>
          <w:rFonts w:ascii="仿宋_GB2312" w:eastAsia="仿宋_GB2312" w:cs="仿宋_GB2312"/>
          <w:sz w:val="32"/>
          <w:szCs w:val="32"/>
        </w:rPr>
        <w:t xml:space="preserve">0      </w:t>
      </w:r>
      <w:r>
        <w:rPr>
          <w:rFonts w:hint="eastAsia" w:ascii="仿宋_GB2312" w:eastAsia="仿宋_GB2312" w:cs="仿宋_GB2312"/>
          <w:sz w:val="32"/>
          <w:szCs w:val="32"/>
        </w:rPr>
        <w:t>元。</w:t>
      </w:r>
    </w:p>
    <w:p>
      <w:pPr>
        <w:snapToGrid w:val="0"/>
        <w:spacing w:line="560" w:lineRule="exact"/>
        <w:ind w:left="210" w:leftChars="100" w:firstLine="640" w:firstLineChars="200"/>
        <w:rPr>
          <w:rFonts w:ascii="仿宋_GB2312" w:eastAsia="仿宋_GB2312" w:cs="仿宋_GB2312"/>
          <w:sz w:val="32"/>
          <w:szCs w:val="32"/>
        </w:rPr>
      </w:pPr>
      <w:r>
        <w:rPr>
          <w:rFonts w:hint="eastAsia" w:ascii="仿宋_GB2312" w:eastAsia="仿宋_GB2312" w:cs="仿宋_GB2312"/>
          <w:sz w:val="32"/>
          <w:szCs w:val="32"/>
        </w:rPr>
        <w:t>四、年末结转结余情况说明</w:t>
      </w:r>
    </w:p>
    <w:p>
      <w:pPr>
        <w:snapToGrid w:val="0"/>
        <w:spacing w:line="560" w:lineRule="exact"/>
        <w:ind w:left="149" w:leftChars="71"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年结转结余资金</w:t>
      </w:r>
      <w:r>
        <w:rPr>
          <w:rFonts w:ascii="仿宋_GB2312" w:eastAsia="仿宋_GB2312" w:cs="仿宋_GB2312"/>
          <w:sz w:val="32"/>
          <w:szCs w:val="32"/>
        </w:rPr>
        <w:t xml:space="preserve">100000 </w:t>
      </w:r>
      <w:r>
        <w:rPr>
          <w:rFonts w:hint="eastAsia" w:ascii="仿宋_GB2312" w:eastAsia="仿宋_GB2312" w:cs="仿宋_GB2312"/>
          <w:sz w:val="32"/>
          <w:szCs w:val="32"/>
        </w:rPr>
        <w:t>元（其中，财政拨款基本支出结转结余0元，项目支出结转结余</w:t>
      </w:r>
      <w:r>
        <w:rPr>
          <w:rFonts w:ascii="仿宋_GB2312" w:eastAsia="仿宋_GB2312" w:cs="仿宋_GB2312"/>
          <w:sz w:val="32"/>
          <w:szCs w:val="32"/>
        </w:rPr>
        <w:t xml:space="preserve">100000 </w:t>
      </w:r>
      <w:r>
        <w:rPr>
          <w:rFonts w:hint="eastAsia" w:ascii="仿宋_GB2312" w:eastAsia="仿宋_GB2312" w:cs="仿宋_GB2312"/>
          <w:sz w:val="32"/>
          <w:szCs w:val="32"/>
        </w:rPr>
        <w:t>元，主要为防灾救灾专项）。</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五、“三公”经费、会议费支出情况说明</w:t>
      </w:r>
    </w:p>
    <w:p>
      <w:pPr>
        <w:snapToGrid w:val="0"/>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年“三公”经费实际支出</w:t>
      </w:r>
      <w:r>
        <w:rPr>
          <w:rFonts w:ascii="仿宋_GB2312" w:eastAsia="仿宋_GB2312" w:cs="仿宋_GB2312"/>
          <w:sz w:val="32"/>
          <w:szCs w:val="32"/>
        </w:rPr>
        <w:t xml:space="preserve">75000.00 </w:t>
      </w:r>
      <w:r>
        <w:rPr>
          <w:rFonts w:hint="eastAsia" w:ascii="仿宋_GB2312" w:eastAsia="仿宋_GB2312" w:cs="仿宋_GB2312"/>
          <w:sz w:val="32"/>
          <w:szCs w:val="32"/>
        </w:rPr>
        <w:t>元，其中：因公外出费用</w:t>
      </w:r>
      <w:r>
        <w:rPr>
          <w:rFonts w:ascii="仿宋_GB2312" w:eastAsia="仿宋_GB2312" w:cs="仿宋_GB2312"/>
          <w:sz w:val="32"/>
          <w:szCs w:val="32"/>
        </w:rPr>
        <w:t xml:space="preserve"> 0 </w:t>
      </w:r>
      <w:r>
        <w:rPr>
          <w:rFonts w:hint="eastAsia" w:ascii="仿宋_GB2312" w:eastAsia="仿宋_GB2312" w:cs="仿宋_GB2312"/>
          <w:sz w:val="32"/>
          <w:szCs w:val="32"/>
        </w:rPr>
        <w:t>元，公务接待费</w:t>
      </w:r>
      <w:r>
        <w:rPr>
          <w:rFonts w:ascii="仿宋_GB2312" w:eastAsia="仿宋_GB2312" w:cs="仿宋_GB2312"/>
          <w:sz w:val="32"/>
          <w:szCs w:val="32"/>
        </w:rPr>
        <w:t xml:space="preserve"> 0</w:t>
      </w:r>
      <w:r>
        <w:rPr>
          <w:rFonts w:hint="eastAsia" w:ascii="仿宋_GB2312" w:eastAsia="仿宋_GB2312" w:cs="仿宋_GB2312"/>
          <w:sz w:val="32"/>
          <w:szCs w:val="32"/>
        </w:rPr>
        <w:t>元，公务用车购置</w:t>
      </w:r>
      <w:r>
        <w:rPr>
          <w:rFonts w:ascii="仿宋_GB2312" w:eastAsia="仿宋_GB2312" w:cs="仿宋_GB2312"/>
          <w:sz w:val="32"/>
          <w:szCs w:val="32"/>
        </w:rPr>
        <w:t>0</w:t>
      </w:r>
      <w:r>
        <w:rPr>
          <w:rFonts w:hint="eastAsia" w:ascii="仿宋_GB2312" w:eastAsia="仿宋_GB2312" w:cs="仿宋_GB2312"/>
          <w:sz w:val="32"/>
          <w:szCs w:val="32"/>
        </w:rPr>
        <w:t>元，年末公务用车保有量为</w:t>
      </w:r>
      <w:r>
        <w:rPr>
          <w:rFonts w:ascii="仿宋_GB2312" w:eastAsia="仿宋_GB2312" w:cs="仿宋_GB2312"/>
          <w:sz w:val="32"/>
          <w:szCs w:val="32"/>
        </w:rPr>
        <w:t xml:space="preserve"> 2 </w:t>
      </w:r>
      <w:r>
        <w:rPr>
          <w:rFonts w:hint="eastAsia" w:ascii="仿宋_GB2312" w:eastAsia="仿宋_GB2312" w:cs="仿宋_GB2312"/>
          <w:sz w:val="32"/>
          <w:szCs w:val="32"/>
        </w:rPr>
        <w:t>辆；公务用车维护费</w:t>
      </w:r>
      <w:r>
        <w:rPr>
          <w:rFonts w:ascii="仿宋_GB2312" w:eastAsia="仿宋_GB2312" w:cs="仿宋_GB2312"/>
          <w:sz w:val="32"/>
          <w:szCs w:val="32"/>
        </w:rPr>
        <w:t>75000.00</w:t>
      </w:r>
      <w:r>
        <w:rPr>
          <w:rFonts w:hint="eastAsia" w:ascii="仿宋_GB2312" w:eastAsia="仿宋_GB2312" w:cs="仿宋_GB2312"/>
          <w:sz w:val="32"/>
          <w:szCs w:val="32"/>
        </w:rPr>
        <w:t>元。</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“三公”经费较上年相比无增加</w:t>
      </w:r>
      <w:r>
        <w:rPr>
          <w:rFonts w:ascii="仿宋_GB2312" w:eastAsia="仿宋_GB2312" w:cs="仿宋_GB2312"/>
          <w:sz w:val="32"/>
          <w:szCs w:val="32"/>
        </w:rPr>
        <w:t>15000</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增加原因是由于山区乡镇较偏远，因乡镇七站八所划转，工作量增加。</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年会议费</w:t>
      </w:r>
      <w:r>
        <w:rPr>
          <w:rFonts w:ascii="仿宋_GB2312" w:hAnsi="宋体" w:eastAsia="仿宋_GB2312" w:cs="仿宋_GB2312"/>
          <w:sz w:val="32"/>
          <w:szCs w:val="32"/>
        </w:rPr>
        <w:t>0</w:t>
      </w:r>
      <w:r>
        <w:rPr>
          <w:rFonts w:hint="eastAsia" w:ascii="仿宋_GB2312" w:hAnsi="宋体" w:eastAsia="仿宋_GB2312" w:cs="仿宋_GB2312"/>
          <w:sz w:val="32"/>
          <w:szCs w:val="32"/>
        </w:rPr>
        <w:t>元，主要是：本单位无会议费。</w:t>
      </w:r>
      <w:r>
        <w:rPr>
          <w:rFonts w:ascii="仿宋_GB2312" w:hAnsi="宋体" w:eastAsia="仿宋_GB2312" w:cs="仿宋_GB2312"/>
          <w:sz w:val="32"/>
          <w:szCs w:val="32"/>
        </w:rPr>
        <w:t xml:space="preserve"> </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年培训费</w:t>
      </w:r>
      <w:r>
        <w:rPr>
          <w:rFonts w:ascii="仿宋_GB2312" w:hAnsi="宋体" w:eastAsia="仿宋_GB2312" w:cs="仿宋_GB2312"/>
          <w:sz w:val="32"/>
          <w:szCs w:val="32"/>
        </w:rPr>
        <w:t>0</w:t>
      </w:r>
      <w:r>
        <w:rPr>
          <w:rFonts w:hint="eastAsia" w:ascii="仿宋_GB2312" w:hAnsi="宋体" w:eastAsia="仿宋_GB2312" w:cs="仿宋_GB2312"/>
          <w:sz w:val="32"/>
          <w:szCs w:val="32"/>
        </w:rPr>
        <w:t>元，主要是：本单位无培训费。</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六、预算执行情况说明</w:t>
      </w:r>
    </w:p>
    <w:p>
      <w:pPr>
        <w:snapToGrid w:val="0"/>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年本年收入</w:t>
      </w:r>
      <w:r>
        <w:rPr>
          <w:rFonts w:ascii="仿宋_GB2312" w:eastAsia="仿宋_GB2312" w:cs="仿宋_GB2312"/>
          <w:sz w:val="32"/>
          <w:szCs w:val="32"/>
        </w:rPr>
        <w:t>16217510.76</w:t>
      </w:r>
      <w:r>
        <w:rPr>
          <w:rFonts w:hint="eastAsia" w:ascii="仿宋_GB2312" w:eastAsia="仿宋_GB2312" w:cs="仿宋_GB2312"/>
          <w:sz w:val="32"/>
          <w:szCs w:val="32"/>
        </w:rPr>
        <w:t>元，比</w:t>
      </w:r>
      <w:r>
        <w:rPr>
          <w:rFonts w:ascii="仿宋_GB2312" w:eastAsia="仿宋_GB2312" w:cs="仿宋_GB2312"/>
          <w:sz w:val="32"/>
          <w:szCs w:val="32"/>
        </w:rPr>
        <w:t>2015</w:t>
      </w:r>
      <w:r>
        <w:rPr>
          <w:rFonts w:hint="eastAsia" w:ascii="仿宋_GB2312" w:eastAsia="仿宋_GB2312" w:cs="仿宋_GB2312"/>
          <w:sz w:val="32"/>
          <w:szCs w:val="32"/>
        </w:rPr>
        <w:t>年减少</w:t>
      </w:r>
      <w:r>
        <w:rPr>
          <w:rFonts w:ascii="仿宋_GB2312" w:eastAsia="仿宋_GB2312" w:cs="仿宋_GB2312"/>
          <w:sz w:val="32"/>
          <w:szCs w:val="32"/>
        </w:rPr>
        <w:t xml:space="preserve">7833764.87 </w:t>
      </w:r>
      <w:r>
        <w:rPr>
          <w:rFonts w:hint="eastAsia" w:ascii="仿宋_GB2312" w:eastAsia="仿宋_GB2312" w:cs="仿宋_GB2312"/>
          <w:sz w:val="32"/>
          <w:szCs w:val="32"/>
        </w:rPr>
        <w:t>元，主要原因：行政事业类项目资金减少。</w:t>
      </w:r>
    </w:p>
    <w:p>
      <w:pPr>
        <w:snapToGrid w:val="0"/>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年本年支出</w:t>
      </w:r>
      <w:r>
        <w:rPr>
          <w:rFonts w:ascii="仿宋_GB2312" w:eastAsia="仿宋_GB2312" w:cs="仿宋_GB2312"/>
          <w:sz w:val="32"/>
          <w:szCs w:val="32"/>
        </w:rPr>
        <w:t>16</w:t>
      </w:r>
      <w:r>
        <w:rPr>
          <w:rFonts w:hint="eastAsia" w:ascii="仿宋_GB2312" w:eastAsia="仿宋_GB2312" w:cs="仿宋_GB2312"/>
          <w:sz w:val="32"/>
          <w:szCs w:val="32"/>
        </w:rPr>
        <w:t>1</w:t>
      </w:r>
      <w:r>
        <w:rPr>
          <w:rFonts w:ascii="仿宋_GB2312" w:eastAsia="仿宋_GB2312" w:cs="仿宋_GB2312"/>
          <w:sz w:val="32"/>
          <w:szCs w:val="32"/>
        </w:rPr>
        <w:t>17510.76</w:t>
      </w:r>
      <w:r>
        <w:rPr>
          <w:rFonts w:hint="eastAsia" w:ascii="仿宋_GB2312" w:eastAsia="仿宋_GB2312" w:cs="仿宋_GB2312"/>
          <w:sz w:val="32"/>
          <w:szCs w:val="32"/>
        </w:rPr>
        <w:t>元，比</w:t>
      </w:r>
      <w:r>
        <w:rPr>
          <w:rFonts w:ascii="仿宋_GB2312" w:eastAsia="仿宋_GB2312" w:cs="仿宋_GB2312"/>
          <w:sz w:val="32"/>
          <w:szCs w:val="32"/>
        </w:rPr>
        <w:t>2015</w:t>
      </w:r>
      <w:r>
        <w:rPr>
          <w:rFonts w:hint="eastAsia" w:ascii="仿宋_GB2312" w:eastAsia="仿宋_GB2312" w:cs="仿宋_GB2312"/>
          <w:sz w:val="32"/>
          <w:szCs w:val="32"/>
        </w:rPr>
        <w:t>年减少</w:t>
      </w:r>
      <w:r>
        <w:rPr>
          <w:rFonts w:ascii="仿宋_GB2312" w:eastAsia="仿宋_GB2312" w:cs="仿宋_GB2312"/>
          <w:sz w:val="32"/>
          <w:szCs w:val="32"/>
        </w:rPr>
        <w:t xml:space="preserve">7833764.87 </w:t>
      </w:r>
      <w:r>
        <w:rPr>
          <w:rFonts w:hint="eastAsia" w:ascii="仿宋_GB2312" w:eastAsia="仿宋_GB2312" w:cs="仿宋_GB2312"/>
          <w:sz w:val="32"/>
          <w:szCs w:val="32"/>
        </w:rPr>
        <w:t>元，主要原因：行政事业类项目资金减少。</w:t>
      </w:r>
    </w:p>
    <w:p>
      <w:pPr>
        <w:snapToGrid w:val="0"/>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年财政拨款支出</w:t>
      </w:r>
      <w:r>
        <w:rPr>
          <w:rFonts w:ascii="仿宋_GB2312" w:eastAsia="仿宋_GB2312" w:cs="仿宋_GB2312"/>
          <w:sz w:val="32"/>
          <w:szCs w:val="32"/>
        </w:rPr>
        <w:t>16</w:t>
      </w:r>
      <w:r>
        <w:rPr>
          <w:rFonts w:hint="eastAsia" w:ascii="仿宋_GB2312" w:eastAsia="仿宋_GB2312" w:cs="仿宋_GB2312"/>
          <w:sz w:val="32"/>
          <w:szCs w:val="32"/>
        </w:rPr>
        <w:t>1</w:t>
      </w:r>
      <w:r>
        <w:rPr>
          <w:rFonts w:ascii="仿宋_GB2312" w:eastAsia="仿宋_GB2312" w:cs="仿宋_GB2312"/>
          <w:sz w:val="32"/>
          <w:szCs w:val="32"/>
        </w:rPr>
        <w:t>17510.76</w:t>
      </w:r>
      <w:r>
        <w:rPr>
          <w:rFonts w:hint="eastAsia" w:ascii="仿宋_GB2312" w:eastAsia="仿宋_GB2312" w:cs="仿宋_GB2312"/>
          <w:sz w:val="32"/>
          <w:szCs w:val="32"/>
        </w:rPr>
        <w:t>元，年初预算数</w:t>
      </w:r>
      <w:r>
        <w:rPr>
          <w:rFonts w:ascii="仿宋_GB2312" w:eastAsia="仿宋_GB2312" w:cs="仿宋_GB2312"/>
          <w:sz w:val="32"/>
          <w:szCs w:val="32"/>
        </w:rPr>
        <w:t xml:space="preserve">       8156360.92</w:t>
      </w:r>
      <w:r>
        <w:rPr>
          <w:rFonts w:hint="eastAsia" w:ascii="仿宋_GB2312" w:eastAsia="仿宋_GB2312" w:cs="仿宋_GB2312"/>
          <w:sz w:val="32"/>
          <w:szCs w:val="32"/>
        </w:rPr>
        <w:t>元，差异原因：年初预算中不含部分项目资金预算。</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七、决算公开其他重要事项情况说明</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（一）机关运行经费支出情况</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年棋盘乡机关运行经费支出</w:t>
      </w:r>
      <w:r>
        <w:rPr>
          <w:rFonts w:ascii="仿宋_GB2312" w:eastAsia="仿宋_GB2312" w:cs="仿宋_GB2312"/>
          <w:sz w:val="32"/>
          <w:szCs w:val="32"/>
        </w:rPr>
        <w:t xml:space="preserve"> 294500 </w:t>
      </w:r>
      <w:r>
        <w:rPr>
          <w:rFonts w:hint="eastAsia" w:ascii="仿宋_GB2312" w:eastAsia="仿宋_GB2312" w:cs="仿宋_GB2312"/>
          <w:sz w:val="32"/>
          <w:szCs w:val="32"/>
        </w:rPr>
        <w:t>元，与上年相比增加</w:t>
      </w:r>
      <w:r>
        <w:rPr>
          <w:rFonts w:ascii="仿宋_GB2312" w:eastAsia="仿宋_GB2312" w:cs="仿宋_GB2312"/>
          <w:sz w:val="32"/>
          <w:szCs w:val="32"/>
        </w:rPr>
        <w:t>49000</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增加原因是加大机关运行费用增加。</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（二）政府采购支出情况</w:t>
      </w:r>
    </w:p>
    <w:p>
      <w:pPr>
        <w:spacing w:line="560" w:lineRule="exact"/>
        <w:ind w:firstLine="531" w:firstLineChars="166"/>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年，棋盘乡政府采购支出总额</w:t>
      </w:r>
      <w:r>
        <w:rPr>
          <w:rFonts w:ascii="仿宋_GB2312" w:eastAsia="仿宋_GB2312" w:cs="仿宋_GB2312"/>
          <w:sz w:val="32"/>
          <w:szCs w:val="32"/>
        </w:rPr>
        <w:t>736295</w:t>
      </w:r>
      <w:r>
        <w:rPr>
          <w:rFonts w:hint="eastAsia" w:ascii="仿宋_GB2312" w:eastAsia="仿宋_GB2312" w:cs="仿宋_GB2312"/>
          <w:sz w:val="32"/>
          <w:szCs w:val="32"/>
        </w:rPr>
        <w:t>元，其中政府采购货物支出</w:t>
      </w:r>
      <w:r>
        <w:rPr>
          <w:rFonts w:ascii="仿宋_GB2312" w:eastAsia="仿宋_GB2312" w:cs="仿宋_GB2312"/>
          <w:sz w:val="32"/>
          <w:szCs w:val="32"/>
        </w:rPr>
        <w:t>736295</w:t>
      </w:r>
      <w:r>
        <w:rPr>
          <w:rFonts w:hint="eastAsia" w:ascii="仿宋_GB2312" w:eastAsia="仿宋_GB2312" w:cs="仿宋_GB2312"/>
          <w:sz w:val="32"/>
          <w:szCs w:val="32"/>
        </w:rPr>
        <w:t>元，政府采购工程支出</w:t>
      </w:r>
      <w:r>
        <w:rPr>
          <w:rFonts w:ascii="仿宋_GB2312" w:eastAsia="仿宋_GB2312" w:cs="仿宋_GB2312"/>
          <w:sz w:val="32"/>
          <w:szCs w:val="32"/>
        </w:rPr>
        <w:t>0</w:t>
      </w:r>
      <w:r>
        <w:rPr>
          <w:rFonts w:hint="eastAsia" w:ascii="仿宋_GB2312" w:eastAsia="仿宋_GB2312" w:cs="仿宋_GB2312"/>
          <w:sz w:val="32"/>
          <w:szCs w:val="32"/>
        </w:rPr>
        <w:t>元，政府采购服务支出</w:t>
      </w:r>
      <w:r>
        <w:rPr>
          <w:rFonts w:ascii="仿宋_GB2312" w:eastAsia="仿宋_GB2312" w:cs="仿宋_GB2312"/>
          <w:sz w:val="32"/>
          <w:szCs w:val="32"/>
        </w:rPr>
        <w:t>0</w:t>
      </w:r>
      <w:r>
        <w:rPr>
          <w:rFonts w:hint="eastAsia" w:ascii="仿宋_GB2312" w:eastAsia="仿宋_GB2312" w:cs="仿宋_GB2312"/>
          <w:sz w:val="32"/>
          <w:szCs w:val="32"/>
        </w:rPr>
        <w:t>元。喀什地区为偏远地区，参与招投标的供应商基本为中小微企业。</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（三）国有资产占用情况</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lang w:eastAsia="zh-CN"/>
        </w:rPr>
        <w:t>截至</w:t>
      </w:r>
      <w:r>
        <w:rPr>
          <w:rFonts w:ascii="仿宋_GB2312" w:eastAsia="仿宋_GB2312" w:cs="仿宋_GB2312"/>
          <w:sz w:val="32"/>
          <w:szCs w:val="32"/>
        </w:rPr>
        <w:t>2016</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日，本单位共有车辆</w:t>
      </w:r>
      <w:r>
        <w:rPr>
          <w:rFonts w:ascii="仿宋_GB2312" w:eastAsia="仿宋_GB2312" w:cs="仿宋_GB2312"/>
          <w:sz w:val="32"/>
          <w:szCs w:val="32"/>
        </w:rPr>
        <w:t xml:space="preserve"> 5 </w:t>
      </w:r>
      <w:r>
        <w:rPr>
          <w:rFonts w:hint="eastAsia" w:ascii="仿宋_GB2312" w:eastAsia="仿宋_GB2312" w:cs="仿宋_GB2312"/>
          <w:sz w:val="32"/>
          <w:szCs w:val="32"/>
        </w:rPr>
        <w:t>辆，其中一般公务用车</w:t>
      </w:r>
      <w:r>
        <w:rPr>
          <w:rFonts w:ascii="仿宋_GB2312" w:eastAsia="仿宋_GB2312" w:cs="仿宋_GB2312"/>
          <w:sz w:val="32"/>
          <w:szCs w:val="32"/>
        </w:rPr>
        <w:t xml:space="preserve"> 2</w:t>
      </w:r>
      <w:r>
        <w:rPr>
          <w:rFonts w:hint="eastAsia" w:ascii="仿宋_GB2312" w:eastAsia="仿宋_GB2312" w:cs="仿宋_GB2312"/>
          <w:sz w:val="32"/>
          <w:szCs w:val="32"/>
        </w:rPr>
        <w:t>辆，一般工作用车</w:t>
      </w:r>
      <w:r>
        <w:rPr>
          <w:rFonts w:ascii="仿宋_GB2312" w:eastAsia="仿宋_GB2312" w:cs="仿宋_GB2312"/>
          <w:sz w:val="32"/>
          <w:szCs w:val="32"/>
        </w:rPr>
        <w:t xml:space="preserve">2 </w:t>
      </w:r>
      <w:r>
        <w:rPr>
          <w:rFonts w:hint="eastAsia" w:ascii="仿宋_GB2312" w:eastAsia="仿宋_GB2312" w:cs="仿宋_GB2312"/>
          <w:sz w:val="32"/>
          <w:szCs w:val="32"/>
        </w:rPr>
        <w:t>辆，专业技术用车</w:t>
      </w:r>
      <w:r>
        <w:rPr>
          <w:rFonts w:ascii="仿宋_GB2312" w:eastAsia="仿宋_GB2312" w:cs="仿宋_GB2312"/>
          <w:sz w:val="32"/>
          <w:szCs w:val="32"/>
        </w:rPr>
        <w:t xml:space="preserve"> 1 </w:t>
      </w:r>
      <w:r>
        <w:rPr>
          <w:rFonts w:hint="eastAsia" w:ascii="仿宋_GB2312" w:eastAsia="仿宋_GB2312" w:cs="仿宋_GB2312"/>
          <w:sz w:val="32"/>
          <w:szCs w:val="32"/>
        </w:rPr>
        <w:t>辆，其他车辆</w:t>
      </w:r>
      <w:r>
        <w:rPr>
          <w:rFonts w:ascii="仿宋_GB2312" w:eastAsia="仿宋_GB2312" w:cs="仿宋_GB2312"/>
          <w:sz w:val="32"/>
          <w:szCs w:val="32"/>
        </w:rPr>
        <w:t xml:space="preserve"> 0 </w:t>
      </w:r>
      <w:r>
        <w:rPr>
          <w:rFonts w:hint="eastAsia" w:ascii="仿宋_GB2312" w:eastAsia="仿宋_GB2312" w:cs="仿宋_GB2312"/>
          <w:sz w:val="32"/>
          <w:szCs w:val="32"/>
        </w:rPr>
        <w:t>辆，单位价值在</w:t>
      </w:r>
      <w:r>
        <w:rPr>
          <w:rFonts w:ascii="仿宋_GB2312" w:eastAsia="仿宋_GB2312" w:cs="仿宋_GB2312"/>
          <w:sz w:val="32"/>
          <w:szCs w:val="32"/>
        </w:rPr>
        <w:t>50</w:t>
      </w:r>
      <w:r>
        <w:rPr>
          <w:rFonts w:hint="eastAsia" w:ascii="仿宋_GB2312" w:eastAsia="仿宋_GB2312" w:cs="仿宋_GB2312"/>
          <w:sz w:val="32"/>
          <w:szCs w:val="32"/>
        </w:rPr>
        <w:t>万元以上的设备</w:t>
      </w:r>
      <w:r>
        <w:rPr>
          <w:rFonts w:ascii="仿宋_GB2312" w:eastAsia="仿宋_GB2312" w:cs="仿宋_GB2312"/>
          <w:sz w:val="32"/>
          <w:szCs w:val="32"/>
        </w:rPr>
        <w:t xml:space="preserve">0 </w:t>
      </w:r>
      <w:r>
        <w:rPr>
          <w:rFonts w:hint="eastAsia" w:ascii="仿宋_GB2312" w:eastAsia="仿宋_GB2312" w:cs="仿宋_GB2312"/>
          <w:sz w:val="32"/>
          <w:szCs w:val="32"/>
        </w:rPr>
        <w:t>台（套），价值</w:t>
      </w:r>
      <w:r>
        <w:rPr>
          <w:rFonts w:ascii="仿宋_GB2312" w:eastAsia="仿宋_GB2312" w:cs="仿宋_GB2312"/>
          <w:sz w:val="32"/>
          <w:szCs w:val="32"/>
        </w:rPr>
        <w:t xml:space="preserve">0 </w:t>
      </w:r>
      <w:r>
        <w:rPr>
          <w:rFonts w:hint="eastAsia" w:ascii="仿宋_GB2312" w:eastAsia="仿宋_GB2312" w:cs="仿宋_GB2312"/>
          <w:sz w:val="32"/>
          <w:szCs w:val="32"/>
        </w:rPr>
        <w:t>元。</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（四）民生项目、重点支出项目绩效评价结果</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年，棋盘乡共组织对</w:t>
      </w:r>
      <w:r>
        <w:rPr>
          <w:rFonts w:ascii="仿宋_GB2312" w:eastAsia="仿宋_GB2312" w:cs="仿宋_GB2312"/>
          <w:sz w:val="32"/>
          <w:szCs w:val="32"/>
        </w:rPr>
        <w:t>4</w:t>
      </w:r>
      <w:r>
        <w:rPr>
          <w:rFonts w:hint="eastAsia" w:ascii="仿宋_GB2312" w:eastAsia="仿宋_GB2312" w:cs="仿宋_GB2312"/>
          <w:sz w:val="32"/>
          <w:szCs w:val="32"/>
        </w:rPr>
        <w:t>个项目进行了预算绩效评价，涉及一般公共预算当年财政拨款</w:t>
      </w:r>
      <w:r>
        <w:rPr>
          <w:rFonts w:ascii="仿宋_GB2312" w:eastAsia="仿宋_GB2312" w:cs="仿宋_GB2312"/>
          <w:sz w:val="32"/>
          <w:szCs w:val="32"/>
        </w:rPr>
        <w:t>5174980.00</w:t>
      </w:r>
      <w:r>
        <w:rPr>
          <w:rFonts w:hint="eastAsia" w:ascii="仿宋_GB2312" w:eastAsia="仿宋_GB2312" w:cs="仿宋_GB2312"/>
          <w:sz w:val="32"/>
          <w:szCs w:val="32"/>
        </w:rPr>
        <w:t>元。绩效评价结果：通过该项目投入，各村拥有了功能完善的便民服务站，各项活动有了较为方便的场地；修建了防渗渠道，架设了太阳能路灯，极大地方便了广大农民的生产生活条件，受到了全乡人民群众的一致好评。</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（五）事业收入明细、经营收入明细</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本单位事业收入及经营收入</w:t>
      </w:r>
      <w:r>
        <w:rPr>
          <w:rFonts w:ascii="仿宋_GB2312" w:eastAsia="仿宋_GB2312" w:cs="仿宋_GB2312"/>
          <w:sz w:val="32"/>
          <w:szCs w:val="32"/>
        </w:rPr>
        <w:t xml:space="preserve">0 </w:t>
      </w:r>
      <w:r>
        <w:rPr>
          <w:rFonts w:hint="eastAsia" w:ascii="仿宋_GB2312" w:eastAsia="仿宋_GB2312" w:cs="仿宋_GB2312"/>
          <w:sz w:val="32"/>
          <w:szCs w:val="32"/>
        </w:rPr>
        <w:t>元。</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八、专业名词解释</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（一）财政拨款收入：指单位本年度从本级财政部门取得得财政拨款。</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（二）事业收入：指事业单位开展专业业务活动及辅助活动所取得的收入。</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（三）经营收入：指事业单位在专业业务活动及其辅助活动之外开展非独立核算经营活动取得的收入。</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（四）其他收入：指除上述“财政拨款收入”、“事业收入”、“经营收入”等以外的收入。</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w:t>
      </w:r>
      <w:r>
        <w:rPr>
          <w:rFonts w:hint="eastAsia" w:ascii="仿宋_GB2312" w:eastAsia="仿宋_GB2312" w:cs="仿宋_GB2312"/>
          <w:sz w:val="32"/>
          <w:szCs w:val="32"/>
        </w:rPr>
        <w:t>五</w:t>
      </w:r>
      <w:r>
        <w:rPr>
          <w:rFonts w:ascii="仿宋_GB2312" w:eastAsia="仿宋_GB2312" w:cs="仿宋_GB2312"/>
          <w:sz w:val="32"/>
          <w:szCs w:val="32"/>
        </w:rPr>
        <w:t>)</w:t>
      </w:r>
      <w:r>
        <w:rPr>
          <w:rFonts w:hint="eastAsia" w:ascii="仿宋_GB2312" w:eastAsia="仿宋_GB2312" w:cs="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（六）年初结转和结余：指以前年度尚未完成、结转到本年按有关规定继续使用的资金。</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（七）结余分配：指事业单位按规定提取的职工福利基</w:t>
      </w:r>
    </w:p>
    <w:p>
      <w:pPr>
        <w:spacing w:line="560" w:lineRule="exact"/>
        <w:rPr>
          <w:rFonts w:ascii="仿宋_GB2312" w:eastAsia="仿宋_GB2312" w:cs="仿宋_GB2312"/>
          <w:sz w:val="32"/>
          <w:szCs w:val="32"/>
        </w:rPr>
      </w:pPr>
      <w:r>
        <w:rPr>
          <w:rFonts w:hint="eastAsia" w:ascii="仿宋_GB2312" w:eastAsia="仿宋_GB2312" w:cs="仿宋_GB2312"/>
          <w:sz w:val="32"/>
          <w:szCs w:val="32"/>
        </w:rPr>
        <w:t>金、事业基金和缴纳的所得税，以及建设单位按规定应交回的基本建设竣工项目结余资金。</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（八）年末结转和结余：指本年度或以前年度预算安排、</w:t>
      </w:r>
    </w:p>
    <w:p>
      <w:pPr>
        <w:spacing w:line="560" w:lineRule="exact"/>
        <w:rPr>
          <w:rFonts w:ascii="仿宋_GB2312" w:eastAsia="仿宋_GB2312" w:cs="仿宋_GB2312"/>
          <w:sz w:val="32"/>
          <w:szCs w:val="32"/>
        </w:rPr>
      </w:pPr>
      <w:r>
        <w:rPr>
          <w:rFonts w:hint="eastAsia" w:ascii="仿宋_GB2312" w:eastAsia="仿宋_GB2312" w:cs="仿宋_GB2312"/>
          <w:sz w:val="32"/>
          <w:szCs w:val="32"/>
        </w:rPr>
        <w:t>因客观条件发生变化无法按原计划实施，需要延迟到以后年度按有关规定继续使用的资金。</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（九）基本支出：指为保障机构正常运转、完成日常工作任务而发生的人员支出和公用支出。</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（十）项目支出：指在基本支出之外为完成特定行政任务和事业发展目标所发生的支出。</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（十一）经营支出：指事业单位在专业业务活动及其辅助活动之外开展非独立核算经营活动发生的支出。</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二）“三公”经费：纳入财政预决算管理的“三公”经费，是指各单位用财政拨款安排的公务用车购置及运行费和公务接待费。其中，反映单位公务外出的旅费、城市间交通费、住宿费、、培训费、公杂费等支出；公务用车购置及运行费反映单位公务用车车辆购置支出（含车辆购置税）及租用费、燃料费、维修费、过路过桥费、保险费、奖励费用等支出；公务接待费反映单位按规定开支的各类公务接待支出。</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s="仿宋_GB2312"/>
          <w:sz w:val="32"/>
          <w:szCs w:val="32"/>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notBeside" w:vAnchor="text" w:hAnchor="margin" w:xAlign="right" w:y="1"/>
      <w:rPr>
        <w:rStyle w:val="8"/>
      </w:rPr>
    </w:pPr>
    <w:r>
      <w:rPr>
        <w:rStyle w:val="8"/>
      </w:rPr>
      <w:fldChar w:fldCharType="begin"/>
    </w:r>
    <w:r>
      <w:rPr>
        <w:rStyle w:val="8"/>
      </w:rPr>
      <w:instrText xml:space="preserve">PAGE  </w:instrText>
    </w:r>
    <w:r>
      <w:rPr>
        <w:rStyle w:val="8"/>
      </w:rPr>
      <w:fldChar w:fldCharType="separate"/>
    </w:r>
    <w:r>
      <w:rPr>
        <w:rStyle w:val="8"/>
      </w:rPr>
      <w:t>5</w:t>
    </w:r>
    <w:r>
      <w:rPr>
        <w:rStyle w:val="8"/>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tabs>
          <w:tab w:val="left" w:pos="0"/>
        </w:tabs>
        <w:ind w:left="1322" w:hanging="720"/>
      </w:pPr>
      <w:rPr>
        <w:rFonts w:hint="default" w:cs="Times New Roman"/>
      </w:rPr>
    </w:lvl>
    <w:lvl w:ilvl="1" w:tentative="0">
      <w:start w:val="1"/>
      <w:numFmt w:val="lowerLetter"/>
      <w:lvlText w:val="%2)"/>
      <w:lvlJc w:val="left"/>
      <w:pPr>
        <w:tabs>
          <w:tab w:val="left" w:pos="0"/>
        </w:tabs>
        <w:ind w:left="1442" w:hanging="420"/>
      </w:pPr>
      <w:rPr>
        <w:rFonts w:cs="Times New Roman"/>
      </w:rPr>
    </w:lvl>
    <w:lvl w:ilvl="2" w:tentative="0">
      <w:start w:val="1"/>
      <w:numFmt w:val="lowerRoman"/>
      <w:lvlText w:val="%3."/>
      <w:lvlJc w:val="right"/>
      <w:pPr>
        <w:tabs>
          <w:tab w:val="left" w:pos="0"/>
        </w:tabs>
        <w:ind w:left="1862" w:hanging="420"/>
      </w:pPr>
      <w:rPr>
        <w:rFonts w:cs="Times New Roman"/>
      </w:rPr>
    </w:lvl>
    <w:lvl w:ilvl="3" w:tentative="0">
      <w:start w:val="1"/>
      <w:numFmt w:val="decimal"/>
      <w:lvlText w:val="%4."/>
      <w:lvlJc w:val="left"/>
      <w:pPr>
        <w:tabs>
          <w:tab w:val="left" w:pos="0"/>
        </w:tabs>
        <w:ind w:left="2282" w:hanging="420"/>
      </w:pPr>
      <w:rPr>
        <w:rFonts w:cs="Times New Roman"/>
      </w:rPr>
    </w:lvl>
    <w:lvl w:ilvl="4" w:tentative="0">
      <w:start w:val="1"/>
      <w:numFmt w:val="lowerLetter"/>
      <w:lvlText w:val="%5)"/>
      <w:lvlJc w:val="left"/>
      <w:pPr>
        <w:tabs>
          <w:tab w:val="left" w:pos="0"/>
        </w:tabs>
        <w:ind w:left="2702" w:hanging="420"/>
      </w:pPr>
      <w:rPr>
        <w:rFonts w:cs="Times New Roman"/>
      </w:rPr>
    </w:lvl>
    <w:lvl w:ilvl="5" w:tentative="0">
      <w:start w:val="1"/>
      <w:numFmt w:val="lowerRoman"/>
      <w:lvlText w:val="%6."/>
      <w:lvlJc w:val="right"/>
      <w:pPr>
        <w:tabs>
          <w:tab w:val="left" w:pos="0"/>
        </w:tabs>
        <w:ind w:left="3122" w:hanging="420"/>
      </w:pPr>
      <w:rPr>
        <w:rFonts w:cs="Times New Roman"/>
      </w:rPr>
    </w:lvl>
    <w:lvl w:ilvl="6" w:tentative="0">
      <w:start w:val="1"/>
      <w:numFmt w:val="decimal"/>
      <w:lvlText w:val="%7."/>
      <w:lvlJc w:val="left"/>
      <w:pPr>
        <w:tabs>
          <w:tab w:val="left" w:pos="0"/>
        </w:tabs>
        <w:ind w:left="3542" w:hanging="420"/>
      </w:pPr>
      <w:rPr>
        <w:rFonts w:cs="Times New Roman"/>
      </w:rPr>
    </w:lvl>
    <w:lvl w:ilvl="7" w:tentative="0">
      <w:start w:val="1"/>
      <w:numFmt w:val="lowerLetter"/>
      <w:lvlText w:val="%8)"/>
      <w:lvlJc w:val="left"/>
      <w:pPr>
        <w:tabs>
          <w:tab w:val="left" w:pos="0"/>
        </w:tabs>
        <w:ind w:left="3962" w:hanging="420"/>
      </w:pPr>
      <w:rPr>
        <w:rFonts w:cs="Times New Roman"/>
      </w:rPr>
    </w:lvl>
    <w:lvl w:ilvl="8" w:tentative="0">
      <w:start w:val="1"/>
      <w:numFmt w:val="lowerRoman"/>
      <w:lvlText w:val="%9."/>
      <w:lvlJc w:val="right"/>
      <w:pPr>
        <w:tabs>
          <w:tab w:val="left" w:pos="0"/>
        </w:tabs>
        <w:ind w:left="4382" w:hanging="420"/>
      </w:pPr>
      <w:rPr>
        <w:rFonts w:cs="Times New Roman"/>
      </w:rPr>
    </w:lvl>
  </w:abstractNum>
  <w:abstractNum w:abstractNumId="1">
    <w:nsid w:val="51056E6B"/>
    <w:multiLevelType w:val="multilevel"/>
    <w:tmpl w:val="51056E6B"/>
    <w:lvl w:ilvl="0" w:tentative="0">
      <w:start w:val="2"/>
      <w:numFmt w:val="japaneseCounting"/>
      <w:lvlText w:val="%1、"/>
      <w:lvlJc w:val="left"/>
      <w:pPr>
        <w:tabs>
          <w:tab w:val="left" w:pos="0"/>
        </w:tabs>
        <w:ind w:left="1320" w:hanging="720"/>
      </w:pPr>
      <w:rPr>
        <w:rFonts w:hint="default" w:cs="Times New Roman"/>
      </w:rPr>
    </w:lvl>
    <w:lvl w:ilvl="1" w:tentative="0">
      <w:start w:val="1"/>
      <w:numFmt w:val="lowerLetter"/>
      <w:lvlText w:val="%2)"/>
      <w:lvlJc w:val="left"/>
      <w:pPr>
        <w:tabs>
          <w:tab w:val="left" w:pos="0"/>
        </w:tabs>
        <w:ind w:left="1440" w:hanging="420"/>
      </w:pPr>
      <w:rPr>
        <w:rFonts w:cs="Times New Roman"/>
      </w:rPr>
    </w:lvl>
    <w:lvl w:ilvl="2" w:tentative="0">
      <w:start w:val="1"/>
      <w:numFmt w:val="lowerRoman"/>
      <w:lvlText w:val="%3."/>
      <w:lvlJc w:val="right"/>
      <w:pPr>
        <w:tabs>
          <w:tab w:val="left" w:pos="0"/>
        </w:tabs>
        <w:ind w:left="1860" w:hanging="420"/>
      </w:pPr>
      <w:rPr>
        <w:rFonts w:cs="Times New Roman"/>
      </w:rPr>
    </w:lvl>
    <w:lvl w:ilvl="3" w:tentative="0">
      <w:start w:val="1"/>
      <w:numFmt w:val="decimal"/>
      <w:lvlText w:val="%4."/>
      <w:lvlJc w:val="left"/>
      <w:pPr>
        <w:tabs>
          <w:tab w:val="left" w:pos="0"/>
        </w:tabs>
        <w:ind w:left="2280" w:hanging="420"/>
      </w:pPr>
      <w:rPr>
        <w:rFonts w:cs="Times New Roman"/>
      </w:rPr>
    </w:lvl>
    <w:lvl w:ilvl="4" w:tentative="0">
      <w:start w:val="1"/>
      <w:numFmt w:val="lowerLetter"/>
      <w:lvlText w:val="%5)"/>
      <w:lvlJc w:val="left"/>
      <w:pPr>
        <w:tabs>
          <w:tab w:val="left" w:pos="0"/>
        </w:tabs>
        <w:ind w:left="2700" w:hanging="420"/>
      </w:pPr>
      <w:rPr>
        <w:rFonts w:cs="Times New Roman"/>
      </w:rPr>
    </w:lvl>
    <w:lvl w:ilvl="5" w:tentative="0">
      <w:start w:val="1"/>
      <w:numFmt w:val="lowerRoman"/>
      <w:lvlText w:val="%6."/>
      <w:lvlJc w:val="right"/>
      <w:pPr>
        <w:tabs>
          <w:tab w:val="left" w:pos="0"/>
        </w:tabs>
        <w:ind w:left="3120" w:hanging="420"/>
      </w:pPr>
      <w:rPr>
        <w:rFonts w:cs="Times New Roman"/>
      </w:rPr>
    </w:lvl>
    <w:lvl w:ilvl="6" w:tentative="0">
      <w:start w:val="1"/>
      <w:numFmt w:val="decimal"/>
      <w:lvlText w:val="%7."/>
      <w:lvlJc w:val="left"/>
      <w:pPr>
        <w:tabs>
          <w:tab w:val="left" w:pos="0"/>
        </w:tabs>
        <w:ind w:left="3540" w:hanging="420"/>
      </w:pPr>
      <w:rPr>
        <w:rFonts w:cs="Times New Roman"/>
      </w:rPr>
    </w:lvl>
    <w:lvl w:ilvl="7" w:tentative="0">
      <w:start w:val="1"/>
      <w:numFmt w:val="lowerLetter"/>
      <w:lvlText w:val="%8)"/>
      <w:lvlJc w:val="left"/>
      <w:pPr>
        <w:tabs>
          <w:tab w:val="left" w:pos="0"/>
        </w:tabs>
        <w:ind w:left="3960" w:hanging="420"/>
      </w:pPr>
      <w:rPr>
        <w:rFonts w:cs="Times New Roman"/>
      </w:rPr>
    </w:lvl>
    <w:lvl w:ilvl="8" w:tentative="0">
      <w:start w:val="1"/>
      <w:numFmt w:val="lowerRoman"/>
      <w:lvlText w:val="%9."/>
      <w:lvlJc w:val="right"/>
      <w:pPr>
        <w:tabs>
          <w:tab w:val="left" w:pos="0"/>
        </w:tabs>
        <w:ind w:left="4380" w:hanging="420"/>
      </w:pPr>
      <w:rPr>
        <w:rFonts w:cs="Times New Roman"/>
      </w:rPr>
    </w:lvl>
  </w:abstractNum>
  <w:abstractNum w:abstractNumId="2">
    <w:nsid w:val="59FB0A48"/>
    <w:multiLevelType w:val="singleLevel"/>
    <w:tmpl w:val="59FB0A48"/>
    <w:lvl w:ilvl="0" w:tentative="0">
      <w:start w:val="4"/>
      <w:numFmt w:val="chineseCounting"/>
      <w:suff w:val="nothing"/>
      <w:lvlText w:val="%1、"/>
      <w:lvlJc w:val="left"/>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kzNzgyM2E2Yjg1NDJlZmFjYTEwNGIyZWYwNjY4MWIifQ=="/>
  </w:docVars>
  <w:rsids>
    <w:rsidRoot w:val="00192130"/>
    <w:rsid w:val="000023AA"/>
    <w:rsid w:val="000044EA"/>
    <w:rsid w:val="00032137"/>
    <w:rsid w:val="000541E8"/>
    <w:rsid w:val="000655FD"/>
    <w:rsid w:val="000711C2"/>
    <w:rsid w:val="000867EA"/>
    <w:rsid w:val="000B1F9E"/>
    <w:rsid w:val="000D24D0"/>
    <w:rsid w:val="000D66CA"/>
    <w:rsid w:val="000E2DCD"/>
    <w:rsid w:val="00120F0A"/>
    <w:rsid w:val="00145551"/>
    <w:rsid w:val="0017223F"/>
    <w:rsid w:val="00192130"/>
    <w:rsid w:val="001937BD"/>
    <w:rsid w:val="001A57D0"/>
    <w:rsid w:val="001D57F8"/>
    <w:rsid w:val="001F3FFA"/>
    <w:rsid w:val="00216020"/>
    <w:rsid w:val="00245A3D"/>
    <w:rsid w:val="0029037A"/>
    <w:rsid w:val="002C050C"/>
    <w:rsid w:val="002C7685"/>
    <w:rsid w:val="00347503"/>
    <w:rsid w:val="003A29A2"/>
    <w:rsid w:val="003D0CBA"/>
    <w:rsid w:val="003F1AE0"/>
    <w:rsid w:val="003F3A94"/>
    <w:rsid w:val="00451772"/>
    <w:rsid w:val="00477893"/>
    <w:rsid w:val="004808E3"/>
    <w:rsid w:val="00481570"/>
    <w:rsid w:val="004B62A6"/>
    <w:rsid w:val="004D6167"/>
    <w:rsid w:val="004E7356"/>
    <w:rsid w:val="00506089"/>
    <w:rsid w:val="00517CE1"/>
    <w:rsid w:val="005551D6"/>
    <w:rsid w:val="00562DF3"/>
    <w:rsid w:val="00574234"/>
    <w:rsid w:val="005B3666"/>
    <w:rsid w:val="005C2A2A"/>
    <w:rsid w:val="005C6850"/>
    <w:rsid w:val="005E2760"/>
    <w:rsid w:val="00611686"/>
    <w:rsid w:val="00653F0A"/>
    <w:rsid w:val="0068671A"/>
    <w:rsid w:val="00697165"/>
    <w:rsid w:val="006C6EC9"/>
    <w:rsid w:val="006D5E6A"/>
    <w:rsid w:val="006F4BEB"/>
    <w:rsid w:val="00721435"/>
    <w:rsid w:val="00743154"/>
    <w:rsid w:val="00754C13"/>
    <w:rsid w:val="0075643F"/>
    <w:rsid w:val="00756AD6"/>
    <w:rsid w:val="0077330A"/>
    <w:rsid w:val="0077399F"/>
    <w:rsid w:val="00793D7F"/>
    <w:rsid w:val="007A4D2B"/>
    <w:rsid w:val="007B0207"/>
    <w:rsid w:val="007B380A"/>
    <w:rsid w:val="007B56A3"/>
    <w:rsid w:val="007B6003"/>
    <w:rsid w:val="007C04A9"/>
    <w:rsid w:val="007C1DB2"/>
    <w:rsid w:val="007D6E67"/>
    <w:rsid w:val="007F6469"/>
    <w:rsid w:val="00803C5D"/>
    <w:rsid w:val="0083497B"/>
    <w:rsid w:val="0084364C"/>
    <w:rsid w:val="00861A35"/>
    <w:rsid w:val="00867113"/>
    <w:rsid w:val="0092392D"/>
    <w:rsid w:val="00927999"/>
    <w:rsid w:val="0093344F"/>
    <w:rsid w:val="00942357"/>
    <w:rsid w:val="00980EA4"/>
    <w:rsid w:val="009F3860"/>
    <w:rsid w:val="00A27C74"/>
    <w:rsid w:val="00A74286"/>
    <w:rsid w:val="00A76992"/>
    <w:rsid w:val="00A833A0"/>
    <w:rsid w:val="00AC6094"/>
    <w:rsid w:val="00B06CCC"/>
    <w:rsid w:val="00B26BD3"/>
    <w:rsid w:val="00B324DB"/>
    <w:rsid w:val="00B467E0"/>
    <w:rsid w:val="00B5361E"/>
    <w:rsid w:val="00BA5150"/>
    <w:rsid w:val="00BB02EC"/>
    <w:rsid w:val="00BD1CCB"/>
    <w:rsid w:val="00C56847"/>
    <w:rsid w:val="00C6135F"/>
    <w:rsid w:val="00C6505E"/>
    <w:rsid w:val="00C71894"/>
    <w:rsid w:val="00C739EE"/>
    <w:rsid w:val="00C750E5"/>
    <w:rsid w:val="00C80F3C"/>
    <w:rsid w:val="00C81809"/>
    <w:rsid w:val="00CB2CF7"/>
    <w:rsid w:val="00CC0E6A"/>
    <w:rsid w:val="00D07DAD"/>
    <w:rsid w:val="00D74737"/>
    <w:rsid w:val="00D93AC1"/>
    <w:rsid w:val="00DF1964"/>
    <w:rsid w:val="00DF5A16"/>
    <w:rsid w:val="00E220A0"/>
    <w:rsid w:val="00E35E0F"/>
    <w:rsid w:val="00E661F0"/>
    <w:rsid w:val="00E92F10"/>
    <w:rsid w:val="00E97D4E"/>
    <w:rsid w:val="00EB48AF"/>
    <w:rsid w:val="00EE5C46"/>
    <w:rsid w:val="00F019A8"/>
    <w:rsid w:val="00F24050"/>
    <w:rsid w:val="00F34B7B"/>
    <w:rsid w:val="00F35E71"/>
    <w:rsid w:val="00F64C8A"/>
    <w:rsid w:val="00F64F73"/>
    <w:rsid w:val="00F7208D"/>
    <w:rsid w:val="00F83D7F"/>
    <w:rsid w:val="00F919E0"/>
    <w:rsid w:val="00FF7295"/>
    <w:rsid w:val="06385C0C"/>
    <w:rsid w:val="36177B6C"/>
    <w:rsid w:val="4DF22916"/>
    <w:rsid w:val="501933CB"/>
    <w:rsid w:val="51577F7B"/>
    <w:rsid w:val="6D697C2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9"/>
    <w:qFormat/>
    <w:uiPriority w:val="99"/>
    <w:pPr>
      <w:ind w:left="2500" w:leftChars="2500"/>
    </w:pPr>
    <w:rPr>
      <w:kern w:val="0"/>
    </w:rPr>
  </w:style>
  <w:style w:type="paragraph" w:styleId="3">
    <w:name w:val="Balloon Text"/>
    <w:basedOn w:val="1"/>
    <w:link w:val="10"/>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99"/>
    <w:rPr>
      <w:rFonts w:cs="Times New Roman"/>
    </w:rPr>
  </w:style>
  <w:style w:type="character" w:customStyle="1" w:styleId="9">
    <w:name w:val="日期 Char"/>
    <w:link w:val="2"/>
    <w:semiHidden/>
    <w:qFormat/>
    <w:locked/>
    <w:uiPriority w:val="99"/>
    <w:rPr>
      <w:rFonts w:cs="Times New Roman"/>
      <w:sz w:val="21"/>
      <w:szCs w:val="21"/>
    </w:rPr>
  </w:style>
  <w:style w:type="character" w:customStyle="1" w:styleId="10">
    <w:name w:val="批注框文本 Char"/>
    <w:link w:val="3"/>
    <w:semiHidden/>
    <w:qFormat/>
    <w:locked/>
    <w:uiPriority w:val="99"/>
    <w:rPr>
      <w:rFonts w:cs="Times New Roman"/>
      <w:sz w:val="2"/>
    </w:rPr>
  </w:style>
  <w:style w:type="character" w:customStyle="1" w:styleId="11">
    <w:name w:val="页脚 Char"/>
    <w:link w:val="4"/>
    <w:semiHidden/>
    <w:qFormat/>
    <w:locked/>
    <w:uiPriority w:val="99"/>
    <w:rPr>
      <w:rFonts w:cs="Times New Roman"/>
      <w:sz w:val="18"/>
      <w:szCs w:val="18"/>
    </w:rPr>
  </w:style>
  <w:style w:type="character" w:customStyle="1" w:styleId="12">
    <w:name w:val="页眉 Char"/>
    <w:link w:val="5"/>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479</Words>
  <Characters>2736</Characters>
  <Lines>22</Lines>
  <Paragraphs>6</Paragraphs>
  <TotalTime>12</TotalTime>
  <ScaleCrop>false</ScaleCrop>
  <LinksUpToDate>false</LinksUpToDate>
  <CharactersWithSpaces>3209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2016-08-11T02:13:00Z</dcterms:created>
  <dc:creator>许梦如</dc:creator>
  <cp:lastModifiedBy>Administrator</cp:lastModifiedBy>
  <cp:lastPrinted>2016-08-03T02:49:00Z</cp:lastPrinted>
  <dcterms:modified xsi:type="dcterms:W3CDTF">2023-12-01T10:46:52Z</dcterms:modified>
  <dc:title>喀什地区部门决算和三公经费</dc:title>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6745F3D2374D4514B3539BDE92656828_12</vt:lpwstr>
  </property>
</Properties>
</file>