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w w:val="80"/>
          <w:kern w:val="0"/>
          <w:sz w:val="36"/>
          <w:szCs w:val="36"/>
        </w:rPr>
      </w:pPr>
      <w:r>
        <w:rPr>
          <w:rFonts w:hint="eastAsia" w:hAnsi="宋体" w:eastAsia="仿宋_GB2312" w:cs="宋体"/>
          <w:kern w:val="0"/>
          <w:sz w:val="36"/>
          <w:szCs w:val="36"/>
        </w:rPr>
        <w:t xml:space="preserve">     项目名称：</w:t>
      </w:r>
      <w:r>
        <w:rPr>
          <w:rFonts w:hint="eastAsia" w:hAnsi="宋体" w:eastAsia="仿宋_GB2312" w:cs="宋体"/>
          <w:w w:val="80"/>
          <w:kern w:val="0"/>
          <w:sz w:val="36"/>
          <w:szCs w:val="36"/>
        </w:rPr>
        <w:t>偏远地区牧民补助资金项目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w w:val="80"/>
          <w:kern w:val="0"/>
          <w:sz w:val="36"/>
          <w:szCs w:val="36"/>
        </w:rPr>
        <w:t>叶城县乌夏巴什镇人民政府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w w:val="80"/>
          <w:kern w:val="0"/>
          <w:sz w:val="36"/>
          <w:szCs w:val="36"/>
        </w:rPr>
        <w:t>叶城县乌夏巴什镇人民政府</w:t>
      </w:r>
    </w:p>
    <w:p>
      <w:pPr>
        <w:spacing w:line="700" w:lineRule="exact"/>
        <w:ind w:firstLine="360" w:firstLineChars="100"/>
        <w:jc w:val="left"/>
        <w:rPr>
          <w:rFonts w:hAnsi="宋体" w:eastAsia="仿宋_GB2312" w:cs="宋体"/>
          <w:kern w:val="0"/>
          <w:sz w:val="36"/>
          <w:szCs w:val="36"/>
        </w:rPr>
      </w:pPr>
      <w:r>
        <w:rPr>
          <w:rFonts w:hint="eastAsia" w:hAnsi="宋体" w:eastAsia="仿宋_GB2312" w:cs="宋体"/>
          <w:kern w:val="0"/>
          <w:sz w:val="36"/>
          <w:szCs w:val="36"/>
        </w:rPr>
        <w:t>项目负责人（签章）：田江涛</w:t>
      </w:r>
    </w:p>
    <w:p>
      <w:pPr>
        <w:spacing w:line="700" w:lineRule="exact"/>
        <w:ind w:firstLine="360" w:firstLineChars="100"/>
        <w:jc w:val="left"/>
        <w:rPr>
          <w:rFonts w:hAnsi="宋体" w:eastAsia="仿宋_GB2312" w:cs="宋体"/>
          <w:kern w:val="0"/>
          <w:sz w:val="36"/>
          <w:szCs w:val="36"/>
        </w:rPr>
      </w:pPr>
      <w:r>
        <w:rPr>
          <w:rFonts w:hint="eastAsia" w:hAnsi="宋体" w:eastAsia="仿宋_GB2312" w:cs="宋体"/>
          <w:kern w:val="0"/>
          <w:sz w:val="36"/>
          <w:szCs w:val="36"/>
        </w:rPr>
        <w:t>填报时间：2018年12月25日</w:t>
      </w:r>
    </w:p>
    <w:p>
      <w:pPr>
        <w:spacing w:line="540" w:lineRule="exact"/>
        <w:ind w:firstLine="640"/>
        <w:rPr>
          <w:rStyle w:val="19"/>
          <w:rFonts w:ascii="黑体" w:hAnsi="黑体" w:eastAsia="黑体"/>
          <w:b w:val="0"/>
          <w:spacing w:val="-4"/>
          <w:sz w:val="32"/>
          <w:szCs w:val="32"/>
        </w:rPr>
      </w:pP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一、项目概况</w:t>
      </w:r>
    </w:p>
    <w:p>
      <w:pPr>
        <w:spacing w:line="560" w:lineRule="atLeast"/>
        <w:ind w:firstLine="567"/>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（一）项目单位基本情况</w:t>
      </w:r>
    </w:p>
    <w:p>
      <w:pPr>
        <w:snapToGrid w:val="0"/>
        <w:spacing w:line="560" w:lineRule="atLeast"/>
        <w:ind w:firstLine="624" w:firstLineChars="200"/>
        <w:rPr>
          <w:rFonts w:ascii="仿宋_GB2312" w:hAnsi="仿宋" w:eastAsia="仿宋_GB2312"/>
          <w:color w:val="000000" w:themeColor="text1"/>
          <w:sz w:val="32"/>
          <w:szCs w:val="32"/>
        </w:rPr>
      </w:pPr>
      <w:r>
        <w:rPr>
          <w:rFonts w:hint="eastAsia" w:ascii="仿宋_GB2312" w:hAnsi="仿宋" w:eastAsia="仿宋_GB2312"/>
          <w:spacing w:val="-4"/>
          <w:sz w:val="32"/>
          <w:szCs w:val="32"/>
        </w:rPr>
        <w:t>叶城县乌夏巴什镇属党政机关行政部门，乡科级行政单位，辖20个行政村；78个村民小组全镇总人口5426户，25237人，主要以维吾尔族为主。全镇总耕地面积5.2万亩，农业人均占有耕地4.1亩，主要从事农牧业。</w:t>
      </w:r>
      <w:r>
        <w:rPr>
          <w:rFonts w:hint="eastAsia" w:ascii="仿宋_GB2312" w:hAnsi="仿宋" w:eastAsia="仿宋_GB2312"/>
          <w:bCs/>
          <w:color w:val="000000"/>
          <w:spacing w:val="-4"/>
          <w:sz w:val="32"/>
          <w:szCs w:val="32"/>
        </w:rPr>
        <w:t>编制情况：</w:t>
      </w:r>
      <w:r>
        <w:rPr>
          <w:rFonts w:hint="eastAsia" w:ascii="仿宋_GB2312" w:hAnsi="仿宋" w:eastAsia="仿宋_GB2312"/>
          <w:sz w:val="32"/>
          <w:szCs w:val="32"/>
        </w:rPr>
        <w:t>行政编制56人，其中：政府编制56人，工勤编制3人，共计59人。事业编制为30人，参照编制1人,全额事业编制共计22人, 自收自支编制7人。遗属补助人员6人，退休人员20人。</w:t>
      </w:r>
    </w:p>
    <w:p>
      <w:pPr>
        <w:pStyle w:val="15"/>
        <w:shd w:val="clear" w:color="auto" w:fill="FFFFFF"/>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主要职能：负责全镇党政行政管理事务。深刻贯彻落实党的十九大、十九届一中、二中、三中全会精神和二次新疆工作座谈会精神，以</w:t>
      </w:r>
      <w:bookmarkStart w:id="0" w:name="_GoBack"/>
      <w:bookmarkEnd w:id="0"/>
      <w:r>
        <w:rPr>
          <w:rFonts w:hint="eastAsia" w:ascii="仿宋_GB2312" w:hAnsi="仿宋" w:eastAsia="仿宋_GB2312"/>
          <w:spacing w:val="-4"/>
          <w:sz w:val="32"/>
          <w:szCs w:val="32"/>
          <w:lang w:eastAsia="zh-CN"/>
        </w:rPr>
        <w:t>习近平总书记重要讲话</w:t>
      </w:r>
      <w:r>
        <w:rPr>
          <w:rFonts w:hint="eastAsia" w:ascii="仿宋_GB2312" w:hAnsi="仿宋" w:eastAsia="仿宋_GB2312"/>
          <w:spacing w:val="-4"/>
          <w:sz w:val="32"/>
          <w:szCs w:val="32"/>
        </w:rPr>
        <w:t>、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（二）项目预算绩效目标设定情况</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乌夏巴什镇2018年边远地区人事补助资金项目支出839.89万元，其中：乌夏巴什镇共有300名边远地区人事补助，主要是开展巡查等业务。</w:t>
      </w:r>
    </w:p>
    <w:p>
      <w:pPr>
        <w:pStyle w:val="15"/>
        <w:shd w:val="clear" w:color="auto" w:fill="FFFFFF"/>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纳入2018年部门预算编制范围的有叶城县乌夏巴什镇人民政府。乌夏巴什镇人民政府为镇级党政机关，编制党委、政府机构，根据县要求，于2015年10月，把七站八所（叶城县乌夏巴什镇劳保所、叶城县乌夏巴什镇管所、叶城县计生站、叶城县乌夏巴什镇农牧机械管理服务站、叶城县乌夏巴什镇广播站、叶城县乌夏巴什镇文化站、叶城县乌夏巴什镇财政所、叶城县乌夏巴什镇农经农机管理站、叶城县林业局乌夏巴什镇林业工作站）划归乡镇统一管理；共设有农业农村经济办、党建办、社会事务办、扶贫办等办公室。</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二、项目资金使用及管理情况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（一）项目资金安排落实、总投入等情况分析</w:t>
      </w:r>
    </w:p>
    <w:p>
      <w:pPr>
        <w:adjustRightInd w:val="0"/>
        <w:snapToGrid w:val="0"/>
        <w:spacing w:line="560" w:lineRule="atLeast"/>
        <w:ind w:firstLine="480" w:firstLineChars="150"/>
        <w:outlineLvl w:val="0"/>
        <w:rPr>
          <w:rStyle w:val="19"/>
          <w:rFonts w:ascii="仿宋_GB2312" w:hAnsi="楷体" w:eastAsia="仿宋_GB2312"/>
          <w:b w:val="0"/>
          <w:bCs w:val="0"/>
          <w:spacing w:val="-4"/>
          <w:sz w:val="32"/>
          <w:szCs w:val="32"/>
        </w:rPr>
      </w:pPr>
      <w:r>
        <w:rPr>
          <w:rFonts w:hint="eastAsia" w:ascii="仿宋_GB2312" w:hAnsi="仿宋" w:eastAsia="仿宋_GB2312" w:cs="仿宋"/>
          <w:sz w:val="32"/>
          <w:szCs w:val="32"/>
        </w:rPr>
        <w:t>根据新财行（2018）0039号、喀地财行（2018）13号文件要求，本项目资金</w:t>
      </w:r>
      <w:r>
        <w:rPr>
          <w:rFonts w:hint="eastAsia" w:ascii="仿宋_GB2312" w:hAnsi="仿宋" w:eastAsia="仿宋_GB2312"/>
          <w:spacing w:val="-4"/>
          <w:sz w:val="32"/>
          <w:szCs w:val="32"/>
        </w:rPr>
        <w:t>839.89</w:t>
      </w:r>
      <w:r>
        <w:rPr>
          <w:rFonts w:hint="eastAsia" w:ascii="仿宋_GB2312" w:hAnsi="仿宋" w:eastAsia="仿宋_GB2312" w:cs="仿宋"/>
          <w:sz w:val="32"/>
          <w:szCs w:val="32"/>
        </w:rPr>
        <w:t>万元，其中财政资金</w:t>
      </w:r>
      <w:r>
        <w:rPr>
          <w:rFonts w:hint="eastAsia" w:ascii="仿宋_GB2312" w:hAnsi="仿宋" w:eastAsia="仿宋_GB2312"/>
          <w:spacing w:val="-4"/>
          <w:sz w:val="32"/>
          <w:szCs w:val="32"/>
        </w:rPr>
        <w:t>839.89</w:t>
      </w:r>
      <w:r>
        <w:rPr>
          <w:rFonts w:hint="eastAsia" w:ascii="仿宋_GB2312" w:hAnsi="仿宋" w:eastAsia="仿宋_GB2312" w:cs="仿宋"/>
          <w:sz w:val="32"/>
          <w:szCs w:val="32"/>
        </w:rPr>
        <w:t>万元，其他资金0万元，</w:t>
      </w:r>
      <w:r>
        <w:rPr>
          <w:rFonts w:hint="eastAsia" w:ascii="仿宋_GB2312" w:hAnsi="仿宋" w:eastAsia="仿宋_GB2312"/>
          <w:spacing w:val="-4"/>
          <w:sz w:val="32"/>
          <w:szCs w:val="32"/>
        </w:rPr>
        <w:t>资金到位839.89万元；资金到位率100%。</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（二）项目资金实际使用情况分析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根据本年</w:t>
      </w:r>
      <w:r>
        <w:rPr>
          <w:rFonts w:hint="eastAsia" w:ascii="仿宋_GB2312" w:hAnsi="仿宋" w:eastAsia="仿宋_GB2312" w:cs="仿宋"/>
          <w:sz w:val="32"/>
          <w:szCs w:val="32"/>
        </w:rPr>
        <w:t>新财行（2018）0039号、喀地财行（2018）13</w:t>
      </w:r>
      <w:r>
        <w:rPr>
          <w:rFonts w:hint="eastAsia" w:ascii="仿宋_GB2312" w:hAnsi="仿宋" w:eastAsia="仿宋_GB2312"/>
          <w:spacing w:val="-4"/>
          <w:sz w:val="32"/>
          <w:szCs w:val="32"/>
        </w:rPr>
        <w:t>号关于下达边远地区人事补助资金的文件，到位资金839.89万元，本项目实际支付资金839.89万元，预算执行率100%。项目资金主要用于支付边远地区人事补助费用839.89万元，结余0万元。”</w:t>
      </w:r>
    </w:p>
    <w:p>
      <w:pPr>
        <w:adjustRightInd w:val="0"/>
        <w:snapToGrid w:val="0"/>
        <w:spacing w:line="560" w:lineRule="atLeast"/>
        <w:ind w:firstLine="624" w:firstLineChars="200"/>
        <w:outlineLvl w:val="0"/>
        <w:rPr>
          <w:rFonts w:ascii="仿宋_GB2312" w:hAnsi="仿宋" w:eastAsia="仿宋_GB2312"/>
          <w:spacing w:val="-4"/>
          <w:sz w:val="32"/>
          <w:szCs w:val="32"/>
        </w:rPr>
      </w:pPr>
      <w:r>
        <w:rPr>
          <w:rFonts w:hint="eastAsia" w:ascii="仿宋_GB2312" w:hAnsi="仿宋" w:eastAsia="仿宋_GB2312"/>
          <w:spacing w:val="-4"/>
          <w:sz w:val="32"/>
          <w:szCs w:val="32"/>
        </w:rPr>
        <w:t>根据中央和自治区项目资金管理办法的要求，乌夏巴什镇人民政府严格按照项目资金规定的专项资金支持的项目条件和范围要求，严格按照有关规定使用管理项目资金。</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（三）项目资金管理情况分析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cs="宋体"/>
          <w:spacing w:val="-4"/>
          <w:sz w:val="32"/>
          <w:szCs w:val="32"/>
        </w:rPr>
        <w:t>本项目</w:t>
      </w:r>
      <w:r>
        <w:rPr>
          <w:rFonts w:hint="eastAsia" w:ascii="仿宋_GB2312" w:hAnsi="仿宋" w:eastAsia="仿宋_GB2312"/>
          <w:spacing w:val="-4"/>
          <w:sz w:val="32"/>
          <w:szCs w:val="32"/>
        </w:rPr>
        <w:t>资金严格按照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三、项目组织实施情况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（一）项目组织情况分析</w:t>
      </w:r>
    </w:p>
    <w:p>
      <w:pPr>
        <w:adjustRightInd w:val="0"/>
        <w:snapToGrid w:val="0"/>
        <w:spacing w:line="560" w:lineRule="atLeast"/>
        <w:ind w:firstLine="624" w:firstLineChars="200"/>
        <w:rPr>
          <w:rFonts w:ascii="仿宋_GB2312" w:hAnsi="仿宋" w:eastAsia="仿宋_GB2312"/>
          <w:sz w:val="32"/>
          <w:szCs w:val="32"/>
        </w:rPr>
      </w:pPr>
      <w:r>
        <w:rPr>
          <w:rStyle w:val="19"/>
          <w:rFonts w:hint="eastAsia" w:ascii="仿宋_GB2312" w:hAnsi="仿宋" w:eastAsia="仿宋_GB2312"/>
          <w:b w:val="0"/>
          <w:bCs w:val="0"/>
          <w:spacing w:val="-4"/>
          <w:sz w:val="32"/>
          <w:szCs w:val="32"/>
        </w:rPr>
        <w:t>为保证项目质量和成本控制</w:t>
      </w:r>
      <w:r>
        <w:rPr>
          <w:rFonts w:hint="eastAsia" w:ascii="仿宋_GB2312" w:hAnsi="仿宋" w:eastAsia="仿宋_GB2312"/>
          <w:sz w:val="32"/>
          <w:szCs w:val="32"/>
        </w:rPr>
        <w:t>，我单位积极与政法委对接，进行了核实工作，制定《边远地区人事补助工作方案》，组织专人进行摸排工作，为保质保量完成提供了强有力的技术支撑，有效地推进了项目工作。</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本项目不存在调整情况。</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本项目不存在检查验收程序。</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项目实施过程中，我单位建立了《边远地区人事补助制度》保障项目的顺利实施。项目的实施遵守相关法律法规和业务管理规定，项目资料齐全并及时装订、归档。已建立《边远地区人事补助管理制度》，不定期对项目进度情况进行督导检查，对检查过程中发现的问题及时督促整改，确保了项目按时保质完成。</w:t>
      </w:r>
    </w:p>
    <w:p>
      <w:pPr>
        <w:spacing w:line="560" w:lineRule="atLeast"/>
        <w:ind w:firstLine="640"/>
        <w:rPr>
          <w:rStyle w:val="19"/>
          <w:rFonts w:ascii="黑体" w:hAnsi="黑体" w:eastAsia="黑体"/>
          <w:b w:val="0"/>
          <w:bCs w:val="0"/>
          <w:sz w:val="32"/>
          <w:szCs w:val="32"/>
        </w:rPr>
      </w:pPr>
      <w:r>
        <w:rPr>
          <w:rStyle w:val="19"/>
          <w:rFonts w:hint="eastAsia" w:ascii="黑体" w:hAnsi="黑体" w:eastAsia="黑体"/>
          <w:b w:val="0"/>
          <w:bCs w:val="0"/>
          <w:spacing w:val="-4"/>
          <w:sz w:val="32"/>
          <w:szCs w:val="32"/>
        </w:rPr>
        <w:t>四、项目绩效情况</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（一）项目绩效目标完成情况分析</w:t>
      </w:r>
    </w:p>
    <w:p>
      <w:pPr>
        <w:widowControl/>
        <w:spacing w:line="560" w:lineRule="atLeast"/>
        <w:ind w:firstLine="320" w:firstLineChars="100"/>
        <w:jc w:val="left"/>
        <w:rPr>
          <w:rFonts w:ascii="仿宋_GB2312" w:hAnsi="仿宋" w:eastAsia="仿宋_GB2312" w:cs="仿宋"/>
          <w:kern w:val="0"/>
          <w:sz w:val="32"/>
          <w:szCs w:val="32"/>
        </w:rPr>
      </w:pPr>
      <w:r>
        <w:rPr>
          <w:rFonts w:hint="eastAsia" w:ascii="仿宋_GB2312" w:hAnsi="仿宋" w:eastAsia="仿宋_GB2312" w:cs="仿宋"/>
          <w:kern w:val="0"/>
          <w:sz w:val="32"/>
          <w:szCs w:val="32"/>
        </w:rPr>
        <w:t>本项目共设置一级指标3个，二级指标8个，三级指标11个，其中已完成三级指标11个，指标完成率为100%。根据年初设定的绩效目标，此项目自评得分为92分。</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1.产出指标完成情况分析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（1）项目完成数量</w:t>
      </w:r>
    </w:p>
    <w:p>
      <w:pPr>
        <w:spacing w:line="560" w:lineRule="atLeast"/>
        <w:ind w:firstLine="1092" w:firstLineChars="350"/>
        <w:rPr>
          <w:rFonts w:ascii="仿宋_GB2312" w:hAnsi="仿宋" w:eastAsia="仿宋_GB2312" w:cs="仿宋"/>
          <w:spacing w:val="-4"/>
          <w:sz w:val="32"/>
          <w:szCs w:val="32"/>
        </w:rPr>
      </w:pPr>
      <w:r>
        <w:rPr>
          <w:rFonts w:hint="eastAsia" w:ascii="仿宋_GB2312" w:hAnsi="仿宋" w:eastAsia="仿宋_GB2312" w:cs="仿宋"/>
          <w:spacing w:val="-4"/>
          <w:sz w:val="32"/>
          <w:szCs w:val="32"/>
        </w:rPr>
        <w:t>录用边远地区人事补助数量300人，设立点位16个，地区农牧民脱贫数量256户。充分发挥职能作用，紧紧围绕“减少一般性涉久事事，力避重大事件发生”的管理目标。</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（2）项目完成质量</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项目资金发放率100%，每月按时发放边远地区人事补助每人每月2600元。带动脱贫攻坚成效，为打赢打好脱贫攻坚提供坚实的组织保障。</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（3）项目实施进度</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资金到位率100%，项目完成率100%，充分发挥职能作用，不断加大管理打击力度，依法维护地区的安全，根据变化，不断探索解决问题的新方法。</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（4）项目成本节约情况</w:t>
      </w:r>
    </w:p>
    <w:p>
      <w:pPr>
        <w:adjustRightInd w:val="0"/>
        <w:snapToGrid w:val="0"/>
        <w:spacing w:line="560" w:lineRule="atLeast"/>
        <w:ind w:left="420" w:leftChars="200"/>
        <w:rPr>
          <w:rFonts w:ascii="仿宋_GB2312" w:hAnsi="仿宋" w:eastAsia="仿宋_GB2312"/>
          <w:spacing w:val="-4"/>
          <w:sz w:val="32"/>
          <w:szCs w:val="32"/>
        </w:rPr>
      </w:pPr>
      <w:r>
        <w:rPr>
          <w:rFonts w:hint="eastAsia" w:ascii="仿宋_GB2312" w:hAnsi="仿宋" w:eastAsia="仿宋_GB2312" w:cs="仿宋"/>
          <w:spacing w:val="-4"/>
          <w:sz w:val="32"/>
          <w:szCs w:val="32"/>
        </w:rPr>
        <w:t xml:space="preserve">  落实实施使每人每月补助标准0.26万元/人/月，</w:t>
      </w:r>
      <w:r>
        <w:rPr>
          <w:rFonts w:hint="eastAsia" w:ascii="仿宋_GB2312" w:hAnsi="仿宋" w:eastAsia="仿宋_GB2312"/>
          <w:spacing w:val="-4"/>
          <w:sz w:val="32"/>
          <w:szCs w:val="32"/>
        </w:rPr>
        <w:t>使资金使用效益最大化，减少不必要的浪费，节约成本。</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2.效益指标完成情况分析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（1）项目实施的经济效益分析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带动贫困人口脱贫256户，为脱贫攻坚做出了有力的保障。提升脱贫攻坚的信心。</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（2）项目实施的社会效益分析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建档立卡贫困人口就业人数256户，带动贫困户就业，达到安定脱贫的目标。</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（3）项目实施的生态效益分析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无。</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（4）项目实施的可持续影响分析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项目影响持续年限1年。</w:t>
      </w:r>
      <w:r>
        <w:rPr>
          <w:rFonts w:hint="eastAsia" w:ascii="仿宋_GB2312" w:hAnsi="仿宋" w:eastAsia="仿宋_GB2312"/>
          <w:sz w:val="32"/>
          <w:szCs w:val="32"/>
        </w:rPr>
        <w:t>为保质保量完成提供了强有力的技术支撑，有效地推进了项目工作。</w:t>
      </w:r>
    </w:p>
    <w:p>
      <w:pPr>
        <w:spacing w:line="560" w:lineRule="atLeast"/>
        <w:ind w:firstLine="312" w:firstLineChars="100"/>
        <w:rPr>
          <w:rFonts w:ascii="仿宋_GB2312" w:hAnsi="仿宋" w:eastAsia="仿宋_GB2312" w:cs="仿宋"/>
          <w:spacing w:val="-4"/>
          <w:sz w:val="32"/>
          <w:szCs w:val="32"/>
        </w:rPr>
      </w:pPr>
      <w:r>
        <w:rPr>
          <w:rFonts w:hint="eastAsia" w:ascii="仿宋_GB2312" w:hAnsi="仿宋" w:eastAsia="仿宋_GB2312" w:cs="仿宋"/>
          <w:spacing w:val="-4"/>
          <w:sz w:val="32"/>
          <w:szCs w:val="32"/>
        </w:rPr>
        <w:t>3.满意度指标完成情况分析</w:t>
      </w:r>
    </w:p>
    <w:p>
      <w:pPr>
        <w:spacing w:line="560" w:lineRule="atLeast"/>
        <w:ind w:firstLine="624" w:firstLineChars="200"/>
        <w:rPr>
          <w:rFonts w:ascii="仿宋_GB2312" w:eastAsia="仿宋_GB2312"/>
          <w:sz w:val="32"/>
          <w:szCs w:val="32"/>
        </w:rPr>
      </w:pPr>
      <w:r>
        <w:rPr>
          <w:rFonts w:hint="eastAsia" w:ascii="仿宋_GB2312" w:hAnsi="仿宋" w:eastAsia="仿宋_GB2312" w:cs="仿宋"/>
          <w:spacing w:val="-4"/>
          <w:sz w:val="32"/>
          <w:szCs w:val="32"/>
        </w:rPr>
        <w:t>按计划完成项目实施，已做满意度调查问卷，受益对象满意率达98%，服务对象满意度指标完成。</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（二）项目绩效目标未完成原因分析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不存在未完成情况:“2019年本项目绩效目标全部达成，不存在未完成原因分析。”</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五、其他需要说明的问题</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（一）后续工作计划</w:t>
      </w:r>
    </w:p>
    <w:p>
      <w:pPr>
        <w:adjustRightInd w:val="0"/>
        <w:snapToGrid w:val="0"/>
        <w:spacing w:line="560" w:lineRule="atLeast"/>
        <w:ind w:firstLine="780" w:firstLineChars="250"/>
        <w:rPr>
          <w:rFonts w:ascii="仿宋_GB2312" w:hAnsi="仿宋" w:eastAsia="仿宋_GB2312"/>
          <w:spacing w:val="-4"/>
          <w:sz w:val="32"/>
          <w:szCs w:val="32"/>
        </w:rPr>
      </w:pPr>
      <w:r>
        <w:rPr>
          <w:rFonts w:hint="eastAsia" w:ascii="仿宋_GB2312" w:hAnsi="仿宋" w:eastAsia="仿宋_GB2312"/>
          <w:spacing w:val="-4"/>
          <w:sz w:val="32"/>
          <w:szCs w:val="32"/>
        </w:rPr>
        <w:t>乌夏巴什镇人民政府在完成2018年</w:t>
      </w:r>
      <w:r>
        <w:rPr>
          <w:rStyle w:val="19"/>
          <w:rFonts w:hint="eastAsia" w:ascii="仿宋_GB2312" w:hAnsi="仿宋" w:eastAsia="仿宋_GB2312"/>
          <w:b w:val="0"/>
          <w:bCs w:val="0"/>
          <w:spacing w:val="-4"/>
          <w:sz w:val="32"/>
          <w:szCs w:val="32"/>
        </w:rPr>
        <w:t>边远地区人事补助</w:t>
      </w:r>
      <w:r>
        <w:rPr>
          <w:rFonts w:hint="eastAsia" w:ascii="仿宋_GB2312" w:hAnsi="仿宋" w:eastAsia="仿宋_GB2312"/>
          <w:spacing w:val="-4"/>
          <w:sz w:val="32"/>
          <w:szCs w:val="32"/>
        </w:rPr>
        <w:t>项目支出的基础上，将严格2019年部分预算编制工作，在下一年度工作中，严格执行预算支出。</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（二）主要经验及做法、存在问题和建议</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主要经验及做法</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通过预算绩效管理，总结了工作中的较好的经验，如：在年度预算时严格建立管理机制和制度，不断规范补贴审批和发放工作，有效地杜绝了非预算支出，吃空饷、挤占挪用、虚报冒领等套取财政资金违规行为。</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存在的问题</w:t>
      </w:r>
    </w:p>
    <w:p>
      <w:pPr>
        <w:adjustRightInd w:val="0"/>
        <w:snapToGrid w:val="0"/>
        <w:spacing w:line="560" w:lineRule="atLeast"/>
        <w:ind w:left="420" w:left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通过预算绩效管理，发现了工作中存在的不足，如主要人员底数不清，以及村会计报账不及时造成会计账务处理不及时。</w:t>
      </w:r>
    </w:p>
    <w:p>
      <w:pPr>
        <w:adjustRightInd w:val="0"/>
        <w:snapToGrid w:val="0"/>
        <w:spacing w:line="560" w:lineRule="atLeast"/>
        <w:ind w:left="420" w:leftChars="200"/>
        <w:rPr>
          <w:rFonts w:ascii="仿宋_GB2312" w:hAnsi="仿宋" w:eastAsia="仿宋_GB2312"/>
          <w:spacing w:val="-4"/>
          <w:sz w:val="32"/>
          <w:szCs w:val="32"/>
        </w:rPr>
      </w:pPr>
      <w:r>
        <w:rPr>
          <w:rFonts w:hint="eastAsia" w:ascii="仿宋_GB2312" w:hAnsi="仿宋" w:eastAsia="仿宋_GB2312"/>
          <w:spacing w:val="-4"/>
          <w:sz w:val="32"/>
          <w:szCs w:val="32"/>
        </w:rPr>
        <w:t>3、建议</w:t>
      </w:r>
    </w:p>
    <w:p>
      <w:pPr>
        <w:adjustRightInd w:val="0"/>
        <w:snapToGrid w:val="0"/>
        <w:spacing w:line="560" w:lineRule="atLeast"/>
        <w:ind w:left="420" w:leftChars="200"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年初做好资金计划，按照项目进度及时拨付资金，使资金使用效益最大化，减少不必要的浪费，节约成本。</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（三）其他</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无其他说明内容。</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六、项目评价工作情况</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spacing w:val="-4"/>
          <w:sz w:val="32"/>
          <w:szCs w:val="32"/>
        </w:rPr>
        <w:t>本次评价通过文件研读、实地调研、数据分析等方式，全面了解边远地区人事补助项目资金的使用效率和效果，项目管理过程是否规范，是否完成了预期绩效目标等。同时，通过开展自我评价来总结经验和教训，为喀什地区边远地区人事补助项目今后的开展提供参考建议。</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七、附表</w:t>
      </w:r>
    </w:p>
    <w:p>
      <w:pPr>
        <w:spacing w:line="560" w:lineRule="atLeast"/>
        <w:ind w:firstLine="567"/>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w:t>
      </w:r>
      <w:r>
        <w:rPr>
          <w:rFonts w:hint="eastAsia" w:ascii="仿宋_GB2312" w:hAnsi="仿宋" w:eastAsia="仿宋_GB2312" w:cs="黑体"/>
          <w:sz w:val="32"/>
          <w:szCs w:val="32"/>
        </w:rPr>
        <w:t>项目支出绩效目标自评表</w:t>
      </w:r>
      <w:r>
        <w:rPr>
          <w:rStyle w:val="19"/>
          <w:rFonts w:hint="eastAsia" w:ascii="仿宋_GB2312" w:hAnsi="仿宋" w:eastAsia="仿宋_GB2312"/>
          <w:b w:val="0"/>
          <w:bCs w:val="0"/>
          <w:spacing w:val="-4"/>
          <w:sz w:val="32"/>
          <w:szCs w:val="32"/>
        </w:rPr>
        <w:t>》</w:t>
      </w:r>
    </w:p>
    <w:p>
      <w:pPr>
        <w:spacing w:line="560" w:lineRule="atLeast"/>
        <w:ind w:firstLine="640"/>
        <w:rPr>
          <w:rStyle w:val="19"/>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1972"/>
    <w:rsid w:val="00056465"/>
    <w:rsid w:val="000C0DC2"/>
    <w:rsid w:val="00121AE4"/>
    <w:rsid w:val="00136BCC"/>
    <w:rsid w:val="00146AAD"/>
    <w:rsid w:val="001A3B6A"/>
    <w:rsid w:val="001A6213"/>
    <w:rsid w:val="001B23F1"/>
    <w:rsid w:val="001B3A40"/>
    <w:rsid w:val="001B7137"/>
    <w:rsid w:val="00220617"/>
    <w:rsid w:val="00311626"/>
    <w:rsid w:val="00321CBD"/>
    <w:rsid w:val="00347D87"/>
    <w:rsid w:val="003C2CF9"/>
    <w:rsid w:val="0041723D"/>
    <w:rsid w:val="004366A8"/>
    <w:rsid w:val="00445685"/>
    <w:rsid w:val="004A2531"/>
    <w:rsid w:val="00502BA7"/>
    <w:rsid w:val="005162F1"/>
    <w:rsid w:val="00535153"/>
    <w:rsid w:val="0055134E"/>
    <w:rsid w:val="00554F82"/>
    <w:rsid w:val="0056390D"/>
    <w:rsid w:val="00570819"/>
    <w:rsid w:val="005719B0"/>
    <w:rsid w:val="005854A9"/>
    <w:rsid w:val="005D10D6"/>
    <w:rsid w:val="00630789"/>
    <w:rsid w:val="0063597F"/>
    <w:rsid w:val="00654C1B"/>
    <w:rsid w:val="00655C1E"/>
    <w:rsid w:val="00656E69"/>
    <w:rsid w:val="007001E0"/>
    <w:rsid w:val="007106D1"/>
    <w:rsid w:val="007A593B"/>
    <w:rsid w:val="007B4C8E"/>
    <w:rsid w:val="007D32F0"/>
    <w:rsid w:val="007E6716"/>
    <w:rsid w:val="008109DB"/>
    <w:rsid w:val="00855E3A"/>
    <w:rsid w:val="008669CC"/>
    <w:rsid w:val="008E6B23"/>
    <w:rsid w:val="008F2612"/>
    <w:rsid w:val="00922CB9"/>
    <w:rsid w:val="0099379F"/>
    <w:rsid w:val="009D3070"/>
    <w:rsid w:val="009E5CD9"/>
    <w:rsid w:val="009F57F2"/>
    <w:rsid w:val="00A2127B"/>
    <w:rsid w:val="00A26421"/>
    <w:rsid w:val="00A34C32"/>
    <w:rsid w:val="00A4293B"/>
    <w:rsid w:val="00A50201"/>
    <w:rsid w:val="00A67D50"/>
    <w:rsid w:val="00A8265B"/>
    <w:rsid w:val="00A8691A"/>
    <w:rsid w:val="00AA78D4"/>
    <w:rsid w:val="00AC1946"/>
    <w:rsid w:val="00AC7771"/>
    <w:rsid w:val="00B40063"/>
    <w:rsid w:val="00B41F61"/>
    <w:rsid w:val="00B75D5A"/>
    <w:rsid w:val="00BA2447"/>
    <w:rsid w:val="00BA46E6"/>
    <w:rsid w:val="00BB0058"/>
    <w:rsid w:val="00BF7355"/>
    <w:rsid w:val="00C024E5"/>
    <w:rsid w:val="00C2491F"/>
    <w:rsid w:val="00C56C72"/>
    <w:rsid w:val="00C87A8E"/>
    <w:rsid w:val="00C95952"/>
    <w:rsid w:val="00C9757C"/>
    <w:rsid w:val="00CA6457"/>
    <w:rsid w:val="00CB0722"/>
    <w:rsid w:val="00D17F2E"/>
    <w:rsid w:val="00D30354"/>
    <w:rsid w:val="00D35A5E"/>
    <w:rsid w:val="00DD1016"/>
    <w:rsid w:val="00DF42A0"/>
    <w:rsid w:val="00E32AE0"/>
    <w:rsid w:val="00E564B5"/>
    <w:rsid w:val="00E769FE"/>
    <w:rsid w:val="00EA2CBE"/>
    <w:rsid w:val="00EF406C"/>
    <w:rsid w:val="00EF6C41"/>
    <w:rsid w:val="00F32FEE"/>
    <w:rsid w:val="00F97914"/>
    <w:rsid w:val="00FA7E22"/>
    <w:rsid w:val="00FB10BB"/>
    <w:rsid w:val="00FC3B55"/>
    <w:rsid w:val="00FE11B9"/>
    <w:rsid w:val="02E37DE9"/>
    <w:rsid w:val="0D5D5A45"/>
    <w:rsid w:val="17E421EC"/>
    <w:rsid w:val="18A56B7D"/>
    <w:rsid w:val="347362C2"/>
    <w:rsid w:val="41277F33"/>
    <w:rsid w:val="646821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426</Words>
  <Characters>2433</Characters>
  <Lines>20</Lines>
  <Paragraphs>5</Paragraphs>
  <TotalTime>7</TotalTime>
  <ScaleCrop>false</ScaleCrop>
  <LinksUpToDate>false</LinksUpToDate>
  <CharactersWithSpaces>2854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2023-12-26T09:01:53Z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