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仿宋" w:hAnsi="仿宋" w:eastAsia="仿宋" w:cs="宋体"/>
          <w:color w:val="000000" w:themeColor="text1"/>
          <w:kern w:val="0"/>
          <w:sz w:val="32"/>
          <w:szCs w:val="3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ascii="方正小标宋_GBK" w:hAnsi="华文中宋" w:eastAsia="方正小标宋_GBK" w:cs="宋体"/>
          <w:b/>
          <w:color w:val="000000" w:themeColor="text1"/>
          <w:kern w:val="0"/>
          <w:sz w:val="48"/>
          <w:szCs w:val="48"/>
        </w:rPr>
      </w:pPr>
      <w:r>
        <w:rPr>
          <w:rFonts w:hint="eastAsia" w:ascii="方正小标宋_GBK" w:hAnsi="华文中宋" w:eastAsia="方正小标宋_GBK" w:cs="宋体"/>
          <w:b/>
          <w:color w:val="000000" w:themeColor="text1"/>
          <w:kern w:val="0"/>
          <w:sz w:val="48"/>
          <w:szCs w:val="48"/>
        </w:rPr>
        <w:t>喀什地区项目支出绩效自评报告</w:t>
      </w:r>
    </w:p>
    <w:p>
      <w:pPr>
        <w:spacing w:line="540" w:lineRule="exact"/>
        <w:jc w:val="center"/>
        <w:rPr>
          <w:rFonts w:ascii="华文中宋" w:hAnsi="华文中宋" w:eastAsia="华文中宋" w:cs="宋体"/>
          <w:b/>
          <w:color w:val="000000" w:themeColor="text1"/>
          <w:kern w:val="0"/>
          <w:sz w:val="52"/>
          <w:szCs w:val="52"/>
        </w:rPr>
      </w:pPr>
    </w:p>
    <w:p>
      <w:pPr>
        <w:spacing w:line="540" w:lineRule="exact"/>
        <w:jc w:val="center"/>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（2018年度）</w:t>
      </w:r>
    </w:p>
    <w:p>
      <w:pPr>
        <w:spacing w:line="540" w:lineRule="exact"/>
        <w:jc w:val="center"/>
        <w:rPr>
          <w:rFonts w:hAnsi="宋体" w:eastAsia="仿宋_GB2312" w:cs="宋体"/>
          <w:color w:val="000000" w:themeColor="text1"/>
          <w:kern w:val="0"/>
          <w:sz w:val="30"/>
          <w:szCs w:val="30"/>
        </w:rPr>
      </w:pPr>
    </w:p>
    <w:p>
      <w:pPr>
        <w:spacing w:line="540" w:lineRule="exact"/>
        <w:jc w:val="center"/>
        <w:rPr>
          <w:rFonts w:hAnsi="宋体" w:eastAsia="仿宋_GB2312" w:cs="宋体"/>
          <w:color w:val="000000" w:themeColor="text1"/>
          <w:kern w:val="0"/>
          <w:sz w:val="30"/>
          <w:szCs w:val="30"/>
        </w:rPr>
      </w:pPr>
    </w:p>
    <w:p>
      <w:pPr>
        <w:spacing w:line="540" w:lineRule="exact"/>
        <w:jc w:val="center"/>
        <w:rPr>
          <w:rFonts w:hAnsi="宋体" w:eastAsia="仿宋_GB2312" w:cs="宋体"/>
          <w:color w:val="000000" w:themeColor="text1"/>
          <w:kern w:val="0"/>
          <w:sz w:val="30"/>
          <w:szCs w:val="30"/>
        </w:rPr>
      </w:pPr>
    </w:p>
    <w:p>
      <w:pPr>
        <w:spacing w:line="540" w:lineRule="exact"/>
        <w:jc w:val="center"/>
        <w:rPr>
          <w:rFonts w:hAnsi="宋体" w:eastAsia="仿宋_GB2312" w:cs="宋体"/>
          <w:color w:val="000000" w:themeColor="text1"/>
          <w:kern w:val="0"/>
          <w:sz w:val="30"/>
          <w:szCs w:val="30"/>
        </w:rPr>
      </w:pPr>
    </w:p>
    <w:p>
      <w:pPr>
        <w:spacing w:line="540" w:lineRule="exact"/>
        <w:jc w:val="center"/>
        <w:rPr>
          <w:rFonts w:hAnsi="宋体" w:eastAsia="仿宋_GB2312" w:cs="宋体"/>
          <w:color w:val="000000" w:themeColor="text1"/>
          <w:kern w:val="0"/>
          <w:sz w:val="30"/>
          <w:szCs w:val="30"/>
        </w:rPr>
      </w:pPr>
    </w:p>
    <w:p>
      <w:pPr>
        <w:spacing w:line="540" w:lineRule="exact"/>
        <w:jc w:val="center"/>
        <w:rPr>
          <w:rFonts w:hAnsi="宋体" w:eastAsia="仿宋_GB2312" w:cs="宋体"/>
          <w:color w:val="000000" w:themeColor="text1"/>
          <w:kern w:val="0"/>
          <w:sz w:val="30"/>
          <w:szCs w:val="30"/>
        </w:rPr>
      </w:pPr>
    </w:p>
    <w:p>
      <w:pPr>
        <w:spacing w:line="540" w:lineRule="exact"/>
        <w:rPr>
          <w:rFonts w:hAnsi="宋体" w:eastAsia="仿宋_GB2312" w:cs="宋体"/>
          <w:color w:val="000000" w:themeColor="text1"/>
          <w:kern w:val="0"/>
          <w:sz w:val="30"/>
          <w:szCs w:val="30"/>
        </w:rPr>
      </w:pPr>
    </w:p>
    <w:p>
      <w:pPr>
        <w:spacing w:line="700" w:lineRule="exact"/>
        <w:jc w:val="left"/>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 xml:space="preserve">     项目名称：安居房项目</w:t>
      </w:r>
    </w:p>
    <w:p>
      <w:pPr>
        <w:spacing w:line="700" w:lineRule="exact"/>
        <w:jc w:val="left"/>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 xml:space="preserve">     实施单位（公章）：叶城县乌夏巴什镇人民政府</w:t>
      </w:r>
    </w:p>
    <w:p>
      <w:pPr>
        <w:spacing w:line="700" w:lineRule="exact"/>
        <w:ind w:firstLine="849" w:firstLineChars="236"/>
        <w:jc w:val="left"/>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主管部门（公章）：叶城县安居办</w:t>
      </w:r>
    </w:p>
    <w:p>
      <w:pPr>
        <w:spacing w:line="700" w:lineRule="exact"/>
        <w:ind w:firstLine="849" w:firstLineChars="236"/>
        <w:jc w:val="left"/>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项目负责人（签章）：胡洪波</w:t>
      </w:r>
    </w:p>
    <w:p>
      <w:pPr>
        <w:spacing w:line="700" w:lineRule="exact"/>
        <w:ind w:firstLine="849" w:firstLineChars="236"/>
        <w:jc w:val="left"/>
        <w:rPr>
          <w:rFonts w:hAnsi="宋体" w:eastAsia="仿宋_GB2312" w:cs="宋体"/>
          <w:color w:val="000000" w:themeColor="text1"/>
          <w:kern w:val="0"/>
          <w:sz w:val="36"/>
          <w:szCs w:val="36"/>
        </w:rPr>
      </w:pPr>
      <w:r>
        <w:rPr>
          <w:rFonts w:hint="eastAsia" w:hAnsi="宋体" w:eastAsia="仿宋_GB2312" w:cs="宋体"/>
          <w:color w:val="000000" w:themeColor="text1"/>
          <w:kern w:val="0"/>
          <w:sz w:val="36"/>
          <w:szCs w:val="36"/>
        </w:rPr>
        <w:t>填报时间：2018年</w:t>
      </w:r>
      <w:r>
        <w:rPr>
          <w:rFonts w:hAnsi="宋体" w:eastAsia="仿宋_GB2312" w:cs="宋体"/>
          <w:color w:val="000000" w:themeColor="text1"/>
          <w:kern w:val="0"/>
          <w:sz w:val="36"/>
          <w:szCs w:val="36"/>
        </w:rPr>
        <w:t xml:space="preserve"> </w:t>
      </w:r>
      <w:r>
        <w:rPr>
          <w:rFonts w:hint="eastAsia" w:hAnsi="宋体" w:eastAsia="仿宋_GB2312" w:cs="宋体"/>
          <w:color w:val="000000" w:themeColor="text1"/>
          <w:kern w:val="0"/>
          <w:sz w:val="36"/>
          <w:szCs w:val="36"/>
        </w:rPr>
        <w:t>11月</w:t>
      </w:r>
      <w:r>
        <w:rPr>
          <w:rFonts w:hAnsi="宋体" w:eastAsia="仿宋_GB2312" w:cs="宋体"/>
          <w:color w:val="000000" w:themeColor="text1"/>
          <w:kern w:val="0"/>
          <w:sz w:val="36"/>
          <w:szCs w:val="36"/>
        </w:rPr>
        <w:t xml:space="preserve"> </w:t>
      </w:r>
      <w:r>
        <w:rPr>
          <w:rFonts w:hint="eastAsia" w:hAnsi="宋体" w:eastAsia="仿宋_GB2312" w:cs="宋体"/>
          <w:color w:val="000000" w:themeColor="text1"/>
          <w:kern w:val="0"/>
          <w:sz w:val="36"/>
          <w:szCs w:val="36"/>
        </w:rPr>
        <w:t>25日</w:t>
      </w:r>
    </w:p>
    <w:p>
      <w:pPr>
        <w:spacing w:line="700" w:lineRule="exact"/>
        <w:ind w:firstLine="849" w:firstLineChars="236"/>
        <w:jc w:val="left"/>
        <w:rPr>
          <w:rFonts w:hAnsi="宋体" w:cs="宋体"/>
          <w:color w:val="000000" w:themeColor="text1"/>
          <w:kern w:val="0"/>
          <w:sz w:val="36"/>
          <w:szCs w:val="36"/>
        </w:rPr>
      </w:pP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一、项目概况</w:t>
      </w:r>
    </w:p>
    <w:p>
      <w:pPr>
        <w:spacing w:line="560" w:lineRule="atLeast"/>
        <w:ind w:firstLine="567"/>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（一）项目单位基本情况</w:t>
      </w:r>
    </w:p>
    <w:p>
      <w:pPr>
        <w:snapToGrid w:val="0"/>
        <w:spacing w:line="560" w:lineRule="atLeas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叶城县乌夏巴什镇属党政机关行政部门，乡科级行政单位，辖20个行政村；</w:t>
      </w:r>
      <w:r>
        <w:rPr>
          <w:rFonts w:hint="eastAsia" w:ascii="仿宋_GB2312" w:hAnsi="仿宋" w:eastAsia="仿宋_GB2312" w:cs="仿宋_GB2312"/>
          <w:color w:val="000000" w:themeColor="text1"/>
          <w:sz w:val="32"/>
          <w:szCs w:val="32"/>
        </w:rPr>
        <w:t>78个村民小组全镇总人口5426户，25237人，主要以维吾尔族为主。全镇总耕地面积5.2万亩，农业人均占有耕地4.1亩，主要从事农牧业。</w:t>
      </w:r>
    </w:p>
    <w:p>
      <w:pPr>
        <w:snapToGrid w:val="0"/>
        <w:spacing w:line="560" w:lineRule="atLeast"/>
        <w:ind w:firstLine="640" w:firstLineChars="200"/>
        <w:rPr>
          <w:rFonts w:ascii="仿宋_GB2312" w:hAnsi="仿宋" w:eastAsia="仿宋_GB2312"/>
          <w:color w:val="000000" w:themeColor="text1"/>
          <w:sz w:val="32"/>
          <w:szCs w:val="32"/>
        </w:rPr>
      </w:pPr>
      <w:r>
        <w:rPr>
          <w:rFonts w:hint="eastAsia" w:ascii="仿宋_GB2312" w:hAnsi="仿宋" w:eastAsia="仿宋_GB2312"/>
          <w:color w:val="000000" w:themeColor="text1"/>
          <w:sz w:val="32"/>
          <w:szCs w:val="32"/>
        </w:rPr>
        <w:t>主要职能：负责全镇党政行政管理事务。深刻贯彻落实党的十九大、十九届一中、二中、三中全会精神和二次新疆工作座谈会精神，以</w:t>
      </w:r>
      <w:bookmarkStart w:id="0" w:name="_GoBack"/>
      <w:bookmarkEnd w:id="0"/>
      <w:r>
        <w:rPr>
          <w:rFonts w:hint="eastAsia" w:ascii="仿宋_GB2312" w:hAnsi="仿宋" w:eastAsia="仿宋_GB2312"/>
          <w:color w:val="000000" w:themeColor="text1"/>
          <w:sz w:val="32"/>
          <w:szCs w:val="32"/>
          <w:lang w:eastAsia="zh-CN"/>
        </w:rPr>
        <w:t>习近平总书记重要讲话</w:t>
      </w:r>
      <w:r>
        <w:rPr>
          <w:rFonts w:hint="eastAsia" w:ascii="仿宋_GB2312" w:hAnsi="仿宋" w:eastAsia="仿宋_GB2312"/>
          <w:color w:val="000000" w:themeColor="text1"/>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（二）项目预算绩效目标设定情况</w:t>
      </w:r>
    </w:p>
    <w:p>
      <w:pPr>
        <w:spacing w:line="560" w:lineRule="atLeast"/>
        <w:ind w:firstLine="640" w:firstLineChars="200"/>
        <w:outlineLvl w:val="0"/>
        <w:rPr>
          <w:rFonts w:ascii="仿宋_GB2312" w:eastAsia="仿宋_GB2312"/>
          <w:color w:val="000000" w:themeColor="text1"/>
          <w:sz w:val="32"/>
          <w:szCs w:val="32"/>
        </w:rPr>
      </w:pPr>
      <w:r>
        <w:rPr>
          <w:rFonts w:hint="eastAsia" w:ascii="仿宋_GB2312" w:hAnsi="仿宋" w:eastAsia="仿宋_GB2312"/>
          <w:color w:val="000000" w:themeColor="text1"/>
          <w:sz w:val="32"/>
          <w:szCs w:val="32"/>
        </w:rPr>
        <w:t>叶城县安居办公室下达我镇2018年安居房项目资金984.9万元，主要用于全镇20个村农村住的上房、住上好房，按照“面积、功能、质量、产业二十年不落后”的要求，高标准、高质量的推进安居富民工程的建设，保证乌夏巴什镇全镇农民得到实惠，加强基层群众基础。</w:t>
      </w: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二、项目资金使用及管理情况</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color w:val="000000" w:themeColor="text1"/>
          <w:spacing w:val="-4"/>
          <w:sz w:val="32"/>
          <w:szCs w:val="32"/>
        </w:rPr>
      </w:pPr>
      <w:r>
        <w:rPr>
          <w:rFonts w:hint="eastAsia" w:ascii="仿宋_GB2312" w:hAnsi="仿宋" w:eastAsia="仿宋_GB2312" w:cs="仿宋"/>
          <w:color w:val="000000" w:themeColor="text1"/>
          <w:sz w:val="32"/>
          <w:szCs w:val="32"/>
        </w:rPr>
        <w:t>根据新财建【2018】207号、喀地财建［2018］92号文件要求，本项目资金</w:t>
      </w:r>
      <w:r>
        <w:rPr>
          <w:rFonts w:hint="eastAsia" w:ascii="仿宋_GB2312" w:hAnsi="仿宋" w:eastAsia="仿宋_GB2312"/>
          <w:color w:val="000000" w:themeColor="text1"/>
          <w:sz w:val="32"/>
          <w:szCs w:val="32"/>
        </w:rPr>
        <w:t>984.9</w:t>
      </w:r>
      <w:r>
        <w:rPr>
          <w:rFonts w:hint="eastAsia" w:ascii="仿宋_GB2312" w:hAnsi="仿宋" w:eastAsia="仿宋_GB2312" w:cs="仿宋"/>
          <w:color w:val="000000" w:themeColor="text1"/>
          <w:sz w:val="32"/>
          <w:szCs w:val="32"/>
        </w:rPr>
        <w:t>万元，其中财政资金</w:t>
      </w:r>
      <w:r>
        <w:rPr>
          <w:rFonts w:hint="eastAsia" w:ascii="仿宋_GB2312" w:hAnsi="仿宋" w:eastAsia="仿宋_GB2312"/>
          <w:color w:val="000000" w:themeColor="text1"/>
          <w:sz w:val="32"/>
          <w:szCs w:val="32"/>
        </w:rPr>
        <w:t>984.9</w:t>
      </w:r>
      <w:r>
        <w:rPr>
          <w:rFonts w:hint="eastAsia" w:ascii="仿宋_GB2312" w:hAnsi="仿宋" w:eastAsia="仿宋_GB2312" w:cs="仿宋"/>
          <w:color w:val="000000" w:themeColor="text1"/>
          <w:sz w:val="32"/>
          <w:szCs w:val="32"/>
        </w:rPr>
        <w:t>万元，其他资金0万元，</w:t>
      </w:r>
      <w:r>
        <w:rPr>
          <w:rFonts w:hint="eastAsia" w:ascii="仿宋_GB2312" w:hAnsi="仿宋" w:eastAsia="仿宋_GB2312"/>
          <w:bCs/>
          <w:color w:val="000000" w:themeColor="text1"/>
          <w:spacing w:val="-4"/>
          <w:sz w:val="32"/>
          <w:szCs w:val="32"/>
        </w:rPr>
        <w:t>资金到位</w:t>
      </w:r>
      <w:r>
        <w:rPr>
          <w:rFonts w:hint="eastAsia" w:ascii="仿宋_GB2312" w:hAnsi="仿宋" w:eastAsia="仿宋_GB2312"/>
          <w:color w:val="000000" w:themeColor="text1"/>
          <w:sz w:val="32"/>
          <w:szCs w:val="32"/>
        </w:rPr>
        <w:t>984.9</w:t>
      </w:r>
      <w:r>
        <w:rPr>
          <w:rFonts w:hint="eastAsia" w:ascii="仿宋_GB2312" w:hAnsi="仿宋" w:eastAsia="仿宋_GB2312"/>
          <w:bCs/>
          <w:color w:val="000000" w:themeColor="text1"/>
          <w:spacing w:val="-4"/>
          <w:sz w:val="32"/>
          <w:szCs w:val="32"/>
        </w:rPr>
        <w:t>万元；资金到位率100%。</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根据本年</w:t>
      </w:r>
      <w:r>
        <w:rPr>
          <w:rFonts w:hint="eastAsia" w:ascii="仿宋_GB2312" w:hAnsi="仿宋" w:eastAsia="仿宋_GB2312" w:cs="仿宋"/>
          <w:color w:val="000000" w:themeColor="text1"/>
          <w:sz w:val="32"/>
          <w:szCs w:val="32"/>
        </w:rPr>
        <w:t>新财建【2018】207号、喀地财建［2018］92号</w:t>
      </w:r>
      <w:r>
        <w:rPr>
          <w:rFonts w:hint="eastAsia" w:ascii="仿宋_GB2312" w:hAnsi="仿宋" w:eastAsia="仿宋_GB2312"/>
          <w:bCs/>
          <w:color w:val="000000" w:themeColor="text1"/>
          <w:spacing w:val="-4"/>
          <w:sz w:val="32"/>
          <w:szCs w:val="32"/>
        </w:rPr>
        <w:t>关于下达安居房资金的文件，到位资金</w:t>
      </w:r>
      <w:r>
        <w:rPr>
          <w:rFonts w:hint="eastAsia" w:ascii="仿宋_GB2312" w:hAnsi="仿宋" w:eastAsia="仿宋_GB2312"/>
          <w:color w:val="000000" w:themeColor="text1"/>
          <w:sz w:val="32"/>
          <w:szCs w:val="32"/>
        </w:rPr>
        <w:t>984.9</w:t>
      </w:r>
      <w:r>
        <w:rPr>
          <w:rFonts w:hint="eastAsia" w:ascii="仿宋_GB2312" w:hAnsi="仿宋" w:eastAsia="仿宋_GB2312"/>
          <w:bCs/>
          <w:color w:val="000000" w:themeColor="text1"/>
          <w:spacing w:val="-4"/>
          <w:sz w:val="32"/>
          <w:szCs w:val="32"/>
        </w:rPr>
        <w:t>万元，本项目实际支付资金</w:t>
      </w:r>
      <w:r>
        <w:rPr>
          <w:rFonts w:hint="eastAsia" w:ascii="仿宋_GB2312" w:hAnsi="仿宋" w:eastAsia="仿宋_GB2312"/>
          <w:color w:val="000000" w:themeColor="text1"/>
          <w:sz w:val="32"/>
          <w:szCs w:val="32"/>
        </w:rPr>
        <w:t>984.9</w:t>
      </w:r>
      <w:r>
        <w:rPr>
          <w:rFonts w:hint="eastAsia" w:ascii="仿宋_GB2312" w:hAnsi="仿宋" w:eastAsia="仿宋_GB2312"/>
          <w:bCs/>
          <w:color w:val="000000" w:themeColor="text1"/>
          <w:spacing w:val="-4"/>
          <w:sz w:val="32"/>
          <w:szCs w:val="32"/>
        </w:rPr>
        <w:t>万元，预算执行率100%。项目资金主要用于支付安居房费用</w:t>
      </w:r>
      <w:r>
        <w:rPr>
          <w:rFonts w:hint="eastAsia" w:ascii="仿宋_GB2312" w:hAnsi="仿宋" w:eastAsia="仿宋_GB2312"/>
          <w:color w:val="000000" w:themeColor="text1"/>
          <w:sz w:val="32"/>
          <w:szCs w:val="32"/>
        </w:rPr>
        <w:t>984.9</w:t>
      </w:r>
      <w:r>
        <w:rPr>
          <w:rFonts w:hint="eastAsia" w:ascii="仿宋_GB2312" w:hAnsi="仿宋" w:eastAsia="仿宋_GB2312"/>
          <w:bCs/>
          <w:color w:val="000000" w:themeColor="text1"/>
          <w:spacing w:val="-4"/>
          <w:sz w:val="32"/>
          <w:szCs w:val="32"/>
        </w:rPr>
        <w:t>万元，结余0万元。”</w:t>
      </w:r>
    </w:p>
    <w:p>
      <w:pPr>
        <w:adjustRightInd w:val="0"/>
        <w:snapToGrid w:val="0"/>
        <w:spacing w:line="560" w:lineRule="atLeast"/>
        <w:ind w:firstLine="624" w:firstLineChars="200"/>
        <w:outlineLvl w:val="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color w:val="000000" w:themeColor="text1"/>
          <w:spacing w:val="-4"/>
          <w:sz w:val="32"/>
          <w:szCs w:val="32"/>
        </w:rPr>
      </w:pPr>
      <w:r>
        <w:rPr>
          <w:rFonts w:hint="eastAsia" w:ascii="仿宋_GB2312" w:hAnsi="仿宋" w:eastAsia="仿宋_GB2312" w:cs="宋体"/>
          <w:color w:val="000000" w:themeColor="text1"/>
          <w:spacing w:val="-4"/>
          <w:sz w:val="32"/>
          <w:szCs w:val="32"/>
        </w:rPr>
        <w:t>本项目</w:t>
      </w:r>
      <w:r>
        <w:rPr>
          <w:rFonts w:hint="eastAsia" w:ascii="仿宋_GB2312" w:hAnsi="仿宋" w:eastAsia="仿宋_GB2312"/>
          <w:bCs/>
          <w:color w:val="000000" w:themeColor="text1"/>
          <w:spacing w:val="-4"/>
          <w:sz w:val="32"/>
          <w:szCs w:val="32"/>
        </w:rPr>
        <w:t>资金严格按照《安居房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三、项目组织实施情况</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（一）项目组织情况分析</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Style w:val="19"/>
          <w:rFonts w:hint="eastAsia" w:ascii="仿宋_GB2312" w:hAnsi="仿宋" w:eastAsia="仿宋_GB2312"/>
          <w:b w:val="0"/>
          <w:color w:val="000000" w:themeColor="text1"/>
          <w:spacing w:val="-4"/>
          <w:sz w:val="32"/>
          <w:szCs w:val="32"/>
        </w:rPr>
        <w:t>为保证项目质量和成本控制</w:t>
      </w:r>
      <w:r>
        <w:rPr>
          <w:rFonts w:hint="eastAsia" w:ascii="仿宋_GB2312" w:hAnsi="仿宋" w:eastAsia="仿宋_GB2312"/>
          <w:color w:val="000000" w:themeColor="text1"/>
          <w:sz w:val="32"/>
          <w:szCs w:val="32"/>
        </w:rPr>
        <w:t>，我单位积极与县安居办对接，进行了前期规划工作，制定《安居房建设工作方案》，组织专人进行摸排工作，为保质保量完成提供了强有力的技术支撑，有效地推进了项目工作，</w:t>
      </w:r>
      <w:r>
        <w:rPr>
          <w:rStyle w:val="19"/>
          <w:rFonts w:hint="eastAsia" w:ascii="仿宋_GB2312" w:hAnsi="仿宋" w:eastAsia="仿宋_GB2312"/>
          <w:b w:val="0"/>
          <w:color w:val="000000" w:themeColor="text1"/>
          <w:spacing w:val="-4"/>
          <w:sz w:val="32"/>
          <w:szCs w:val="32"/>
        </w:rPr>
        <w:t>项目实施完成后，由本项目相关人员于2018年11月25日完成检查验收，检查验收合格后按合同规定支付款项。”</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Style w:val="19"/>
          <w:rFonts w:hint="eastAsia" w:ascii="仿宋_GB2312" w:hAnsi="仿宋" w:eastAsia="仿宋_GB2312"/>
          <w:b w:val="0"/>
          <w:color w:val="000000" w:themeColor="text1"/>
          <w:spacing w:val="-4"/>
          <w:sz w:val="32"/>
          <w:szCs w:val="32"/>
        </w:rPr>
        <w:t>本项目不存在调整情况。</w:t>
      </w:r>
    </w:p>
    <w:p>
      <w:pPr>
        <w:spacing w:line="560" w:lineRule="atLeast"/>
        <w:ind w:firstLine="564" w:firstLineChars="181"/>
        <w:rPr>
          <w:rStyle w:val="19"/>
          <w:rFonts w:ascii="仿宋_GB2312" w:hAnsi="楷体" w:eastAsia="仿宋_GB2312"/>
          <w:b w:val="0"/>
          <w:bCs w:val="0"/>
          <w:color w:val="000000" w:themeColor="text1"/>
          <w:spacing w:val="-4"/>
          <w:sz w:val="32"/>
          <w:szCs w:val="32"/>
        </w:rPr>
      </w:pPr>
      <w:r>
        <w:rPr>
          <w:rStyle w:val="19"/>
          <w:rFonts w:hint="eastAsia" w:ascii="仿宋_GB2312" w:hAnsi="楷体" w:eastAsia="仿宋_GB2312"/>
          <w:b w:val="0"/>
          <w:bCs w:val="0"/>
          <w:color w:val="000000" w:themeColor="text1"/>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Style w:val="19"/>
          <w:rFonts w:hint="eastAsia" w:ascii="仿宋_GB2312" w:hAnsi="仿宋" w:eastAsia="仿宋_GB2312"/>
          <w:b w:val="0"/>
          <w:color w:val="000000" w:themeColor="text1"/>
          <w:spacing w:val="-4"/>
          <w:sz w:val="32"/>
          <w:szCs w:val="32"/>
        </w:rPr>
        <w:t>项目实施过程中，我单位建立了《安居房建设制度》保障项目的顺利实施。项目的实施遵守相关法律法规和业务管理规定，项目资料齐全并及时装订、归档。已建立《安居房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color w:val="000000" w:themeColor="text1"/>
          <w:sz w:val="32"/>
          <w:szCs w:val="32"/>
        </w:rPr>
      </w:pPr>
      <w:r>
        <w:rPr>
          <w:rStyle w:val="19"/>
          <w:rFonts w:hint="eastAsia" w:ascii="黑体" w:hAnsi="黑体" w:eastAsia="黑体"/>
          <w:b w:val="0"/>
          <w:color w:val="000000" w:themeColor="text1"/>
          <w:spacing w:val="-4"/>
          <w:sz w:val="32"/>
          <w:szCs w:val="32"/>
        </w:rPr>
        <w:t>四、项目绩效情况</w:t>
      </w:r>
    </w:p>
    <w:p>
      <w:pPr>
        <w:spacing w:line="560" w:lineRule="atLeast"/>
        <w:ind w:firstLine="564" w:firstLineChars="181"/>
        <w:rPr>
          <w:rFonts w:ascii="仿宋_GB2312" w:hAnsi="楷体" w:eastAsia="仿宋_GB2312"/>
          <w:bCs/>
          <w:color w:val="000000" w:themeColor="text1"/>
          <w:spacing w:val="-4"/>
          <w:sz w:val="32"/>
          <w:szCs w:val="32"/>
        </w:rPr>
      </w:pPr>
      <w:r>
        <w:rPr>
          <w:rFonts w:hint="eastAsia" w:ascii="仿宋_GB2312" w:hAnsi="楷体" w:eastAsia="仿宋_GB2312"/>
          <w:bCs/>
          <w:color w:val="000000" w:themeColor="text1"/>
          <w:spacing w:val="-4"/>
          <w:sz w:val="32"/>
          <w:szCs w:val="32"/>
        </w:rPr>
        <w:t>（一）项目绩效目标完成情况分析</w:t>
      </w:r>
    </w:p>
    <w:p>
      <w:pPr>
        <w:widowControl/>
        <w:spacing w:line="560" w:lineRule="atLeast"/>
        <w:ind w:firstLine="320" w:firstLineChars="100"/>
        <w:jc w:val="left"/>
        <w:rPr>
          <w:rFonts w:ascii="仿宋_GB2312" w:hAnsi="仿宋" w:eastAsia="仿宋_GB2312" w:cs="仿宋"/>
          <w:color w:val="000000" w:themeColor="text1"/>
          <w:kern w:val="0"/>
          <w:sz w:val="32"/>
          <w:szCs w:val="32"/>
        </w:rPr>
      </w:pPr>
      <w:r>
        <w:rPr>
          <w:rFonts w:hint="eastAsia" w:ascii="仿宋_GB2312" w:hAnsi="仿宋" w:eastAsia="仿宋_GB2312" w:cs="仿宋"/>
          <w:color w:val="000000" w:themeColor="text1"/>
          <w:kern w:val="0"/>
          <w:sz w:val="32"/>
          <w:szCs w:val="32"/>
        </w:rPr>
        <w:t>本项目共设置一级指标3个，二级指标9个，三级指标</w:t>
      </w:r>
      <w:r>
        <w:rPr>
          <w:rStyle w:val="19"/>
          <w:rFonts w:hint="eastAsia" w:ascii="仿宋_GB2312" w:hAnsi="仿宋" w:eastAsia="仿宋_GB2312"/>
          <w:b w:val="0"/>
          <w:color w:val="000000" w:themeColor="text1"/>
          <w:spacing w:val="-4"/>
          <w:sz w:val="32"/>
          <w:szCs w:val="32"/>
        </w:rPr>
        <w:t>10</w:t>
      </w:r>
      <w:r>
        <w:rPr>
          <w:rFonts w:hint="eastAsia" w:ascii="仿宋_GB2312" w:hAnsi="仿宋" w:eastAsia="仿宋_GB2312" w:cs="仿宋"/>
          <w:color w:val="000000" w:themeColor="text1"/>
          <w:kern w:val="0"/>
          <w:sz w:val="32"/>
          <w:szCs w:val="32"/>
        </w:rPr>
        <w:t>个，其中已完成三级指标10个，指标完成率为100%。根据年初设定的绩效目标，此项目自评得分为95分。</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1.产出指标完成情况分析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（1）项目完成数量</w:t>
      </w:r>
    </w:p>
    <w:p>
      <w:pPr>
        <w:spacing w:line="560" w:lineRule="atLeast"/>
        <w:ind w:firstLine="936" w:firstLineChars="3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安居房享受户数412户，下达我镇2018年安居房项目资金984.9万元，主要用于全镇20个村农村住的上房、住上好房。</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（2）项目完成质量</w:t>
      </w:r>
    </w:p>
    <w:p>
      <w:pPr>
        <w:spacing w:line="560" w:lineRule="atLeast"/>
        <w:ind w:firstLine="936" w:firstLineChars="3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质量指标建房质量合格率100%，按照“面积、功能、质量、产业二十年不落后”的要求，高标准、高质量的推进安居富民工程的建设。</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（3）项目实施进度</w:t>
      </w:r>
    </w:p>
    <w:p>
      <w:pPr>
        <w:spacing w:line="560" w:lineRule="atLeast"/>
        <w:ind w:firstLine="936" w:firstLineChars="3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按照申报目标的进度进行，资金到位及时率100%，项目完成率100%，保证乌夏巴什镇全镇农民得到实惠，加强基层群众基础，截止2018年该项目已全部实施完毕。</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（4）项目成本节约情况</w:t>
      </w:r>
    </w:p>
    <w:p>
      <w:pPr>
        <w:spacing w:line="560" w:lineRule="atLeast"/>
        <w:ind w:firstLine="640" w:firstLineChars="200"/>
        <w:rPr>
          <w:rFonts w:ascii="仿宋_GB2312" w:hAnsi="仿宋" w:eastAsia="仿宋_GB2312" w:cs="仿宋"/>
          <w:color w:val="000000" w:themeColor="text1"/>
          <w:spacing w:val="-4"/>
          <w:sz w:val="32"/>
          <w:szCs w:val="32"/>
        </w:rPr>
      </w:pPr>
      <w:r>
        <w:rPr>
          <w:rFonts w:hint="eastAsia" w:ascii="仿宋_GB2312" w:hAnsi="仿宋" w:eastAsia="仿宋_GB2312"/>
          <w:color w:val="000000" w:themeColor="text1"/>
          <w:sz w:val="32"/>
          <w:szCs w:val="32"/>
        </w:rPr>
        <w:t>2018年安居房项目资金984.9万元，每户补助2.39万元，主要用于全镇20个村农村住的上房、住上好房，按照“面积、功能、质量、产业二十年不落后”的要求，高标准、高质量的推进安居富民工程的建设。</w:t>
      </w:r>
    </w:p>
    <w:p>
      <w:pPr>
        <w:spacing w:line="560" w:lineRule="atLeast"/>
        <w:ind w:firstLine="936" w:firstLineChars="3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2.效益指标完成情况分析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（1）项目实施的经济效益分析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着力改善农村农户住房条件，为当地财政减负984.9万元。</w:t>
      </w:r>
    </w:p>
    <w:p>
      <w:pPr>
        <w:spacing w:line="560" w:lineRule="atLeast"/>
        <w:ind w:firstLine="627"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b/>
          <w:bCs/>
          <w:color w:val="000000" w:themeColor="text1"/>
          <w:spacing w:val="-4"/>
          <w:sz w:val="32"/>
          <w:szCs w:val="32"/>
        </w:rPr>
        <w:t>（</w:t>
      </w:r>
      <w:r>
        <w:rPr>
          <w:rFonts w:hint="eastAsia" w:ascii="仿宋_GB2312" w:hAnsi="仿宋" w:eastAsia="仿宋_GB2312" w:cs="仿宋"/>
          <w:color w:val="000000" w:themeColor="text1"/>
          <w:spacing w:val="-4"/>
          <w:sz w:val="32"/>
          <w:szCs w:val="32"/>
        </w:rPr>
        <w:t>2）项目实施的社会效益分析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乡镇严格按照安居房建设制度，着力改善农村农户住房条件100%。</w:t>
      </w:r>
    </w:p>
    <w:p>
      <w:pPr>
        <w:spacing w:line="560" w:lineRule="atLeast"/>
        <w:ind w:firstLine="624" w:firstLineChars="200"/>
        <w:rPr>
          <w:rFonts w:ascii="仿宋_GB2312" w:hAnsi="仿宋" w:eastAsia="仿宋_GB2312" w:cs="仿宋"/>
          <w:bCs/>
          <w:color w:val="000000" w:themeColor="text1"/>
          <w:spacing w:val="-4"/>
          <w:sz w:val="32"/>
          <w:szCs w:val="32"/>
        </w:rPr>
      </w:pPr>
      <w:r>
        <w:rPr>
          <w:rFonts w:hint="eastAsia" w:ascii="仿宋_GB2312" w:hAnsi="仿宋" w:eastAsia="仿宋_GB2312" w:cs="仿宋"/>
          <w:color w:val="000000" w:themeColor="text1"/>
          <w:spacing w:val="-4"/>
          <w:sz w:val="32"/>
          <w:szCs w:val="32"/>
        </w:rPr>
        <w:t>（3）项目实施的生态效益分</w:t>
      </w:r>
      <w:r>
        <w:rPr>
          <w:rFonts w:hint="eastAsia" w:ascii="仿宋_GB2312" w:hAnsi="仿宋" w:eastAsia="仿宋_GB2312" w:cs="仿宋"/>
          <w:bCs/>
          <w:color w:val="000000" w:themeColor="text1"/>
          <w:spacing w:val="-4"/>
          <w:sz w:val="32"/>
          <w:szCs w:val="32"/>
        </w:rPr>
        <w:t>析</w:t>
      </w:r>
    </w:p>
    <w:p>
      <w:pPr>
        <w:spacing w:line="560" w:lineRule="atLeast"/>
        <w:ind w:firstLine="624" w:firstLineChars="2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解决了卫生厕所的环境污染问题，减小环境污染率。　</w:t>
      </w:r>
    </w:p>
    <w:p>
      <w:pPr>
        <w:spacing w:line="560" w:lineRule="atLeast"/>
        <w:ind w:firstLine="624" w:firstLineChars="200"/>
        <w:rPr>
          <w:rFonts w:ascii="仿宋_GB2312" w:hAnsi="仿宋" w:eastAsia="仿宋_GB2312" w:cs="仿宋"/>
          <w:bCs/>
          <w:color w:val="000000" w:themeColor="text1"/>
          <w:spacing w:val="-4"/>
          <w:sz w:val="32"/>
          <w:szCs w:val="32"/>
        </w:rPr>
      </w:pPr>
      <w:r>
        <w:rPr>
          <w:rFonts w:hint="eastAsia" w:ascii="仿宋_GB2312" w:hAnsi="仿宋" w:eastAsia="仿宋_GB2312" w:cs="仿宋"/>
          <w:bCs/>
          <w:color w:val="000000" w:themeColor="text1"/>
          <w:spacing w:val="-4"/>
          <w:sz w:val="32"/>
          <w:szCs w:val="32"/>
        </w:rPr>
        <w:t>（4）项目实施的可持续影响分析</w:t>
      </w:r>
    </w:p>
    <w:p>
      <w:pPr>
        <w:spacing w:line="560" w:lineRule="atLeast"/>
        <w:ind w:firstLine="936" w:firstLineChars="30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农民住房得到保障，农民群众住房使用年限50年，增加乌夏巴什镇全镇农民对美好生活的向往。</w:t>
      </w:r>
    </w:p>
    <w:p>
      <w:pPr>
        <w:spacing w:line="560" w:lineRule="atLeast"/>
        <w:ind w:firstLine="780" w:firstLineChars="250"/>
        <w:rPr>
          <w:rFonts w:ascii="仿宋_GB2312" w:hAnsi="仿宋" w:eastAsia="仿宋_GB2312" w:cs="仿宋"/>
          <w:color w:val="000000" w:themeColor="text1"/>
          <w:spacing w:val="-4"/>
          <w:sz w:val="32"/>
          <w:szCs w:val="32"/>
        </w:rPr>
      </w:pPr>
      <w:r>
        <w:rPr>
          <w:rFonts w:hint="eastAsia" w:ascii="仿宋_GB2312" w:hAnsi="仿宋" w:eastAsia="仿宋_GB2312" w:cs="仿宋"/>
          <w:color w:val="000000" w:themeColor="text1"/>
          <w:spacing w:val="-4"/>
          <w:sz w:val="32"/>
          <w:szCs w:val="32"/>
        </w:rPr>
        <w:t>3.满意度指标完成情况分析</w:t>
      </w:r>
    </w:p>
    <w:p>
      <w:pPr>
        <w:spacing w:line="560" w:lineRule="atLeast"/>
        <w:ind w:firstLine="780" w:firstLineChars="250"/>
        <w:rPr>
          <w:rFonts w:ascii="仿宋_GB2312" w:eastAsia="仿宋_GB2312"/>
          <w:color w:val="000000" w:themeColor="text1"/>
          <w:sz w:val="32"/>
          <w:szCs w:val="32"/>
        </w:rPr>
      </w:pPr>
      <w:r>
        <w:rPr>
          <w:rFonts w:hint="eastAsia" w:ascii="仿宋_GB2312" w:hAnsi="仿宋" w:eastAsia="仿宋_GB2312" w:cs="仿宋"/>
          <w:color w:val="000000" w:themeColor="text1"/>
          <w:spacing w:val="-4"/>
          <w:sz w:val="32"/>
          <w:szCs w:val="32"/>
        </w:rPr>
        <w:t>按计划完成项目实施，已做满意度调查问卷，安居富民满意率达98%，服务对象满意度指标完成。</w:t>
      </w:r>
    </w:p>
    <w:p>
      <w:pPr>
        <w:spacing w:line="560" w:lineRule="atLeast"/>
        <w:ind w:firstLine="564" w:firstLineChars="181"/>
        <w:rPr>
          <w:rFonts w:ascii="仿宋_GB2312" w:hAnsi="楷体" w:eastAsia="仿宋_GB2312"/>
          <w:bCs/>
          <w:color w:val="000000" w:themeColor="text1"/>
          <w:spacing w:val="-4"/>
          <w:sz w:val="32"/>
          <w:szCs w:val="32"/>
        </w:rPr>
      </w:pPr>
      <w:r>
        <w:rPr>
          <w:rFonts w:hint="eastAsia" w:ascii="仿宋_GB2312" w:hAnsi="楷体" w:eastAsia="仿宋_GB2312"/>
          <w:bCs/>
          <w:color w:val="000000" w:themeColor="text1"/>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五、其他需要说明的问题</w:t>
      </w:r>
    </w:p>
    <w:p>
      <w:pPr>
        <w:spacing w:line="560" w:lineRule="atLeast"/>
        <w:ind w:firstLine="564" w:firstLineChars="181"/>
        <w:rPr>
          <w:rFonts w:ascii="仿宋_GB2312" w:hAnsi="楷体" w:eastAsia="仿宋_GB2312"/>
          <w:bCs/>
          <w:color w:val="000000" w:themeColor="text1"/>
          <w:spacing w:val="-4"/>
          <w:sz w:val="32"/>
          <w:szCs w:val="32"/>
        </w:rPr>
      </w:pPr>
      <w:r>
        <w:rPr>
          <w:rFonts w:hint="eastAsia" w:ascii="仿宋_GB2312" w:hAnsi="楷体" w:eastAsia="仿宋_GB2312"/>
          <w:bCs/>
          <w:color w:val="000000" w:themeColor="text1"/>
          <w:spacing w:val="-4"/>
          <w:sz w:val="32"/>
          <w:szCs w:val="32"/>
        </w:rPr>
        <w:t>（一）后续工作计划</w:t>
      </w:r>
    </w:p>
    <w:p>
      <w:pPr>
        <w:adjustRightInd w:val="0"/>
        <w:snapToGrid w:val="0"/>
        <w:spacing w:line="560" w:lineRule="atLeast"/>
        <w:ind w:firstLine="624" w:firstLineChars="200"/>
        <w:rPr>
          <w:rFonts w:ascii="仿宋_GB2312" w:hAnsi="楷体" w:eastAsia="仿宋_GB2312"/>
          <w:b/>
          <w:color w:val="000000" w:themeColor="text1"/>
          <w:spacing w:val="-4"/>
          <w:sz w:val="32"/>
          <w:szCs w:val="32"/>
        </w:rPr>
      </w:pPr>
      <w:r>
        <w:rPr>
          <w:rFonts w:hint="eastAsia" w:ascii="仿宋_GB2312" w:hAnsi="仿宋" w:eastAsia="仿宋_GB2312"/>
          <w:bCs/>
          <w:color w:val="000000" w:themeColor="text1"/>
          <w:spacing w:val="-4"/>
          <w:sz w:val="32"/>
          <w:szCs w:val="32"/>
        </w:rPr>
        <w:t>该项目已经群内部进行移交，并且投入使用，我们将在下一步的工作中更好总结经验，加强安居房的建设，为更好的人居环境所创造良好的条件。</w:t>
      </w:r>
    </w:p>
    <w:p>
      <w:pPr>
        <w:spacing w:line="560" w:lineRule="atLeast"/>
        <w:ind w:firstLine="564" w:firstLineChars="181"/>
        <w:rPr>
          <w:rFonts w:ascii="仿宋_GB2312" w:hAnsi="楷体" w:eastAsia="仿宋_GB2312"/>
          <w:bCs/>
          <w:color w:val="000000" w:themeColor="text1"/>
          <w:spacing w:val="-4"/>
          <w:sz w:val="32"/>
          <w:szCs w:val="32"/>
        </w:rPr>
      </w:pPr>
      <w:r>
        <w:rPr>
          <w:rFonts w:hint="eastAsia" w:ascii="仿宋_GB2312" w:hAnsi="楷体" w:eastAsia="仿宋_GB2312"/>
          <w:bCs/>
          <w:color w:val="000000" w:themeColor="text1"/>
          <w:spacing w:val="-4"/>
          <w:sz w:val="32"/>
          <w:szCs w:val="32"/>
        </w:rPr>
        <w:t>（二）主要经验及做法、存在问题和建议</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乌夏巴什镇人民政府在对安居房建设的过程中，按照上级的安排，进行摸排、选址，进一步提高质量，保证效率。</w:t>
      </w:r>
    </w:p>
    <w:p>
      <w:pPr>
        <w:numPr>
          <w:ilvl w:val="0"/>
          <w:numId w:val="1"/>
        </w:num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主要经验及做法</w:t>
      </w:r>
    </w:p>
    <w:p>
      <w:p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通过预算绩效管理，总结了工作中的较好的经验，如：在前期工作中，积极主动和农民沟通，在选址上做到群众满意，施工安全。</w:t>
      </w:r>
    </w:p>
    <w:p>
      <w:pPr>
        <w:numPr>
          <w:ilvl w:val="0"/>
          <w:numId w:val="1"/>
        </w:num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存在的问题</w:t>
      </w:r>
    </w:p>
    <w:p>
      <w:pPr>
        <w:adjustRightInd w:val="0"/>
        <w:snapToGrid w:val="0"/>
        <w:spacing w:line="560" w:lineRule="atLeast"/>
        <w:ind w:left="420" w:leftChars="200"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通过预算绩效管理，发现了工作中存在的不足，如前期资金使用因施工方未按时提供材料原因未按期支付，导致了资金滞缓，影响了项目的进度，造成了部分资金的浪费。</w:t>
      </w:r>
    </w:p>
    <w:p>
      <w:pPr>
        <w:numPr>
          <w:ilvl w:val="0"/>
          <w:numId w:val="1"/>
        </w:numPr>
        <w:adjustRightInd w:val="0"/>
        <w:snapToGrid w:val="0"/>
        <w:spacing w:line="560" w:lineRule="atLeast"/>
        <w:ind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建议</w:t>
      </w:r>
    </w:p>
    <w:p>
      <w:pPr>
        <w:adjustRightInd w:val="0"/>
        <w:snapToGrid w:val="0"/>
        <w:spacing w:line="560" w:lineRule="atLeast"/>
        <w:ind w:left="420" w:leftChars="200" w:firstLine="624" w:firstLineChars="200"/>
        <w:rPr>
          <w:rFonts w:ascii="仿宋_GB2312" w:hAnsi="仿宋" w:eastAsia="仿宋_GB2312"/>
          <w:bCs/>
          <w:color w:val="000000" w:themeColor="text1"/>
          <w:spacing w:val="-4"/>
          <w:sz w:val="32"/>
          <w:szCs w:val="32"/>
        </w:rPr>
      </w:pPr>
      <w:r>
        <w:rPr>
          <w:rFonts w:hint="eastAsia" w:ascii="仿宋_GB2312" w:hAnsi="仿宋" w:eastAsia="仿宋_GB2312"/>
          <w:bCs/>
          <w:color w:val="000000" w:themeColor="text1"/>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bCs/>
          <w:color w:val="000000" w:themeColor="text1"/>
          <w:spacing w:val="-4"/>
          <w:sz w:val="32"/>
          <w:szCs w:val="32"/>
        </w:rPr>
      </w:pPr>
      <w:r>
        <w:rPr>
          <w:rFonts w:hint="eastAsia" w:ascii="仿宋_GB2312" w:hAnsi="楷体" w:eastAsia="仿宋_GB2312"/>
          <w:bCs/>
          <w:color w:val="000000" w:themeColor="text1"/>
          <w:spacing w:val="-4"/>
          <w:sz w:val="32"/>
          <w:szCs w:val="32"/>
        </w:rPr>
        <w:t>（三）其他</w:t>
      </w:r>
    </w:p>
    <w:p>
      <w:pPr>
        <w:adjustRightInd w:val="0"/>
        <w:snapToGrid w:val="0"/>
        <w:spacing w:line="560" w:lineRule="atLeast"/>
        <w:ind w:firstLine="624" w:firstLineChars="200"/>
        <w:rPr>
          <w:rFonts w:ascii="仿宋_GB2312" w:hAnsi="仿宋" w:eastAsia="仿宋_GB2312"/>
          <w:color w:val="000000" w:themeColor="text1"/>
          <w:spacing w:val="-4"/>
          <w:sz w:val="32"/>
          <w:szCs w:val="32"/>
        </w:rPr>
      </w:pPr>
      <w:r>
        <w:rPr>
          <w:rFonts w:hint="eastAsia" w:ascii="仿宋_GB2312" w:hAnsi="仿宋" w:eastAsia="仿宋_GB2312"/>
          <w:color w:val="000000" w:themeColor="text1"/>
          <w:spacing w:val="-4"/>
          <w:sz w:val="32"/>
          <w:szCs w:val="32"/>
        </w:rPr>
        <w:t>无其他说明内容。</w:t>
      </w: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color w:val="000000" w:themeColor="text1"/>
          <w:spacing w:val="-4"/>
          <w:sz w:val="32"/>
          <w:szCs w:val="32"/>
        </w:rPr>
      </w:pPr>
      <w:r>
        <w:rPr>
          <w:rFonts w:hint="eastAsia" w:ascii="仿宋_GB2312" w:hAnsi="仿宋" w:eastAsia="仿宋_GB2312"/>
          <w:color w:val="000000" w:themeColor="text1"/>
          <w:spacing w:val="-4"/>
          <w:sz w:val="32"/>
          <w:szCs w:val="32"/>
        </w:rPr>
        <w:t>本次评价通过文件研读、实地调研、数据分析等方式，全面了解安居富民房项目资金的使用效率和效果，项目管理过程是否规范，是否完成了预期绩效目标等。同时，通过开展自我评价来总结经验和教训，为喀什地区安居富民房项目今后的开展提供参考建议。</w:t>
      </w:r>
    </w:p>
    <w:p>
      <w:pPr>
        <w:spacing w:line="560" w:lineRule="atLeast"/>
        <w:ind w:firstLine="640"/>
        <w:rPr>
          <w:rStyle w:val="19"/>
          <w:rFonts w:ascii="黑体" w:hAnsi="黑体" w:eastAsia="黑体"/>
          <w:b w:val="0"/>
          <w:color w:val="000000" w:themeColor="text1"/>
          <w:spacing w:val="-4"/>
          <w:sz w:val="32"/>
          <w:szCs w:val="32"/>
        </w:rPr>
      </w:pPr>
      <w:r>
        <w:rPr>
          <w:rStyle w:val="19"/>
          <w:rFonts w:hint="eastAsia" w:ascii="黑体" w:hAnsi="黑体" w:eastAsia="黑体"/>
          <w:b w:val="0"/>
          <w:color w:val="000000" w:themeColor="text1"/>
          <w:spacing w:val="-4"/>
          <w:sz w:val="32"/>
          <w:szCs w:val="32"/>
        </w:rPr>
        <w:t>七、附表</w:t>
      </w:r>
    </w:p>
    <w:p>
      <w:pPr>
        <w:spacing w:line="560" w:lineRule="atLeast"/>
        <w:ind w:firstLine="567"/>
        <w:rPr>
          <w:rStyle w:val="19"/>
          <w:rFonts w:ascii="仿宋_GB2312" w:hAnsi="仿宋" w:eastAsia="仿宋_GB2312"/>
          <w:b w:val="0"/>
          <w:color w:val="000000" w:themeColor="text1"/>
          <w:spacing w:val="-4"/>
          <w:sz w:val="32"/>
          <w:szCs w:val="32"/>
        </w:rPr>
      </w:pPr>
      <w:r>
        <w:rPr>
          <w:rStyle w:val="19"/>
          <w:rFonts w:hint="eastAsia" w:ascii="仿宋_GB2312" w:hAnsi="仿宋" w:eastAsia="仿宋_GB2312"/>
          <w:b w:val="0"/>
          <w:color w:val="000000" w:themeColor="text1"/>
          <w:spacing w:val="-4"/>
          <w:sz w:val="32"/>
          <w:szCs w:val="32"/>
        </w:rPr>
        <w:t>《</w:t>
      </w:r>
      <w:r>
        <w:rPr>
          <w:rFonts w:hint="eastAsia" w:ascii="仿宋_GB2312" w:hAnsi="仿宋" w:eastAsia="仿宋_GB2312" w:cs="黑体"/>
          <w:bCs/>
          <w:sz w:val="32"/>
          <w:szCs w:val="32"/>
        </w:rPr>
        <w:t>项目支出绩效目标</w:t>
      </w:r>
      <w:r>
        <w:rPr>
          <w:rStyle w:val="19"/>
          <w:rFonts w:hint="eastAsia" w:ascii="仿宋_GB2312" w:hAnsi="仿宋" w:eastAsia="仿宋_GB2312"/>
          <w:b w:val="0"/>
          <w:color w:val="000000" w:themeColor="text1"/>
          <w:spacing w:val="-4"/>
          <w:sz w:val="32"/>
          <w:szCs w:val="32"/>
        </w:rPr>
        <w:t>自评表》</w:t>
      </w:r>
    </w:p>
    <w:p>
      <w:pPr>
        <w:spacing w:line="540" w:lineRule="exact"/>
        <w:rPr>
          <w:rStyle w:val="19"/>
          <w:rFonts w:ascii="仿宋" w:hAnsi="仿宋" w:eastAsia="仿宋"/>
          <w:b w:val="0"/>
          <w:color w:val="000000" w:themeColor="text1"/>
          <w:spacing w:val="-4"/>
          <w:sz w:val="32"/>
          <w:szCs w:val="32"/>
        </w:rPr>
      </w:pPr>
    </w:p>
    <w:p>
      <w:pPr>
        <w:spacing w:line="540" w:lineRule="exact"/>
        <w:ind w:firstLine="640"/>
        <w:rPr>
          <w:rStyle w:val="19"/>
          <w:rFonts w:ascii="仿宋" w:hAnsi="仿宋" w:eastAsia="仿宋"/>
          <w:b w:val="0"/>
          <w:color w:val="000000" w:themeColor="text1"/>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65833"/>
    <w:rsid w:val="00121AE4"/>
    <w:rsid w:val="00136BCC"/>
    <w:rsid w:val="00146AAD"/>
    <w:rsid w:val="00185C06"/>
    <w:rsid w:val="001B0025"/>
    <w:rsid w:val="001B23F1"/>
    <w:rsid w:val="001B3A40"/>
    <w:rsid w:val="001E0CAE"/>
    <w:rsid w:val="00220617"/>
    <w:rsid w:val="002B4A69"/>
    <w:rsid w:val="00311626"/>
    <w:rsid w:val="00321CBD"/>
    <w:rsid w:val="00346C8B"/>
    <w:rsid w:val="00347D87"/>
    <w:rsid w:val="003C06B0"/>
    <w:rsid w:val="003C2CF9"/>
    <w:rsid w:val="004366A8"/>
    <w:rsid w:val="004465DD"/>
    <w:rsid w:val="0046505F"/>
    <w:rsid w:val="004667EE"/>
    <w:rsid w:val="004E2AA9"/>
    <w:rsid w:val="00502BA7"/>
    <w:rsid w:val="005162F1"/>
    <w:rsid w:val="00535153"/>
    <w:rsid w:val="00554F82"/>
    <w:rsid w:val="0056390D"/>
    <w:rsid w:val="005719B0"/>
    <w:rsid w:val="005D10D6"/>
    <w:rsid w:val="00600262"/>
    <w:rsid w:val="0063597F"/>
    <w:rsid w:val="00656E69"/>
    <w:rsid w:val="007A593B"/>
    <w:rsid w:val="007D32F0"/>
    <w:rsid w:val="007E6716"/>
    <w:rsid w:val="00827B06"/>
    <w:rsid w:val="008529B8"/>
    <w:rsid w:val="00853620"/>
    <w:rsid w:val="00855E3A"/>
    <w:rsid w:val="008612EE"/>
    <w:rsid w:val="008A4043"/>
    <w:rsid w:val="008E6B23"/>
    <w:rsid w:val="008F2612"/>
    <w:rsid w:val="008F2BC2"/>
    <w:rsid w:val="009060E2"/>
    <w:rsid w:val="00922CB9"/>
    <w:rsid w:val="009712A5"/>
    <w:rsid w:val="0099379F"/>
    <w:rsid w:val="009E5CD9"/>
    <w:rsid w:val="00A26421"/>
    <w:rsid w:val="00A4293B"/>
    <w:rsid w:val="00A54C62"/>
    <w:rsid w:val="00A67D50"/>
    <w:rsid w:val="00A8691A"/>
    <w:rsid w:val="00AA78D4"/>
    <w:rsid w:val="00AC1946"/>
    <w:rsid w:val="00AC30C5"/>
    <w:rsid w:val="00B40063"/>
    <w:rsid w:val="00B41F61"/>
    <w:rsid w:val="00BA2447"/>
    <w:rsid w:val="00BA46E6"/>
    <w:rsid w:val="00BF06DE"/>
    <w:rsid w:val="00BF7355"/>
    <w:rsid w:val="00C4491C"/>
    <w:rsid w:val="00C56C72"/>
    <w:rsid w:val="00C57BC7"/>
    <w:rsid w:val="00C60314"/>
    <w:rsid w:val="00C87A8E"/>
    <w:rsid w:val="00C95952"/>
    <w:rsid w:val="00CA6457"/>
    <w:rsid w:val="00CB0722"/>
    <w:rsid w:val="00D11F34"/>
    <w:rsid w:val="00D17F2E"/>
    <w:rsid w:val="00D244C5"/>
    <w:rsid w:val="00D30354"/>
    <w:rsid w:val="00D35A5E"/>
    <w:rsid w:val="00DD1016"/>
    <w:rsid w:val="00DF42A0"/>
    <w:rsid w:val="00E32AE0"/>
    <w:rsid w:val="00E564B5"/>
    <w:rsid w:val="00E769FE"/>
    <w:rsid w:val="00EA207B"/>
    <w:rsid w:val="00EA2CBE"/>
    <w:rsid w:val="00F317B4"/>
    <w:rsid w:val="00F32FEE"/>
    <w:rsid w:val="00FB10BB"/>
    <w:rsid w:val="00FC3B55"/>
    <w:rsid w:val="00FE11B9"/>
    <w:rsid w:val="02E37DE9"/>
    <w:rsid w:val="0D5D5A45"/>
    <w:rsid w:val="17E421EC"/>
    <w:rsid w:val="347362C2"/>
    <w:rsid w:val="3C7E00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411</Words>
  <Characters>2347</Characters>
  <Lines>19</Lines>
  <Paragraphs>5</Paragraphs>
  <TotalTime>50</TotalTime>
  <ScaleCrop>false</ScaleCrop>
  <LinksUpToDate>false</LinksUpToDate>
  <CharactersWithSpaces>2753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2023-12-26T09:02:04Z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