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color w:val="000000" w:themeColor="text1"/>
          <w:kern w:val="0"/>
          <w:sz w:val="32"/>
          <w:szCs w:val="32"/>
        </w:rPr>
      </w:pPr>
    </w:p>
    <w:p>
      <w:pPr>
        <w:spacing w:line="540" w:lineRule="exact"/>
        <w:jc w:val="center"/>
        <w:rPr>
          <w:rFonts w:ascii="仿宋" w:hAnsi="仿宋" w:eastAsia="仿宋" w:cs="宋体"/>
          <w:color w:val="000000" w:themeColor="text1"/>
          <w:kern w:val="0"/>
          <w:sz w:val="32"/>
          <w:szCs w:val="3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r>
        <w:rPr>
          <w:rFonts w:hint="eastAsia" w:ascii="黑体" w:hAnsi="黑体" w:eastAsia="黑体" w:cs="黑体"/>
          <w:bCs/>
          <w:color w:val="000000" w:themeColor="text1"/>
          <w:kern w:val="0"/>
          <w:sz w:val="32"/>
          <w:szCs w:val="32"/>
        </w:rPr>
        <w:t>自治区财政项目支出绩效自评报告</w:t>
      </w: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r>
        <w:rPr>
          <w:rFonts w:hint="eastAsia" w:ascii="黑体" w:hAnsi="黑体" w:eastAsia="黑体" w:cs="黑体"/>
          <w:bCs/>
          <w:color w:val="000000" w:themeColor="text1"/>
          <w:kern w:val="0"/>
          <w:sz w:val="32"/>
          <w:szCs w:val="32"/>
        </w:rPr>
        <w:t>（2018年度）</w:t>
      </w: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700" w:lineRule="exact"/>
        <w:jc w:val="left"/>
        <w:rPr>
          <w:rFonts w:ascii="黑体" w:hAnsi="黑体" w:eastAsia="黑体" w:cs="黑体"/>
          <w:bCs/>
          <w:kern w:val="0"/>
          <w:sz w:val="32"/>
          <w:szCs w:val="32"/>
        </w:rPr>
      </w:pPr>
      <w:r>
        <w:rPr>
          <w:rFonts w:hint="eastAsia" w:ascii="黑体" w:hAnsi="黑体" w:eastAsia="黑体" w:cs="黑体"/>
          <w:bCs/>
          <w:kern w:val="0"/>
          <w:sz w:val="32"/>
          <w:szCs w:val="32"/>
        </w:rPr>
        <w:t xml:space="preserve">     项目名称：草原生态补助项目</w:t>
      </w:r>
    </w:p>
    <w:p>
      <w:pPr>
        <w:spacing w:line="700" w:lineRule="exact"/>
        <w:jc w:val="left"/>
        <w:rPr>
          <w:rFonts w:ascii="黑体" w:hAnsi="黑体" w:eastAsia="黑体" w:cs="黑体"/>
          <w:bCs/>
          <w:kern w:val="0"/>
          <w:sz w:val="32"/>
          <w:szCs w:val="32"/>
        </w:rPr>
      </w:pPr>
      <w:r>
        <w:rPr>
          <w:rFonts w:hint="eastAsia" w:ascii="黑体" w:hAnsi="黑体" w:eastAsia="黑体" w:cs="黑体"/>
          <w:bCs/>
          <w:kern w:val="0"/>
          <w:sz w:val="32"/>
          <w:szCs w:val="32"/>
        </w:rPr>
        <w:t xml:space="preserve">     实施单位（公章）：叶城县依力克其乡人民政府</w:t>
      </w:r>
    </w:p>
    <w:p>
      <w:pPr>
        <w:spacing w:line="70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主管部门（公章）：叶城县财政局</w:t>
      </w:r>
    </w:p>
    <w:p>
      <w:pPr>
        <w:spacing w:line="70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项目负责人（签章）：刘勇</w:t>
      </w:r>
    </w:p>
    <w:p>
      <w:pPr>
        <w:spacing w:line="70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填报时间：2018年11月25日</w:t>
      </w:r>
    </w:p>
    <w:p>
      <w:pPr>
        <w:rPr>
          <w:rFonts w:ascii="黑体" w:hAnsi="黑体" w:eastAsia="黑体" w:cs="黑体"/>
          <w:bCs/>
          <w:sz w:val="32"/>
          <w:szCs w:val="32"/>
        </w:rPr>
      </w:pPr>
    </w:p>
    <w:p>
      <w:pPr>
        <w:spacing w:line="540" w:lineRule="exact"/>
        <w:jc w:val="center"/>
        <w:rPr>
          <w:rFonts w:ascii="黑体" w:hAnsi="黑体" w:eastAsia="黑体" w:cs="黑体"/>
          <w:bCs/>
          <w:kern w:val="0"/>
          <w:sz w:val="32"/>
          <w:szCs w:val="32"/>
        </w:rPr>
      </w:pP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一、项目概况</w:t>
      </w:r>
    </w:p>
    <w:p>
      <w:pPr>
        <w:keepNext w:val="0"/>
        <w:keepLines w:val="0"/>
        <w:pageBreakBefore w:val="0"/>
        <w:kinsoku/>
        <w:wordWrap/>
        <w:overflowPunct/>
        <w:topLinePunct w:val="0"/>
        <w:autoSpaceDE/>
        <w:autoSpaceDN/>
        <w:bidi w:val="0"/>
        <w:spacing w:line="560" w:lineRule="exact"/>
        <w:ind w:right="0" w:rightChars="0" w:firstLine="567"/>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（一）项目单位基本情况</w:t>
      </w:r>
    </w:p>
    <w:p>
      <w:pPr>
        <w:pStyle w:val="15"/>
        <w:keepNext w:val="0"/>
        <w:keepLines w:val="0"/>
        <w:pageBreakBefore w:val="0"/>
        <w:shd w:val="clear" w:color="auto" w:fill="FFFFFF"/>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叶城县依力克其乡属党政机关行政部门，乡科级行政单位，辖17个行政村；全乡共有农牧民24009多人，农户7593户，主要以种植核桃、小麦、玉米、设施农业为主，是叶城县农业大乡。</w:t>
      </w:r>
      <w:r>
        <w:rPr>
          <w:rFonts w:hint="eastAsia" w:ascii="仿宋_GB2312" w:hAnsi="仿宋_GB2312" w:eastAsia="仿宋_GB2312" w:cs="仿宋_GB2312"/>
          <w:b w:val="0"/>
          <w:bCs/>
          <w:color w:val="000000" w:themeColor="text1"/>
          <w:sz w:val="32"/>
          <w:szCs w:val="32"/>
        </w:rPr>
        <w:t>编制人数98人，其中：行政人员编制61人，参照公务员管理的事业单位人员编制19人，全额拨款事业单位人员编制18人。 实有在职人数89人，其中：行政在职50人，参照公务员管理的事业单位人员19人，事业在职18人，工勤在职人数2人。离退休人员9人，其中：离休人员0人，退休人员9人。</w:t>
      </w:r>
    </w:p>
    <w:p>
      <w:pPr>
        <w:keepNext w:val="0"/>
        <w:keepLines w:val="0"/>
        <w:pageBreakBefore w:val="0"/>
        <w:kinsoku/>
        <w:wordWrap/>
        <w:overflowPunct/>
        <w:topLinePunct w:val="0"/>
        <w:autoSpaceDE/>
        <w:autoSpaceDN/>
        <w:bidi w:val="0"/>
        <w:spacing w:line="560" w:lineRule="exact"/>
        <w:ind w:right="0" w:rightChars="0" w:firstLine="579" w:firstLineChars="181"/>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rPr>
        <w:t>主要职能:一是</w:t>
      </w:r>
      <w:r>
        <w:rPr>
          <w:rFonts w:hint="eastAsia" w:ascii="仿宋_GB2312" w:hAnsi="仿宋_GB2312" w:eastAsia="仿宋_GB2312" w:cs="仿宋_GB2312"/>
          <w:b w:val="0"/>
          <w:bCs/>
          <w:sz w:val="32"/>
          <w:szCs w:val="32"/>
        </w:rPr>
        <w:t>负责全乡党政行政管理事务。二是深刻贯彻落实自治区、地区及县委、县人民政府的有关</w:t>
      </w:r>
      <w:r>
        <w:rPr>
          <w:rFonts w:hint="eastAsia" w:ascii="仿宋_GB2312" w:hAnsi="仿宋_GB2312" w:eastAsia="仿宋_GB2312" w:cs="仿宋_GB2312"/>
          <w:b w:val="0"/>
          <w:bCs/>
          <w:sz w:val="32"/>
          <w:szCs w:val="32"/>
          <w:lang w:eastAsia="zh-CN"/>
        </w:rPr>
        <w:t>方针</w:t>
      </w:r>
      <w:r>
        <w:rPr>
          <w:rFonts w:hint="eastAsia" w:ascii="仿宋_GB2312" w:hAnsi="仿宋_GB2312" w:eastAsia="仿宋_GB2312" w:cs="仿宋_GB2312"/>
          <w:b w:val="0"/>
          <w:bCs/>
          <w:sz w:val="32"/>
          <w:szCs w:val="32"/>
        </w:rPr>
        <w:t>政策指示，把党的各项优惠政策落实到实处。三是负责</w:t>
      </w:r>
      <w:bookmarkStart w:id="0" w:name="_GoBack"/>
      <w:bookmarkEnd w:id="0"/>
      <w:r>
        <w:rPr>
          <w:rFonts w:hint="eastAsia" w:ascii="仿宋_GB2312" w:hAnsi="仿宋_GB2312" w:eastAsia="仿宋_GB2312" w:cs="仿宋_GB2312"/>
          <w:b w:val="0"/>
          <w:bCs/>
          <w:sz w:val="32"/>
          <w:szCs w:val="32"/>
        </w:rPr>
        <w:t>全乡经济社会发展、社会事务管理、基层组织建设等全面工作，为全乡各族群众提供社会服务。</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（二）项目预算绩效目标设定情况</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spacing w:val="-4"/>
          <w:sz w:val="32"/>
          <w:szCs w:val="32"/>
        </w:rPr>
      </w:pPr>
      <w:r>
        <w:rPr>
          <w:rStyle w:val="19"/>
          <w:rFonts w:hint="eastAsia" w:ascii="仿宋_GB2312" w:hAnsi="仿宋_GB2312" w:eastAsia="仿宋_GB2312" w:cs="仿宋_GB2312"/>
          <w:b w:val="0"/>
          <w:bCs/>
          <w:spacing w:val="-4"/>
          <w:sz w:val="32"/>
          <w:szCs w:val="32"/>
        </w:rPr>
        <w:t>项目基本性质</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spacing w:val="-4"/>
          <w:sz w:val="32"/>
          <w:szCs w:val="32"/>
        </w:rPr>
        <w:t>该项目的性质为人员补助类项目。</w:t>
      </w:r>
    </w:p>
    <w:p>
      <w:pPr>
        <w:keepNext w:val="0"/>
        <w:keepLines w:val="0"/>
        <w:pageBreakBefore w:val="0"/>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spacing w:val="-4"/>
          <w:sz w:val="32"/>
          <w:szCs w:val="32"/>
        </w:rPr>
        <w:t>根据新财农〔2017〕133号、喀地农财［2018］2号文件，</w:t>
      </w:r>
      <w:r>
        <w:rPr>
          <w:rFonts w:hint="eastAsia" w:ascii="仿宋_GB2312" w:hAnsi="仿宋_GB2312" w:eastAsia="仿宋_GB2312" w:cs="仿宋_GB2312"/>
          <w:b w:val="0"/>
          <w:bCs/>
          <w:color w:val="000000" w:themeColor="text1"/>
          <w:spacing w:val="-4"/>
          <w:sz w:val="32"/>
          <w:szCs w:val="32"/>
        </w:rPr>
        <w:t>坚持绿色引领，探索形成若干适合不同区域特点的农业生态资源保护和综合利用模式，预计投入草原生态补助资金14.3万元，每亩平均投入5.5万元，对26016亩重污染耕地综合治理试点取得明显进展，草原生态环境和农业生态环境得到进一步改善。　</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二、项目资金使用及管理情况</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val="0"/>
        <w:snapToGrid w:val="0"/>
        <w:spacing w:line="560" w:lineRule="exact"/>
        <w:ind w:right="0" w:rightChars="0" w:firstLine="468" w:firstLineChars="150"/>
        <w:textAlignment w:val="auto"/>
        <w:outlineLvl w:val="0"/>
        <w:rPr>
          <w:rStyle w:val="19"/>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spacing w:val="-4"/>
          <w:sz w:val="32"/>
          <w:szCs w:val="32"/>
        </w:rPr>
        <w:t>根据新财农〔2017〕133号、喀地农财［2018］2号文件，</w:t>
      </w:r>
      <w:r>
        <w:rPr>
          <w:rFonts w:hint="eastAsia" w:ascii="仿宋_GB2312" w:hAnsi="仿宋_GB2312" w:eastAsia="仿宋_GB2312" w:cs="仿宋_GB2312"/>
          <w:b w:val="0"/>
          <w:bCs/>
          <w:color w:val="000000" w:themeColor="text1"/>
          <w:sz w:val="32"/>
          <w:szCs w:val="32"/>
        </w:rPr>
        <w:t>依力克其乡2018</w:t>
      </w:r>
      <w:r>
        <w:rPr>
          <w:rFonts w:hint="eastAsia" w:ascii="仿宋_GB2312" w:hAnsi="仿宋_GB2312" w:eastAsia="仿宋_GB2312" w:cs="仿宋_GB2312"/>
          <w:b w:val="0"/>
          <w:bCs/>
          <w:sz w:val="32"/>
          <w:szCs w:val="32"/>
        </w:rPr>
        <w:t>年</w:t>
      </w:r>
      <w:r>
        <w:rPr>
          <w:rFonts w:hint="eastAsia" w:ascii="仿宋_GB2312" w:hAnsi="仿宋_GB2312" w:eastAsia="仿宋_GB2312" w:cs="仿宋_GB2312"/>
          <w:b w:val="0"/>
          <w:bCs/>
          <w:spacing w:val="-4"/>
          <w:sz w:val="32"/>
          <w:szCs w:val="32"/>
        </w:rPr>
        <w:t>草原生态保护奖励金项目</w:t>
      </w:r>
      <w:r>
        <w:rPr>
          <w:rFonts w:hint="eastAsia" w:ascii="仿宋_GB2312" w:hAnsi="仿宋_GB2312" w:eastAsia="仿宋_GB2312" w:cs="仿宋_GB2312"/>
          <w:b w:val="0"/>
          <w:bCs/>
          <w:color w:val="000000" w:themeColor="text1"/>
          <w:spacing w:val="-4"/>
          <w:sz w:val="32"/>
          <w:szCs w:val="32"/>
        </w:rPr>
        <w:t>资金14.3</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color w:val="000000" w:themeColor="text1"/>
          <w:sz w:val="32"/>
          <w:szCs w:val="32"/>
        </w:rPr>
        <w:t>，其中财政资金</w:t>
      </w:r>
      <w:r>
        <w:rPr>
          <w:rFonts w:hint="eastAsia" w:ascii="仿宋_GB2312" w:hAnsi="仿宋_GB2312" w:eastAsia="仿宋_GB2312" w:cs="仿宋_GB2312"/>
          <w:b w:val="0"/>
          <w:bCs/>
          <w:color w:val="000000" w:themeColor="text1"/>
          <w:spacing w:val="-4"/>
          <w:sz w:val="32"/>
          <w:szCs w:val="32"/>
        </w:rPr>
        <w:t>14.3</w:t>
      </w:r>
      <w:r>
        <w:rPr>
          <w:rFonts w:hint="eastAsia" w:ascii="仿宋_GB2312" w:hAnsi="仿宋_GB2312" w:eastAsia="仿宋_GB2312" w:cs="仿宋_GB2312"/>
          <w:b w:val="0"/>
          <w:bCs/>
          <w:color w:val="000000" w:themeColor="text1"/>
          <w:sz w:val="32"/>
          <w:szCs w:val="32"/>
        </w:rPr>
        <w:t>万元，其他资金0万元，</w:t>
      </w:r>
      <w:r>
        <w:rPr>
          <w:rFonts w:hint="eastAsia" w:ascii="仿宋_GB2312" w:hAnsi="仿宋_GB2312" w:eastAsia="仿宋_GB2312" w:cs="仿宋_GB2312"/>
          <w:b w:val="0"/>
          <w:bCs/>
          <w:color w:val="000000" w:themeColor="text1"/>
          <w:spacing w:val="-4"/>
          <w:sz w:val="32"/>
          <w:szCs w:val="32"/>
        </w:rPr>
        <w:t>资金到位14.3万元；资金到位率100%。</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 xml:space="preserve">（二）项目资金实际使用情况分析   </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Style w:val="19"/>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color w:val="000000"/>
          <w:spacing w:val="-4"/>
          <w:sz w:val="32"/>
          <w:szCs w:val="32"/>
        </w:rPr>
        <w:t>依力克其乡人民政府</w:t>
      </w:r>
      <w:r>
        <w:rPr>
          <w:rFonts w:hint="eastAsia" w:ascii="仿宋_GB2312" w:hAnsi="仿宋_GB2312" w:eastAsia="仿宋_GB2312" w:cs="仿宋_GB2312"/>
          <w:b w:val="0"/>
          <w:bCs/>
          <w:color w:val="000000" w:themeColor="text1"/>
          <w:sz w:val="32"/>
          <w:szCs w:val="32"/>
        </w:rPr>
        <w:t>2018</w:t>
      </w:r>
      <w:r>
        <w:rPr>
          <w:rFonts w:hint="eastAsia" w:ascii="仿宋_GB2312" w:hAnsi="仿宋_GB2312" w:eastAsia="仿宋_GB2312" w:cs="仿宋_GB2312"/>
          <w:b w:val="0"/>
          <w:bCs/>
          <w:sz w:val="32"/>
          <w:szCs w:val="32"/>
        </w:rPr>
        <w:t>年</w:t>
      </w:r>
      <w:r>
        <w:rPr>
          <w:rFonts w:hint="eastAsia" w:ascii="仿宋_GB2312" w:hAnsi="仿宋_GB2312" w:eastAsia="仿宋_GB2312" w:cs="仿宋_GB2312"/>
          <w:b w:val="0"/>
          <w:bCs/>
          <w:color w:val="000000" w:themeColor="text1"/>
          <w:spacing w:val="-4"/>
          <w:sz w:val="32"/>
          <w:szCs w:val="32"/>
        </w:rPr>
        <w:t>草原生态保护奖励金项目</w:t>
      </w:r>
      <w:r>
        <w:rPr>
          <w:rFonts w:hint="eastAsia" w:ascii="仿宋_GB2312" w:hAnsi="仿宋_GB2312" w:eastAsia="仿宋_GB2312" w:cs="仿宋_GB2312"/>
          <w:b w:val="0"/>
          <w:bCs/>
          <w:sz w:val="32"/>
          <w:szCs w:val="32"/>
        </w:rPr>
        <w:t>资金</w:t>
      </w:r>
      <w:r>
        <w:rPr>
          <w:rFonts w:hint="eastAsia" w:ascii="仿宋_GB2312" w:hAnsi="仿宋_GB2312" w:eastAsia="仿宋_GB2312" w:cs="仿宋_GB2312"/>
          <w:b w:val="0"/>
          <w:bCs/>
          <w:color w:val="000000" w:themeColor="text1"/>
          <w:spacing w:val="-4"/>
          <w:sz w:val="32"/>
          <w:szCs w:val="32"/>
        </w:rPr>
        <w:t>14.3</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color w:val="000000" w:themeColor="text1"/>
          <w:sz w:val="32"/>
          <w:szCs w:val="32"/>
        </w:rPr>
        <w:t>，其中财政资金</w:t>
      </w:r>
      <w:r>
        <w:rPr>
          <w:rFonts w:hint="eastAsia" w:ascii="仿宋_GB2312" w:hAnsi="仿宋_GB2312" w:eastAsia="仿宋_GB2312" w:cs="仿宋_GB2312"/>
          <w:b w:val="0"/>
          <w:bCs/>
          <w:color w:val="000000" w:themeColor="text1"/>
          <w:spacing w:val="-4"/>
          <w:sz w:val="32"/>
          <w:szCs w:val="32"/>
        </w:rPr>
        <w:t>14.3</w:t>
      </w:r>
      <w:r>
        <w:rPr>
          <w:rFonts w:hint="eastAsia" w:ascii="仿宋_GB2312" w:hAnsi="仿宋_GB2312" w:eastAsia="仿宋_GB2312" w:cs="仿宋_GB2312"/>
          <w:b w:val="0"/>
          <w:bCs/>
          <w:color w:val="000000" w:themeColor="text1"/>
          <w:sz w:val="32"/>
          <w:szCs w:val="32"/>
        </w:rPr>
        <w:t>万元，其他资金0万元，</w:t>
      </w:r>
      <w:r>
        <w:rPr>
          <w:rFonts w:hint="eastAsia" w:ascii="仿宋_GB2312" w:hAnsi="仿宋_GB2312" w:eastAsia="仿宋_GB2312" w:cs="仿宋_GB2312"/>
          <w:b w:val="0"/>
          <w:bCs/>
          <w:color w:val="000000" w:themeColor="text1"/>
          <w:spacing w:val="-4"/>
          <w:sz w:val="32"/>
          <w:szCs w:val="32"/>
        </w:rPr>
        <w:t>资金到位14.3万元，</w:t>
      </w:r>
      <w:r>
        <w:rPr>
          <w:rFonts w:hint="eastAsia" w:ascii="仿宋_GB2312" w:hAnsi="仿宋_GB2312" w:eastAsia="仿宋_GB2312" w:cs="仿宋_GB2312"/>
          <w:b w:val="0"/>
          <w:bCs/>
          <w:color w:val="000000"/>
          <w:spacing w:val="-4"/>
          <w:sz w:val="32"/>
          <w:szCs w:val="32"/>
        </w:rPr>
        <w:t>草原生态补助执行率100%。，均用于对草原生态的补助。</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（三）项目资金管理情况分析</w:t>
      </w:r>
    </w:p>
    <w:p>
      <w:pPr>
        <w:keepNext w:val="0"/>
        <w:keepLines w:val="0"/>
        <w:pageBreakBefore w:val="0"/>
        <w:kinsoku/>
        <w:wordWrap/>
        <w:overflowPunct/>
        <w:topLinePunct w:val="0"/>
        <w:autoSpaceDE/>
        <w:autoSpaceDN/>
        <w:bidi w:val="0"/>
        <w:spacing w:line="560" w:lineRule="exact"/>
        <w:ind w:right="0" w:rightChars="0" w:firstLine="640" w:firstLineChars="200"/>
        <w:textAlignment w:val="auto"/>
        <w:outlineLvl w:val="0"/>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sz w:val="32"/>
          <w:szCs w:val="32"/>
        </w:rPr>
        <w:t>依力克其乡人民政府</w:t>
      </w:r>
      <w:r>
        <w:rPr>
          <w:rFonts w:hint="eastAsia" w:ascii="仿宋_GB2312" w:hAnsi="仿宋_GB2312" w:eastAsia="仿宋_GB2312" w:cs="仿宋_GB2312"/>
          <w:b w:val="0"/>
          <w:bCs/>
          <w:color w:val="000000" w:themeColor="text1"/>
          <w:sz w:val="32"/>
          <w:szCs w:val="32"/>
        </w:rPr>
        <w:t>2018</w:t>
      </w:r>
      <w:r>
        <w:rPr>
          <w:rFonts w:hint="eastAsia" w:ascii="仿宋_GB2312" w:hAnsi="仿宋_GB2312" w:eastAsia="仿宋_GB2312" w:cs="仿宋_GB2312"/>
          <w:b w:val="0"/>
          <w:bCs/>
          <w:sz w:val="32"/>
          <w:szCs w:val="32"/>
        </w:rPr>
        <w:t>年</w:t>
      </w:r>
      <w:r>
        <w:rPr>
          <w:rFonts w:hint="eastAsia" w:ascii="仿宋_GB2312" w:hAnsi="仿宋_GB2312" w:eastAsia="仿宋_GB2312" w:cs="仿宋_GB2312"/>
          <w:b w:val="0"/>
          <w:bCs/>
          <w:color w:val="000000" w:themeColor="text1"/>
          <w:spacing w:val="-4"/>
          <w:sz w:val="32"/>
          <w:szCs w:val="32"/>
        </w:rPr>
        <w:t>草原生态保护奖励金项目</w:t>
      </w:r>
      <w:r>
        <w:rPr>
          <w:rFonts w:hint="eastAsia" w:ascii="仿宋_GB2312" w:hAnsi="仿宋_GB2312" w:eastAsia="仿宋_GB2312" w:cs="仿宋_GB2312"/>
          <w:b w:val="0"/>
          <w:bCs/>
          <w:sz w:val="32"/>
          <w:szCs w:val="32"/>
        </w:rPr>
        <w:t>资金</w:t>
      </w:r>
      <w:r>
        <w:rPr>
          <w:rFonts w:hint="eastAsia" w:ascii="仿宋_GB2312" w:hAnsi="仿宋_GB2312" w:eastAsia="仿宋_GB2312" w:cs="仿宋_GB2312"/>
          <w:b w:val="0"/>
          <w:bCs/>
          <w:color w:val="000000"/>
          <w:spacing w:val="-4"/>
          <w:sz w:val="32"/>
          <w:szCs w:val="32"/>
        </w:rPr>
        <w:t>符合《行政单位财务管理制度及办法》，</w:t>
      </w:r>
      <w:r>
        <w:rPr>
          <w:rFonts w:hint="eastAsia" w:ascii="仿宋_GB2312" w:hAnsi="仿宋_GB2312" w:eastAsia="仿宋_GB2312" w:cs="仿宋_GB2312"/>
          <w:b w:val="0"/>
          <w:bCs/>
          <w:color w:val="000000" w:themeColor="text1"/>
          <w:sz w:val="32"/>
          <w:szCs w:val="32"/>
        </w:rPr>
        <w:t>资金使用按照项目资金管理办法，做到专款专用，根据乡镇及各村的分配方式，直接发放到个人手中，</w:t>
      </w:r>
      <w:r>
        <w:rPr>
          <w:rFonts w:hint="eastAsia" w:ascii="仿宋_GB2312" w:hAnsi="仿宋_GB2312" w:eastAsia="仿宋_GB2312" w:cs="仿宋_GB2312"/>
          <w:b w:val="0"/>
          <w:bCs/>
          <w:color w:val="000000" w:themeColor="text1"/>
          <w:spacing w:val="-4"/>
          <w:sz w:val="32"/>
          <w:szCs w:val="32"/>
        </w:rPr>
        <w:t>资金拨付有完整的审批程序和手续均符合财务管理制度，不存在截留、挤占、挪用、虚假支出等现象。</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三、项目组织实施情况</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（一）项目组织情况分析</w:t>
      </w:r>
    </w:p>
    <w:p>
      <w:pPr>
        <w:keepNext w:val="0"/>
        <w:keepLines w:val="0"/>
        <w:pageBreakBefore w:val="0"/>
        <w:kinsoku/>
        <w:wordWrap/>
        <w:overflowPunct/>
        <w:topLinePunct w:val="0"/>
        <w:autoSpaceDE/>
        <w:autoSpaceDN/>
        <w:bidi w:val="0"/>
        <w:adjustRightInd w:val="0"/>
        <w:snapToGrid w:val="0"/>
        <w:spacing w:line="560" w:lineRule="exact"/>
        <w:ind w:right="0" w:rightChars="0" w:firstLine="640" w:firstLineChars="200"/>
        <w:textAlignment w:val="auto"/>
        <w:rPr>
          <w:rStyle w:val="19"/>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z w:val="32"/>
          <w:szCs w:val="32"/>
        </w:rPr>
        <w:t>依力克其乡2018</w:t>
      </w:r>
      <w:r>
        <w:rPr>
          <w:rFonts w:hint="eastAsia" w:ascii="仿宋_GB2312" w:hAnsi="仿宋_GB2312" w:eastAsia="仿宋_GB2312" w:cs="仿宋_GB2312"/>
          <w:b w:val="0"/>
          <w:bCs/>
          <w:sz w:val="32"/>
          <w:szCs w:val="32"/>
        </w:rPr>
        <w:t>年</w:t>
      </w:r>
      <w:r>
        <w:rPr>
          <w:rFonts w:hint="eastAsia" w:ascii="仿宋_GB2312" w:hAnsi="仿宋_GB2312" w:eastAsia="仿宋_GB2312" w:cs="仿宋_GB2312"/>
          <w:b w:val="0"/>
          <w:bCs/>
          <w:spacing w:val="-4"/>
          <w:sz w:val="32"/>
          <w:szCs w:val="32"/>
        </w:rPr>
        <w:t>草原生态保护奖励金项目</w:t>
      </w:r>
      <w:r>
        <w:rPr>
          <w:rFonts w:hint="eastAsia" w:ascii="仿宋_GB2312" w:hAnsi="仿宋_GB2312" w:eastAsia="仿宋_GB2312" w:cs="仿宋_GB2312"/>
          <w:b w:val="0"/>
          <w:bCs/>
          <w:sz w:val="32"/>
          <w:szCs w:val="32"/>
        </w:rPr>
        <w:t>资金</w:t>
      </w:r>
      <w:r>
        <w:rPr>
          <w:rFonts w:hint="eastAsia" w:ascii="仿宋_GB2312" w:hAnsi="仿宋_GB2312" w:eastAsia="仿宋_GB2312" w:cs="仿宋_GB2312"/>
          <w:b w:val="0"/>
          <w:bCs/>
          <w:color w:val="000000" w:themeColor="text1"/>
          <w:spacing w:val="-4"/>
          <w:sz w:val="32"/>
          <w:szCs w:val="32"/>
        </w:rPr>
        <w:t>14.3</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color w:val="000000" w:themeColor="text1"/>
          <w:spacing w:val="-4"/>
          <w:sz w:val="32"/>
          <w:szCs w:val="32"/>
        </w:rPr>
        <w:t>不需要进行招投标</w:t>
      </w:r>
      <w:r>
        <w:rPr>
          <w:rStyle w:val="19"/>
          <w:rFonts w:hint="eastAsia" w:ascii="仿宋_GB2312" w:hAnsi="仿宋_GB2312" w:eastAsia="仿宋_GB2312" w:cs="仿宋_GB2312"/>
          <w:b w:val="0"/>
          <w:bCs/>
          <w:color w:val="000000" w:themeColor="text1"/>
          <w:spacing w:val="-4"/>
          <w:sz w:val="32"/>
          <w:szCs w:val="32"/>
        </w:rPr>
        <w:t>,由本单位自行组织实施。实施过程均按照本单位制定的管理制度执行。</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（二）项目管理情况分析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依力克其乡人民政府</w:t>
      </w:r>
      <w:r>
        <w:rPr>
          <w:rFonts w:hint="eastAsia" w:ascii="仿宋_GB2312" w:hAnsi="仿宋_GB2312" w:eastAsia="仿宋_GB2312" w:cs="仿宋_GB2312"/>
          <w:b w:val="0"/>
          <w:bCs/>
          <w:color w:val="000000" w:themeColor="text1"/>
          <w:spacing w:val="-4"/>
          <w:sz w:val="32"/>
          <w:szCs w:val="32"/>
        </w:rPr>
        <w:t>项目过程中，根据《项目管理办法》等，严格遵守相关法律法规和业务管理规定，支出资料齐全并及时归档。已建立《项目检查监督检查机制》，不定期对社会保障和项目进度情况进行督导检查，对检查过程中发现的问题及时督促整改，高质量的完成。</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z w:val="32"/>
          <w:szCs w:val="32"/>
        </w:rPr>
      </w:pPr>
      <w:r>
        <w:rPr>
          <w:rStyle w:val="19"/>
          <w:rFonts w:hint="eastAsia" w:ascii="黑体" w:hAnsi="黑体" w:eastAsia="黑体" w:cs="黑体"/>
          <w:b w:val="0"/>
          <w:bCs/>
          <w:color w:val="000000" w:themeColor="text1"/>
          <w:spacing w:val="-4"/>
          <w:sz w:val="32"/>
          <w:szCs w:val="32"/>
        </w:rPr>
        <w:t>四、项目绩效情况</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（一）项目绩效目标完成情况分析</w:t>
      </w:r>
    </w:p>
    <w:p>
      <w:pPr>
        <w:keepNext w:val="0"/>
        <w:keepLines w:val="0"/>
        <w:pageBreakBefore w:val="0"/>
        <w:widowControl/>
        <w:kinsoku/>
        <w:wordWrap/>
        <w:overflowPunct/>
        <w:topLinePunct w:val="0"/>
        <w:autoSpaceDE/>
        <w:autoSpaceDN/>
        <w:bidi w:val="0"/>
        <w:spacing w:line="560" w:lineRule="exact"/>
        <w:ind w:right="0" w:rightChars="0" w:firstLine="320" w:firstLineChars="100"/>
        <w:jc w:val="left"/>
        <w:textAlignment w:val="auto"/>
        <w:rPr>
          <w:rFonts w:hint="eastAsia" w:ascii="仿宋_GB2312" w:hAnsi="仿宋_GB2312" w:eastAsia="仿宋_GB2312" w:cs="仿宋_GB2312"/>
          <w:b w:val="0"/>
          <w:bCs/>
          <w:color w:val="000000" w:themeColor="text1"/>
          <w:kern w:val="0"/>
          <w:sz w:val="32"/>
          <w:szCs w:val="32"/>
        </w:rPr>
      </w:pPr>
      <w:r>
        <w:rPr>
          <w:rFonts w:hint="eastAsia" w:ascii="仿宋_GB2312" w:hAnsi="仿宋_GB2312" w:eastAsia="仿宋_GB2312" w:cs="仿宋_GB2312"/>
          <w:b w:val="0"/>
          <w:bCs/>
          <w:color w:val="000000" w:themeColor="text1"/>
          <w:kern w:val="0"/>
          <w:sz w:val="32"/>
          <w:szCs w:val="32"/>
        </w:rPr>
        <w:t>本项目共设置一级指标3个，二级指标8个，三级指标8个，其中已完成三级指标8个，指标完成率为100%。根据年初设定的绩效目标，此项目自评得分为93分。</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1.产出指标完成情况分析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outlineLvl w:val="0"/>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（1）项目完成数量</w:t>
      </w:r>
    </w:p>
    <w:p>
      <w:pPr>
        <w:keepNext w:val="0"/>
        <w:keepLines w:val="0"/>
        <w:pageBreakBefore w:val="0"/>
        <w:kinsoku/>
        <w:wordWrap/>
        <w:overflowPunct/>
        <w:topLinePunct w:val="0"/>
        <w:autoSpaceDE/>
        <w:autoSpaceDN/>
        <w:bidi w:val="0"/>
        <w:spacing w:line="560" w:lineRule="exact"/>
        <w:ind w:right="0" w:rightChars="0" w:firstLine="640" w:firstLineChars="200"/>
        <w:textAlignment w:val="auto"/>
        <w:rPr>
          <w:rFonts w:hint="eastAsia" w:ascii="仿宋_GB2312" w:hAnsi="仿宋_GB2312" w:eastAsia="仿宋_GB2312" w:cs="仿宋_GB2312"/>
          <w:b w:val="0"/>
          <w:bCs/>
          <w:color w:val="000000"/>
          <w:spacing w:val="-4"/>
          <w:sz w:val="32"/>
          <w:szCs w:val="32"/>
        </w:rPr>
      </w:pPr>
      <w:r>
        <w:rPr>
          <w:rFonts w:hint="eastAsia" w:ascii="仿宋_GB2312" w:hAnsi="仿宋_GB2312" w:eastAsia="仿宋_GB2312" w:cs="仿宋_GB2312"/>
          <w:b w:val="0"/>
          <w:bCs/>
          <w:sz w:val="32"/>
          <w:szCs w:val="32"/>
        </w:rPr>
        <w:t>依力克其</w:t>
      </w:r>
      <w:r>
        <w:rPr>
          <w:rFonts w:hint="eastAsia" w:ascii="仿宋_GB2312" w:hAnsi="仿宋_GB2312" w:eastAsia="仿宋_GB2312" w:cs="仿宋_GB2312"/>
          <w:b w:val="0"/>
          <w:bCs/>
          <w:color w:val="000000"/>
          <w:spacing w:val="-4"/>
          <w:sz w:val="32"/>
          <w:szCs w:val="32"/>
        </w:rPr>
        <w:t>乡2018年草原生态补助14.3万元，资金保障面积26016亩。</w:t>
      </w:r>
    </w:p>
    <w:p>
      <w:pPr>
        <w:keepNext w:val="0"/>
        <w:keepLines w:val="0"/>
        <w:pageBreakBefore w:val="0"/>
        <w:kinsoku/>
        <w:wordWrap/>
        <w:overflowPunct/>
        <w:topLinePunct w:val="0"/>
        <w:autoSpaceDE/>
        <w:autoSpaceDN/>
        <w:bidi w:val="0"/>
        <w:spacing w:line="560" w:lineRule="exact"/>
        <w:ind w:right="0" w:rightChars="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 xml:space="preserve">    （2）项目完成质量</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pacing w:val="-4"/>
          <w:sz w:val="32"/>
          <w:szCs w:val="32"/>
        </w:rPr>
        <w:t>依力克其乡2018年草原生态补助资金保障率为100%，未出现漏发、少发、多发等质量问题。</w:t>
      </w:r>
    </w:p>
    <w:p>
      <w:pPr>
        <w:keepNext w:val="0"/>
        <w:keepLines w:val="0"/>
        <w:pageBreakBefore w:val="0"/>
        <w:numPr>
          <w:ilvl w:val="0"/>
          <w:numId w:val="1"/>
        </w:numPr>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项目实施进度</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spacing w:val="-4"/>
          <w:sz w:val="32"/>
          <w:szCs w:val="32"/>
        </w:rPr>
        <w:t>该项目严格按照上级部门的进度要求，按项目进度进行资金拨付。资金拨付及时率100%,目前已经全部实施完毕。</w:t>
      </w:r>
    </w:p>
    <w:p>
      <w:pPr>
        <w:keepNext w:val="0"/>
        <w:keepLines w:val="0"/>
        <w:pageBreakBefore w:val="0"/>
        <w:numPr>
          <w:ilvl w:val="0"/>
          <w:numId w:val="2"/>
        </w:numPr>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项目成本节约情况</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 xml:space="preserve">    </w:t>
      </w:r>
      <w:r>
        <w:rPr>
          <w:rFonts w:hint="eastAsia" w:ascii="仿宋_GB2312" w:hAnsi="仿宋_GB2312" w:eastAsia="仿宋_GB2312" w:cs="仿宋_GB2312"/>
          <w:b w:val="0"/>
          <w:bCs/>
          <w:color w:val="000000"/>
          <w:spacing w:val="-4"/>
          <w:sz w:val="32"/>
          <w:szCs w:val="32"/>
        </w:rPr>
        <w:t>该项目为补助类项目，亩均保障资金5.5元/亩，无节约成本情况。</w:t>
      </w:r>
    </w:p>
    <w:p>
      <w:pPr>
        <w:keepNext w:val="0"/>
        <w:keepLines w:val="0"/>
        <w:pageBreakBefore w:val="0"/>
        <w:kinsoku/>
        <w:wordWrap/>
        <w:overflowPunct/>
        <w:topLinePunct w:val="0"/>
        <w:autoSpaceDE/>
        <w:autoSpaceDN/>
        <w:bidi w:val="0"/>
        <w:spacing w:line="560" w:lineRule="exact"/>
        <w:ind w:right="0" w:rightChars="0" w:firstLine="936" w:firstLineChars="3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2.效益指标完成情况分析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（1）项目实施的经济效益分析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无</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（2）项目实施的社会效益分析。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spacing w:val="-4"/>
          <w:sz w:val="32"/>
          <w:szCs w:val="32"/>
        </w:rPr>
      </w:pPr>
      <w:r>
        <w:rPr>
          <w:rFonts w:hint="eastAsia" w:ascii="仿宋_GB2312" w:hAnsi="仿宋_GB2312" w:eastAsia="仿宋_GB2312" w:cs="仿宋_GB2312"/>
          <w:b w:val="0"/>
          <w:bCs/>
          <w:color w:val="000000"/>
          <w:spacing w:val="-4"/>
          <w:sz w:val="32"/>
          <w:szCs w:val="32"/>
        </w:rPr>
        <w:t>该项目的顺利实施，可以改善人居环境，草场管护员工作效率提升95%。</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（3）项目实施的生态效益分析。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spacing w:val="-4"/>
          <w:sz w:val="32"/>
          <w:szCs w:val="32"/>
        </w:rPr>
      </w:pPr>
      <w:r>
        <w:rPr>
          <w:rFonts w:hint="eastAsia" w:ascii="仿宋_GB2312" w:hAnsi="仿宋_GB2312" w:eastAsia="仿宋_GB2312" w:cs="仿宋_GB2312"/>
          <w:b w:val="0"/>
          <w:bCs/>
          <w:color w:val="000000"/>
          <w:spacing w:val="-4"/>
          <w:sz w:val="32"/>
          <w:szCs w:val="32"/>
        </w:rPr>
        <w:t>项目的实施，植被覆盖面积增长10%。，能进一步保证我乡的生态环境进一步改善，实现“绿水青山、就是金山银山的思想”。</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（4）项目实施的可持续影响分析。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spacing w:val="-4"/>
          <w:sz w:val="32"/>
          <w:szCs w:val="32"/>
        </w:rPr>
        <w:t>该项目的顺利实施，资金保障可持续1年，</w:t>
      </w:r>
      <w:r>
        <w:rPr>
          <w:rFonts w:hint="eastAsia" w:ascii="仿宋_GB2312" w:hAnsi="仿宋_GB2312" w:eastAsia="仿宋_GB2312" w:cs="仿宋_GB2312"/>
          <w:b w:val="0"/>
          <w:bCs/>
          <w:color w:val="000000" w:themeColor="text1"/>
          <w:spacing w:val="-4"/>
          <w:sz w:val="32"/>
          <w:szCs w:val="32"/>
        </w:rPr>
        <w:t>能明显提升全乡困难群众的基本生活水平，增强群众的幸福指数，提升群众基础。</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3.满意度指标完成情况分析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spacing w:val="-4"/>
          <w:sz w:val="32"/>
          <w:szCs w:val="32"/>
        </w:rPr>
      </w:pPr>
      <w:r>
        <w:rPr>
          <w:rFonts w:hint="eastAsia" w:ascii="仿宋_GB2312" w:hAnsi="仿宋_GB2312" w:eastAsia="仿宋_GB2312" w:cs="仿宋_GB2312"/>
          <w:b w:val="0"/>
          <w:bCs/>
          <w:color w:val="000000"/>
          <w:spacing w:val="-4"/>
          <w:sz w:val="32"/>
          <w:szCs w:val="32"/>
        </w:rPr>
        <w:t>经过项目实施后的调研，草场管护员对于该项目的满意率为98%。</w:t>
      </w:r>
    </w:p>
    <w:p>
      <w:pPr>
        <w:keepNext w:val="0"/>
        <w:keepLines w:val="0"/>
        <w:pageBreakBefore w:val="0"/>
        <w:kinsoku/>
        <w:wordWrap/>
        <w:overflowPunct/>
        <w:topLinePunct w:val="0"/>
        <w:autoSpaceDE/>
        <w:autoSpaceDN/>
        <w:bidi w:val="0"/>
        <w:spacing w:line="560" w:lineRule="exact"/>
        <w:ind w:right="0" w:rightChars="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（二）项目绩效目标未完成原因分析</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color w:val="000000"/>
          <w:spacing w:val="-4"/>
          <w:sz w:val="32"/>
          <w:szCs w:val="32"/>
        </w:rPr>
        <w:t>2018年依力克其乡人民政府草原生态补助绩效目标全部达成，不存在未完成原因分析。</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五、其他需要说明的问题</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（一）后续工作计划</w:t>
      </w:r>
    </w:p>
    <w:p>
      <w:pPr>
        <w:keepNext w:val="0"/>
        <w:keepLines w:val="0"/>
        <w:pageBreakBefore w:val="0"/>
        <w:kinsoku/>
        <w:wordWrap/>
        <w:overflowPunct/>
        <w:topLinePunct w:val="0"/>
        <w:autoSpaceDE/>
        <w:autoSpaceDN/>
        <w:bidi w:val="0"/>
        <w:adjustRightInd w:val="0"/>
        <w:snapToGrid w:val="0"/>
        <w:spacing w:line="560" w:lineRule="exact"/>
        <w:ind w:right="0" w:rightChars="0" w:firstLine="780" w:firstLineChars="250"/>
        <w:textAlignment w:val="auto"/>
        <w:rPr>
          <w:rFonts w:hint="eastAsia" w:ascii="仿宋_GB2312" w:hAnsi="仿宋_GB2312" w:eastAsia="仿宋_GB2312" w:cs="仿宋_GB2312"/>
          <w:b w:val="0"/>
          <w:bCs/>
          <w:color w:val="000000"/>
          <w:spacing w:val="-4"/>
          <w:sz w:val="32"/>
          <w:szCs w:val="32"/>
        </w:rPr>
      </w:pPr>
      <w:r>
        <w:rPr>
          <w:rFonts w:hint="eastAsia" w:ascii="仿宋_GB2312" w:hAnsi="仿宋_GB2312" w:eastAsia="仿宋_GB2312" w:cs="仿宋_GB2312"/>
          <w:b w:val="0"/>
          <w:bCs/>
          <w:color w:val="000000"/>
          <w:spacing w:val="-4"/>
          <w:sz w:val="32"/>
          <w:szCs w:val="32"/>
        </w:rPr>
        <w:t>依力克其乡人民政府在完成2018年草原生态补助的基础上，将严格2019年部分预算编制工作，在下一年度工作中，严格执行预算支出。</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（二）主要经验及做法、存在问题和建议</w:t>
      </w:r>
    </w:p>
    <w:p>
      <w:pPr>
        <w:keepNext w:val="0"/>
        <w:keepLines w:val="0"/>
        <w:pageBreakBefore w:val="0"/>
        <w:numPr>
          <w:ilvl w:val="0"/>
          <w:numId w:val="3"/>
        </w:numPr>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主要经验及做法</w:t>
      </w:r>
    </w:p>
    <w:p>
      <w:pPr>
        <w:keepNext w:val="0"/>
        <w:keepLines w:val="0"/>
        <w:pageBreakBefore w:val="0"/>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spacing w:val="-4"/>
          <w:sz w:val="32"/>
          <w:szCs w:val="32"/>
        </w:rPr>
      </w:pPr>
      <w:r>
        <w:rPr>
          <w:rFonts w:hint="eastAsia" w:ascii="仿宋_GB2312" w:hAnsi="仿宋_GB2312" w:eastAsia="仿宋_GB2312" w:cs="仿宋_GB2312"/>
          <w:b w:val="0"/>
          <w:bCs/>
          <w:color w:val="000000"/>
          <w:spacing w:val="-4"/>
          <w:sz w:val="32"/>
          <w:szCs w:val="32"/>
        </w:rPr>
        <w:t>依力克其乡人民政府在2018年草原生态补助中，在年度预算时严格按照人员进行年度预算，严格执行《预算法》，严把支出关，确保了草原生态补助各项经费按时足额保障到位，有效地杜绝了非预算支出，吃空饷、挤占挪用、虚报冒领等套取财政资金违规行为。</w:t>
      </w:r>
    </w:p>
    <w:p>
      <w:pPr>
        <w:keepNext w:val="0"/>
        <w:keepLines w:val="0"/>
        <w:pageBreakBefore w:val="0"/>
        <w:numPr>
          <w:ilvl w:val="0"/>
          <w:numId w:val="3"/>
        </w:numPr>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存在的问题</w:t>
      </w:r>
    </w:p>
    <w:p>
      <w:pPr>
        <w:keepNext w:val="0"/>
        <w:keepLines w:val="0"/>
        <w:pageBreakBefore w:val="0"/>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spacing w:val="-4"/>
          <w:sz w:val="32"/>
          <w:szCs w:val="32"/>
        </w:rPr>
      </w:pPr>
      <w:r>
        <w:rPr>
          <w:rFonts w:hint="eastAsia" w:ascii="仿宋_GB2312" w:hAnsi="仿宋_GB2312" w:eastAsia="仿宋_GB2312" w:cs="仿宋_GB2312"/>
          <w:b w:val="0"/>
          <w:bCs/>
          <w:color w:val="000000"/>
          <w:spacing w:val="-4"/>
          <w:sz w:val="32"/>
          <w:szCs w:val="32"/>
        </w:rPr>
        <w:t>村级申报资金不及时，不能按时按要求提供上报信息数据。</w:t>
      </w:r>
    </w:p>
    <w:p>
      <w:pPr>
        <w:keepNext w:val="0"/>
        <w:keepLines w:val="0"/>
        <w:pageBreakBefore w:val="0"/>
        <w:numPr>
          <w:ilvl w:val="0"/>
          <w:numId w:val="3"/>
        </w:numPr>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建议</w:t>
      </w:r>
    </w:p>
    <w:p>
      <w:pPr>
        <w:keepNext w:val="0"/>
        <w:keepLines w:val="0"/>
        <w:pageBreakBefore w:val="0"/>
        <w:kinsoku/>
        <w:wordWrap/>
        <w:overflowPunct/>
        <w:topLinePunct w:val="0"/>
        <w:autoSpaceDE/>
        <w:autoSpaceDN/>
        <w:bidi w:val="0"/>
        <w:adjustRightInd w:val="0"/>
        <w:snapToGrid w:val="0"/>
        <w:spacing w:line="560" w:lineRule="exact"/>
        <w:ind w:left="420" w:leftChars="200" w:right="0" w:rightChars="0"/>
        <w:textAlignment w:val="auto"/>
        <w:rPr>
          <w:rFonts w:hint="eastAsia" w:ascii="仿宋_GB2312" w:hAnsi="仿宋_GB2312" w:eastAsia="仿宋_GB2312" w:cs="仿宋_GB2312"/>
          <w:b w:val="0"/>
          <w:bCs/>
          <w:color w:val="000000"/>
          <w:spacing w:val="-4"/>
          <w:sz w:val="32"/>
          <w:szCs w:val="32"/>
        </w:rPr>
      </w:pPr>
      <w:r>
        <w:rPr>
          <w:rFonts w:hint="eastAsia" w:ascii="仿宋_GB2312" w:hAnsi="仿宋_GB2312" w:eastAsia="仿宋_GB2312" w:cs="仿宋_GB2312"/>
          <w:b w:val="0"/>
          <w:bCs/>
          <w:color w:val="000000"/>
          <w:spacing w:val="-4"/>
          <w:sz w:val="32"/>
          <w:szCs w:val="32"/>
        </w:rPr>
        <w:t>提高村级申报资金的准确性及及时性。</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（三）其他</w:t>
      </w:r>
    </w:p>
    <w:p>
      <w:pPr>
        <w:keepNext w:val="0"/>
        <w:keepLines w:val="0"/>
        <w:pageBreakBefore w:val="0"/>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无其他说明内容</w:t>
      </w:r>
    </w:p>
    <w:p>
      <w:pPr>
        <w:keepNext w:val="0"/>
        <w:keepLines w:val="0"/>
        <w:pageBreakBefore w:val="0"/>
        <w:kinsoku/>
        <w:wordWrap/>
        <w:overflowPunct/>
        <w:topLinePunct w:val="0"/>
        <w:autoSpaceDE/>
        <w:autoSpaceDN/>
        <w:bidi w:val="0"/>
        <w:adjustRightInd w:val="0"/>
        <w:snapToGrid w:val="0"/>
        <w:spacing w:line="560" w:lineRule="exact"/>
        <w:ind w:right="0" w:rightChars="0"/>
        <w:textAlignment w:val="auto"/>
        <w:outlineLvl w:val="0"/>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lang w:val="en-US" w:eastAsia="zh-CN"/>
        </w:rPr>
        <w:t xml:space="preserve">    </w:t>
      </w:r>
      <w:r>
        <w:rPr>
          <w:rStyle w:val="19"/>
          <w:rFonts w:hint="eastAsia" w:ascii="黑体" w:hAnsi="黑体" w:eastAsia="黑体" w:cs="黑体"/>
          <w:b w:val="0"/>
          <w:bCs/>
          <w:color w:val="000000" w:themeColor="text1"/>
          <w:spacing w:val="-4"/>
          <w:sz w:val="32"/>
          <w:szCs w:val="32"/>
        </w:rPr>
        <w:t>六、</w:t>
      </w:r>
      <w:r>
        <w:rPr>
          <w:rStyle w:val="19"/>
          <w:rFonts w:hint="eastAsia" w:ascii="黑体" w:hAnsi="黑体" w:eastAsia="黑体" w:cs="黑体"/>
          <w:b w:val="0"/>
          <w:bCs/>
          <w:color w:val="000000"/>
          <w:spacing w:val="-4"/>
          <w:sz w:val="32"/>
          <w:szCs w:val="32"/>
          <w:lang w:eastAsia="zh-CN"/>
        </w:rPr>
        <w:t>项目</w:t>
      </w:r>
      <w:r>
        <w:rPr>
          <w:rStyle w:val="19"/>
          <w:rFonts w:hint="eastAsia" w:ascii="黑体" w:hAnsi="黑体" w:eastAsia="黑体" w:cs="黑体"/>
          <w:b w:val="0"/>
          <w:bCs/>
          <w:color w:val="000000"/>
          <w:spacing w:val="-4"/>
          <w:sz w:val="32"/>
          <w:szCs w:val="32"/>
        </w:rPr>
        <w:t>评价工作情况</w:t>
      </w:r>
    </w:p>
    <w:p>
      <w:pPr>
        <w:keepNext w:val="0"/>
        <w:keepLines w:val="0"/>
        <w:pageBreakBefore w:val="0"/>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spacing w:val="-4"/>
          <w:sz w:val="32"/>
          <w:szCs w:val="32"/>
        </w:rPr>
      </w:pPr>
      <w:r>
        <w:rPr>
          <w:rFonts w:hint="eastAsia" w:ascii="仿宋_GB2312" w:hAnsi="仿宋_GB2312" w:eastAsia="仿宋_GB2312" w:cs="仿宋_GB2312"/>
          <w:b w:val="0"/>
          <w:bCs/>
          <w:color w:val="000000"/>
          <w:spacing w:val="-4"/>
          <w:sz w:val="32"/>
          <w:szCs w:val="32"/>
        </w:rPr>
        <w:t>本次评价通过文件研读、实地调研、数据分析等方式，全面了解依力克其乡人民政府草原生态补助的使用效率和效果，草原生态补助管理过程是否规范，是否完成了预期绩效目标等。同时，通过开展自我评价来总结经验和教训。</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七、附表</w:t>
      </w:r>
    </w:p>
    <w:p>
      <w:pPr>
        <w:keepNext w:val="0"/>
        <w:keepLines w:val="0"/>
        <w:pageBreakBefore w:val="0"/>
        <w:kinsoku/>
        <w:wordWrap/>
        <w:overflowPunct/>
        <w:topLinePunct w:val="0"/>
        <w:autoSpaceDE/>
        <w:autoSpaceDN/>
        <w:bidi w:val="0"/>
        <w:spacing w:line="560" w:lineRule="exact"/>
        <w:ind w:right="0" w:rightChars="0" w:firstLine="567"/>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《喀什地区财政项目支出绩效自评表》</w:t>
      </w:r>
    </w:p>
    <w:p>
      <w:pPr>
        <w:keepNext w:val="0"/>
        <w:keepLines w:val="0"/>
        <w:pageBreakBefore w:val="0"/>
        <w:kinsoku/>
        <w:wordWrap/>
        <w:overflowPunct/>
        <w:topLinePunct w:val="0"/>
        <w:autoSpaceDE/>
        <w:autoSpaceDN/>
        <w:bidi w:val="0"/>
        <w:spacing w:line="560" w:lineRule="exact"/>
        <w:ind w:right="0" w:rightChars="0"/>
        <w:textAlignment w:val="auto"/>
        <w:rPr>
          <w:rStyle w:val="19"/>
          <w:rFonts w:hint="eastAsia" w:ascii="仿宋_GB2312" w:hAnsi="仿宋_GB2312" w:eastAsia="仿宋_GB2312" w:cs="仿宋_GB2312"/>
          <w:b w:val="0"/>
          <w:bCs/>
          <w:color w:val="000000" w:themeColor="text1"/>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7A"/>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abstractNum w:abstractNumId="1">
    <w:nsid w:val="5D5C8654"/>
    <w:multiLevelType w:val="singleLevel"/>
    <w:tmpl w:val="5D5C8654"/>
    <w:lvl w:ilvl="0" w:tentative="0">
      <w:start w:val="3"/>
      <w:numFmt w:val="decimal"/>
      <w:suff w:val="nothing"/>
      <w:lvlText w:val="（%1）"/>
      <w:lvlJc w:val="left"/>
    </w:lvl>
  </w:abstractNum>
  <w:abstractNum w:abstractNumId="2">
    <w:nsid w:val="5D5C8661"/>
    <w:multiLevelType w:val="singleLevel"/>
    <w:tmpl w:val="5D5C8661"/>
    <w:lvl w:ilvl="0" w:tentative="0">
      <w:start w:val="4"/>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36BCC"/>
    <w:rsid w:val="00146AAD"/>
    <w:rsid w:val="001B23F1"/>
    <w:rsid w:val="001B3A40"/>
    <w:rsid w:val="00220617"/>
    <w:rsid w:val="00311626"/>
    <w:rsid w:val="00321CBD"/>
    <w:rsid w:val="00347D87"/>
    <w:rsid w:val="003C2CF9"/>
    <w:rsid w:val="004366A8"/>
    <w:rsid w:val="004428D4"/>
    <w:rsid w:val="00502BA7"/>
    <w:rsid w:val="005162F1"/>
    <w:rsid w:val="00535153"/>
    <w:rsid w:val="00554F82"/>
    <w:rsid w:val="0056390D"/>
    <w:rsid w:val="005719B0"/>
    <w:rsid w:val="005B1B4D"/>
    <w:rsid w:val="005D10D6"/>
    <w:rsid w:val="0063597F"/>
    <w:rsid w:val="00656E69"/>
    <w:rsid w:val="007A593B"/>
    <w:rsid w:val="007D32F0"/>
    <w:rsid w:val="007E6716"/>
    <w:rsid w:val="00855E3A"/>
    <w:rsid w:val="008E270B"/>
    <w:rsid w:val="008E6B23"/>
    <w:rsid w:val="008F2612"/>
    <w:rsid w:val="00922CB9"/>
    <w:rsid w:val="0099379F"/>
    <w:rsid w:val="009E5CD9"/>
    <w:rsid w:val="00A26421"/>
    <w:rsid w:val="00A4293B"/>
    <w:rsid w:val="00A67D50"/>
    <w:rsid w:val="00A8085D"/>
    <w:rsid w:val="00A8691A"/>
    <w:rsid w:val="00AA78D4"/>
    <w:rsid w:val="00AC1946"/>
    <w:rsid w:val="00B40063"/>
    <w:rsid w:val="00B41F61"/>
    <w:rsid w:val="00B72842"/>
    <w:rsid w:val="00BA2447"/>
    <w:rsid w:val="00BA46E6"/>
    <w:rsid w:val="00BF7355"/>
    <w:rsid w:val="00C56C72"/>
    <w:rsid w:val="00C87A8E"/>
    <w:rsid w:val="00C95952"/>
    <w:rsid w:val="00CA6457"/>
    <w:rsid w:val="00CB0722"/>
    <w:rsid w:val="00D17F2E"/>
    <w:rsid w:val="00D30354"/>
    <w:rsid w:val="00D35A5E"/>
    <w:rsid w:val="00DD1016"/>
    <w:rsid w:val="00DF42A0"/>
    <w:rsid w:val="00E32AE0"/>
    <w:rsid w:val="00E564B5"/>
    <w:rsid w:val="00E769FE"/>
    <w:rsid w:val="00EA2CBE"/>
    <w:rsid w:val="00F05B4F"/>
    <w:rsid w:val="00F32FEE"/>
    <w:rsid w:val="00FB10BB"/>
    <w:rsid w:val="00FC3B55"/>
    <w:rsid w:val="00FE11B9"/>
    <w:rsid w:val="015513BD"/>
    <w:rsid w:val="02157AC1"/>
    <w:rsid w:val="02E37DE9"/>
    <w:rsid w:val="031E2174"/>
    <w:rsid w:val="0AA856C4"/>
    <w:rsid w:val="0B9E52A2"/>
    <w:rsid w:val="0BE7435C"/>
    <w:rsid w:val="0C7132D7"/>
    <w:rsid w:val="0D5D5A45"/>
    <w:rsid w:val="0DF422BB"/>
    <w:rsid w:val="122B405E"/>
    <w:rsid w:val="140B0874"/>
    <w:rsid w:val="14274921"/>
    <w:rsid w:val="162B0C26"/>
    <w:rsid w:val="17E421EC"/>
    <w:rsid w:val="18B91B08"/>
    <w:rsid w:val="18D81AC9"/>
    <w:rsid w:val="1A492E63"/>
    <w:rsid w:val="1CCC38D1"/>
    <w:rsid w:val="25BA08E5"/>
    <w:rsid w:val="27386968"/>
    <w:rsid w:val="29F70A6B"/>
    <w:rsid w:val="2E5E1C24"/>
    <w:rsid w:val="2EB56AC1"/>
    <w:rsid w:val="2FDB61A2"/>
    <w:rsid w:val="31625524"/>
    <w:rsid w:val="31EB1466"/>
    <w:rsid w:val="32B83AC7"/>
    <w:rsid w:val="347362C2"/>
    <w:rsid w:val="356D63BD"/>
    <w:rsid w:val="361F08A4"/>
    <w:rsid w:val="47117E55"/>
    <w:rsid w:val="480552A5"/>
    <w:rsid w:val="48A2623C"/>
    <w:rsid w:val="49A24CE3"/>
    <w:rsid w:val="4AA464E5"/>
    <w:rsid w:val="4B0869AB"/>
    <w:rsid w:val="4CF50BE4"/>
    <w:rsid w:val="54D951CD"/>
    <w:rsid w:val="557D2352"/>
    <w:rsid w:val="55EE7ED5"/>
    <w:rsid w:val="57F07ADB"/>
    <w:rsid w:val="5D601243"/>
    <w:rsid w:val="615E6250"/>
    <w:rsid w:val="65953670"/>
    <w:rsid w:val="6690199D"/>
    <w:rsid w:val="6A4241A6"/>
    <w:rsid w:val="6AAB1A62"/>
    <w:rsid w:val="730634C3"/>
    <w:rsid w:val="760213ED"/>
    <w:rsid w:val="7B75426B"/>
    <w:rsid w:val="7B7750A6"/>
    <w:rsid w:val="7B9C6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363</Words>
  <Characters>2070</Characters>
  <Lines>17</Lines>
  <Paragraphs>4</Paragraphs>
  <TotalTime>0</TotalTime>
  <ScaleCrop>false</ScaleCrop>
  <LinksUpToDate>false</LinksUpToDate>
  <CharactersWithSpaces>2429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2024-01-15T09:35:55Z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