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项目名称：村运转经费项目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exact"/>
        <w:ind w:firstLine="800" w:firstLineChars="250"/>
        <w:rPr>
          <w:rFonts w:ascii="仿宋_GB2312" w:hAnsi="仿宋_GB2312" w:eastAsia="仿宋_GB2312" w:cs="仿宋_GB2312"/>
          <w:sz w:val="32"/>
          <w:szCs w:val="32"/>
        </w:rPr>
      </w:pPr>
      <w:r>
        <w:rPr>
          <w:rFonts w:hint="eastAsia" w:ascii="仿宋_GB2312" w:hAnsi="仿宋_GB2312" w:eastAsia="仿宋_GB2312" w:cs="仿宋_GB2312"/>
          <w:sz w:val="32"/>
          <w:szCs w:val="32"/>
        </w:rPr>
        <w:t>（一）项目单位基本情况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w:t>
      </w:r>
      <w:r>
        <w:rPr>
          <w:rFonts w:hint="eastAsia" w:ascii="仿宋_GB2312" w:hAnsi="仿宋_GB2312" w:eastAsia="仿宋_GB2312" w:cs="仿宋_GB2312"/>
          <w:color w:val="000000" w:themeColor="text1"/>
          <w:sz w:val="32"/>
          <w:szCs w:val="32"/>
        </w:rPr>
        <w:t>实有在职人数111人，其中：行政在职56人，参照公务员管理的事业单位人员15人，事业在职34人，工勤在职人数6人。离退休人员0人，其中：离休人员0人，退休人员14人。</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加依提勒克乡人民政府负责全乡党政行政管理事务。以科学发展观为指导，坚决贯彻执行人民政府的有关</w:t>
      </w:r>
      <w:r>
        <w:rPr>
          <w:rFonts w:hint="eastAsia" w:ascii="仿宋_GB2312" w:hAnsi="仿宋_GB2312" w:eastAsia="仿宋_GB2312" w:cs="仿宋_GB2312"/>
          <w:sz w:val="32"/>
          <w:szCs w:val="32"/>
          <w:lang w:eastAsia="zh-CN"/>
        </w:rPr>
        <w:t>方针</w:t>
      </w:r>
      <w:r>
        <w:rPr>
          <w:rFonts w:hint="eastAsia" w:ascii="仿宋_GB2312" w:hAnsi="仿宋_GB2312" w:eastAsia="仿宋_GB2312" w:cs="仿宋_GB2312"/>
          <w:sz w:val="32"/>
          <w:szCs w:val="32"/>
        </w:rPr>
        <w:t>政策指示，把党的各项优惠政策落实到实处，负</w:t>
      </w:r>
      <w:bookmarkStart w:id="0" w:name="_GoBack"/>
      <w:bookmarkEnd w:id="0"/>
      <w:r>
        <w:rPr>
          <w:rFonts w:hint="eastAsia" w:ascii="仿宋_GB2312" w:hAnsi="仿宋_GB2312" w:eastAsia="仿宋_GB2312" w:cs="仿宋_GB2312"/>
          <w:sz w:val="32"/>
          <w:szCs w:val="32"/>
        </w:rPr>
        <w:t>责全乡经济社会发展、社会事务管理、基层组织建设等全面工作。以全面建设社会主义新农村为根本出发点，不断深化美丽乡村建设，不断铸牢全乡经济社会发展基础，为全乡各族群众提供社会服务。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（二）项目预算绩效目标设定情况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叶城县财政局下达叶城县加依提勒克乡2018年村运转经费项目资金295.9万元，主要用于保证各村全年的平稳运行，达到转款专用的效果，并且严格按照会计制度的要求支出，规范化使用村运转经费，将每一分钱花在刀刃上，保证日常各项工作正常运转，提高为民办实事的效</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（一）项目资金安排落实、总投入等情况分析相关文号</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根据新财行［2015］335号、喀地财行［2017］12号（自治区下达基层组织建设补助资金）村级运转经费要求，本项目资金295.9万元，其中财政资金295.9万元，其他资金0万元，资金到位295.9万元；资金到位率100%。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（二）项目资金实际使用情况分析   </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根据本年关于下达村运转经费项目资金的文件，到位资金295.9万元，本项目实际支付资金295.9万元。项目资金主要用于支付村运转经费项目费用295.9万元，结余0万元。”</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（三）项目资金管理情况分析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资金严格按照《叶城县加依提勒克乡资金管理制度》支付资金；资金支付由本单位分管地区领导、主管财务领导、地区财政局等各级部门审批审核；资金的支付有完整的审批程序和手续符合制度要求；不存在截留、挤占、挪用、虚列支出等情况。</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（一）项目组织情况分析</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该项目属于经常性零星项目,没有达到招投标限额,由本单位自行组织实施。实施过程均按照本单位制定的管理制度执行。</w:t>
      </w:r>
    </w:p>
    <w:p>
      <w:pPr>
        <w:spacing w:line="560" w:lineRule="exact"/>
        <w:ind w:firstLine="640" w:firstLineChars="200"/>
        <w:rPr>
          <w:rFonts w:ascii="仿宋_GB2312" w:hAnsi="仿宋_GB2312" w:eastAsia="仿宋_GB2312" w:cs="仿宋_GB2312"/>
          <w:sz w:val="32"/>
          <w:szCs w:val="32"/>
          <w:lang w:val="zh-TW" w:eastAsia="zh-TW"/>
        </w:rPr>
      </w:pPr>
      <w:r>
        <w:rPr>
          <w:rFonts w:hint="eastAsia" w:ascii="仿宋_GB2312" w:hAnsi="仿宋_GB2312" w:eastAsia="仿宋_GB2312" w:cs="仿宋_GB2312"/>
          <w:sz w:val="32"/>
          <w:szCs w:val="32"/>
          <w:lang w:val="zh-TW" w:eastAsia="zh-TW"/>
        </w:rPr>
        <w:t>本项目不存在调整情况。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本项目不存在检查验收程序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（二）项目管理情况分析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lang w:val="zh-TW" w:eastAsia="zh-TW"/>
        </w:rPr>
        <w:t>项目实施过程中，</w:t>
      </w:r>
      <w:r>
        <w:rPr>
          <w:rFonts w:hint="eastAsia" w:ascii="仿宋_GB2312" w:hAnsi="仿宋_GB2312" w:eastAsia="仿宋_GB2312" w:cs="仿宋_GB2312"/>
          <w:sz w:val="32"/>
          <w:szCs w:val="32"/>
          <w:lang w:val="zh-TW"/>
        </w:rPr>
        <w:t>严格</w:t>
      </w:r>
      <w:r>
        <w:rPr>
          <w:rFonts w:hint="eastAsia" w:ascii="仿宋_GB2312" w:hAnsi="仿宋_GB2312" w:eastAsia="仿宋_GB2312" w:cs="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exact"/>
        <w:ind w:firstLine="627" w:firstLineChars="200"/>
        <w:rPr>
          <w:rFonts w:ascii="仿宋_GB2312" w:hAnsi="仿宋_GB2312" w:eastAsia="仿宋_GB2312" w:cs="仿宋_GB2312"/>
          <w:sz w:val="32"/>
          <w:szCs w:val="32"/>
        </w:rPr>
      </w:pPr>
      <w:r>
        <w:rPr>
          <w:rFonts w:hint="eastAsia" w:ascii="仿宋_GB2312" w:hAnsi="仿宋_GB2312" w:eastAsia="仿宋_GB2312" w:cs="仿宋_GB2312"/>
          <w:b/>
          <w:spacing w:val="-4"/>
          <w:sz w:val="32"/>
          <w:szCs w:val="32"/>
        </w:rPr>
        <w:t>（</w:t>
      </w:r>
      <w:r>
        <w:rPr>
          <w:rFonts w:hint="eastAsia" w:ascii="仿宋_GB2312" w:hAnsi="仿宋_GB2312" w:eastAsia="仿宋_GB2312" w:cs="仿宋_GB2312"/>
          <w:sz w:val="32"/>
          <w:szCs w:val="32"/>
        </w:rPr>
        <w:t>一）项目绩效目标完成情况分析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本项目共设置一级指标3个，二级指标7个，三级指标8个，其中已完成三级指标8个，指标完成率为100%。根据年初设定的绩效目标，此项目自评得分为</w:t>
      </w:r>
      <w:r>
        <w:rPr>
          <w:rFonts w:hint="eastAsia" w:ascii="仿宋_GB2312" w:hAnsi="仿宋_GB2312" w:eastAsia="仿宋_GB2312" w:cs="仿宋_GB2312"/>
          <w:sz w:val="32"/>
          <w:szCs w:val="32"/>
          <w:lang w:val="en-US" w:eastAsia="zh-CN"/>
        </w:rPr>
        <w:t>85</w:t>
      </w:r>
      <w:r>
        <w:rPr>
          <w:rFonts w:hint="eastAsia" w:ascii="仿宋_GB2312" w:hAnsi="仿宋_GB2312" w:eastAsia="仿宋_GB2312" w:cs="仿宋_GB2312"/>
          <w:sz w:val="32"/>
          <w:szCs w:val="32"/>
        </w:rPr>
        <w:t>分。</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1.产出指标完成情况分析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（1）项目完成数量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数量指标，经费保障人数29590人，已完成29590人，资金支付及时率100%，已支付295.9万元。截止2018年年度绩效自评时，该项目已完成年度设定预期目标，完成率为100%。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（2）项目完成质量</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村运转经费项目295.9万元，经费保障率100%,该项目严格按照相关要求进行支付，村会计保障严格按照村乡管制度的财务管理进行报账财政所严格把关，资金支付完成率100%。</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w:t>
      </w:r>
    </w:p>
    <w:p>
      <w:pPr>
        <w:spacing w:line="560" w:lineRule="exact"/>
        <w:ind w:firstLine="640" w:firstLineChars="200"/>
        <w:rPr>
          <w:rFonts w:ascii="仿宋_GB2312" w:hAnsi="仿宋_GB2312" w:eastAsia="仿宋_GB2312" w:cs="仿宋_GB2312"/>
          <w:color w:val="000000"/>
          <w:spacing w:val="-4"/>
          <w:sz w:val="32"/>
          <w:szCs w:val="32"/>
        </w:rPr>
      </w:pPr>
      <w:r>
        <w:rPr>
          <w:rFonts w:hint="eastAsia" w:ascii="仿宋_GB2312" w:hAnsi="仿宋_GB2312" w:eastAsia="仿宋_GB2312" w:cs="仿宋_GB2312"/>
          <w:sz w:val="32"/>
          <w:szCs w:val="32"/>
        </w:rPr>
        <w:t>项目资金295.9万元，资金到位及时率100%,资金支付及时率100%,保障全乡29590人，该资金按照申报目标的进度进行，按月完成了支付,该项目已经全部实施完毕</w:t>
      </w:r>
      <w:r>
        <w:rPr>
          <w:rFonts w:hint="eastAsia" w:ascii="仿宋_GB2312" w:hAnsi="仿宋_GB2312" w:eastAsia="仿宋_GB2312" w:cs="仿宋_GB2312"/>
          <w:color w:val="000000"/>
          <w:spacing w:val="-4"/>
          <w:sz w:val="32"/>
          <w:szCs w:val="32"/>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 xml:space="preserve"> 严格按照中央八项规定，把好关卡，按照人均经费100元/人进行支付，经费支付过程中未出现铺张浪费等情况。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2.效益指标完成情况分析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（1）项目实施的经济效益分析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该项目为经费类项目，未涉及经济效益。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（2）项目实施的社会效益分析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该项目的顺利实施，可以有效提高加依提勒克乡为民办事的效率，在老百姓心中树立良好的形象。</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社会效益指标已完成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该项目为经费类项目，未涉及生态效益。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（4）项目实施的可持续影响分析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该项目的顺利实施，保障年限为1年，明显改变了机关办事效率，增强群众的幸福指数，提升群众基础。</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3.满意度指标完成情况分析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按计划完成项目实施，已做满意度调查问卷，干部满意率达98%，服务对象满意度指标完成。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（二）项目绩效目标未完成原因分析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2019年本项目绩效目标全部达成，不存在未完成原因分析。</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（一）后续工作计划</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目前2018年该村运转经费项目已完成通过对村运转经费项目资金的投入和管理，实现领域大事不出，小事不出，确保工作和谐发展，进行下一年的该项目工作。</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（二）主要经验及做法、存在问题和建议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1、主要经验及做法</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落实管理规定，理顺管理体制。全面贯彻落实《叶城县加依提勒克乡项目资金管理办法》，把各项政策规定落到实处。将村运转经费项目纳入本乡镇经济社会发展规划，作为工作和谐发展的重要任务。各个职能部门各司其职、协调配合。建立由乡纪检核实，根据相关文件制定标准、财政部门负责及时拨付资金、乡镇负责村运转经费项目的安排管理和使用的工作机制。</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加大保障力度，提高保障水平。在严把人员入口、确保人员素质、加强考核管理的基础上，全面提人民群众日常文化活动多样性，严格按照相关规定拨付资金，切实保障彩票公益金的合法权益。</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2、存在的问题</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3、建议</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年初做好资金计划，按照项目进度及时拨付资金，使资金使用效益最大化，减少不必要的浪费，节约成本。</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（三）其他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无其他说明内容</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szCs w:val="32"/>
        </w:rPr>
        <w:t>本次评价通过文件研读、实地调研、数据分析等方式，全面了解村运转经费项目资金的使用效率和效果，项目管理过程合法合规，按期完成了预期绩效目标等。同时，通过开展自我评价来总结经验和教训，为加依提勒克乡村运转经费项目今后的开展提供参考建议。</w:t>
      </w:r>
    </w:p>
    <w:p>
      <w:pPr>
        <w:spacing w:line="560" w:lineRule="exac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《自治区财政项目支出绩效自评表》</w:t>
      </w:r>
    </w:p>
    <w:p>
      <w:pPr>
        <w:spacing w:line="560" w:lineRule="exact"/>
        <w:ind w:firstLine="567"/>
        <w:rPr>
          <w:rStyle w:val="19"/>
          <w:rFonts w:ascii="仿宋_GB2312" w:hAnsi="仿宋_GB2312" w:eastAsia="仿宋_GB2312" w:cs="仿宋_GB2312"/>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86"/>
    <w:family w:val="auto"/>
    <w:pitch w:val="default"/>
    <w:sig w:usb0="00000000" w:usb1="00000000" w:usb2="00000000" w:usb3="00000000" w:csb0="0004009F" w:csb1="DFD7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2</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56465"/>
    <w:rsid w:val="000E45CC"/>
    <w:rsid w:val="00121AE4"/>
    <w:rsid w:val="0013653C"/>
    <w:rsid w:val="00136BCC"/>
    <w:rsid w:val="00146AAD"/>
    <w:rsid w:val="00180403"/>
    <w:rsid w:val="001B23F1"/>
    <w:rsid w:val="001B3A40"/>
    <w:rsid w:val="00220617"/>
    <w:rsid w:val="00265779"/>
    <w:rsid w:val="00311626"/>
    <w:rsid w:val="00321CBD"/>
    <w:rsid w:val="00347D87"/>
    <w:rsid w:val="003C2CF9"/>
    <w:rsid w:val="003F3747"/>
    <w:rsid w:val="004366A8"/>
    <w:rsid w:val="00502BA7"/>
    <w:rsid w:val="005162F1"/>
    <w:rsid w:val="00535153"/>
    <w:rsid w:val="00554F82"/>
    <w:rsid w:val="0056390D"/>
    <w:rsid w:val="005676F5"/>
    <w:rsid w:val="005719B0"/>
    <w:rsid w:val="005C608A"/>
    <w:rsid w:val="005D10D6"/>
    <w:rsid w:val="006129D7"/>
    <w:rsid w:val="0063597F"/>
    <w:rsid w:val="00656E69"/>
    <w:rsid w:val="006A4349"/>
    <w:rsid w:val="006C06B8"/>
    <w:rsid w:val="007A593B"/>
    <w:rsid w:val="007D32F0"/>
    <w:rsid w:val="007E6716"/>
    <w:rsid w:val="00855E3A"/>
    <w:rsid w:val="008E6B23"/>
    <w:rsid w:val="008F2612"/>
    <w:rsid w:val="00914363"/>
    <w:rsid w:val="00922CB9"/>
    <w:rsid w:val="00927EA9"/>
    <w:rsid w:val="0099379F"/>
    <w:rsid w:val="009E5CD9"/>
    <w:rsid w:val="00A26421"/>
    <w:rsid w:val="00A4293B"/>
    <w:rsid w:val="00A67D50"/>
    <w:rsid w:val="00A8691A"/>
    <w:rsid w:val="00AA78D4"/>
    <w:rsid w:val="00AC1946"/>
    <w:rsid w:val="00B40063"/>
    <w:rsid w:val="00B41F61"/>
    <w:rsid w:val="00BA2447"/>
    <w:rsid w:val="00BA46E6"/>
    <w:rsid w:val="00BF7355"/>
    <w:rsid w:val="00C56C72"/>
    <w:rsid w:val="00C87A8E"/>
    <w:rsid w:val="00C95952"/>
    <w:rsid w:val="00CA6457"/>
    <w:rsid w:val="00CB0722"/>
    <w:rsid w:val="00D17F2E"/>
    <w:rsid w:val="00D30354"/>
    <w:rsid w:val="00D35A5E"/>
    <w:rsid w:val="00DD1016"/>
    <w:rsid w:val="00DF42A0"/>
    <w:rsid w:val="00E32AE0"/>
    <w:rsid w:val="00E564B5"/>
    <w:rsid w:val="00E769FE"/>
    <w:rsid w:val="00EA2CBE"/>
    <w:rsid w:val="00F1564F"/>
    <w:rsid w:val="00F32FEE"/>
    <w:rsid w:val="00FB10BB"/>
    <w:rsid w:val="00FC3B55"/>
    <w:rsid w:val="00FE11B9"/>
    <w:rsid w:val="02E37DE9"/>
    <w:rsid w:val="06A14701"/>
    <w:rsid w:val="083F0C01"/>
    <w:rsid w:val="0D291126"/>
    <w:rsid w:val="0D497AFD"/>
    <w:rsid w:val="0D5D5A45"/>
    <w:rsid w:val="0DDC4AED"/>
    <w:rsid w:val="11D47BF1"/>
    <w:rsid w:val="126F6E47"/>
    <w:rsid w:val="15994E24"/>
    <w:rsid w:val="17E421EC"/>
    <w:rsid w:val="17EA0EBA"/>
    <w:rsid w:val="1DDF7C8B"/>
    <w:rsid w:val="23CF754C"/>
    <w:rsid w:val="27320BFD"/>
    <w:rsid w:val="27372294"/>
    <w:rsid w:val="28042683"/>
    <w:rsid w:val="347362C2"/>
    <w:rsid w:val="35CA28F9"/>
    <w:rsid w:val="35FF49EB"/>
    <w:rsid w:val="36A12FCE"/>
    <w:rsid w:val="385704A1"/>
    <w:rsid w:val="3CAB4BB8"/>
    <w:rsid w:val="3DF26ED7"/>
    <w:rsid w:val="3F020FB3"/>
    <w:rsid w:val="41871FC0"/>
    <w:rsid w:val="4BEF0318"/>
    <w:rsid w:val="506F375A"/>
    <w:rsid w:val="50DD221E"/>
    <w:rsid w:val="54DF5163"/>
    <w:rsid w:val="563D2790"/>
    <w:rsid w:val="5B792C0C"/>
    <w:rsid w:val="5C967FE3"/>
    <w:rsid w:val="5D2272D3"/>
    <w:rsid w:val="5D3F21BF"/>
    <w:rsid w:val="6014614F"/>
    <w:rsid w:val="68BC63F1"/>
    <w:rsid w:val="6A123310"/>
    <w:rsid w:val="6AFE406F"/>
    <w:rsid w:val="6B4E5E61"/>
    <w:rsid w:val="6C241898"/>
    <w:rsid w:val="6DBD581F"/>
    <w:rsid w:val="6E991FA9"/>
    <w:rsid w:val="706D7E1F"/>
    <w:rsid w:val="71B273B7"/>
    <w:rsid w:val="73FD340F"/>
    <w:rsid w:val="74AF6B03"/>
    <w:rsid w:val="76676FEE"/>
    <w:rsid w:val="79DC278F"/>
    <w:rsid w:val="7A851CC1"/>
    <w:rsid w:val="7CBE2642"/>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7</Pages>
  <Words>421</Words>
  <Characters>2405</Characters>
  <Lines>20</Lines>
  <Paragraphs>5</Paragraphs>
  <TotalTime>0</TotalTime>
  <ScaleCrop>false</ScaleCrop>
  <LinksUpToDate>false</LinksUpToDate>
  <CharactersWithSpaces>2821</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2024-01-15T08:20:08Z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DCBFE2EFFF78478C945B8B378FE096BD_12</vt:lpwstr>
  </property>
</Properties>
</file>