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jc w:val="center"/>
        <w:rPr>
          <w:rFonts w:hint="eastAsia"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40" w:lineRule="exact"/>
        <w:jc w:val="center"/>
        <w:rPr>
          <w:rFonts w:ascii="黑体" w:hAnsi="黑体" w:eastAsia="黑体" w:cs="黑体"/>
          <w:b/>
          <w:kern w:val="0"/>
          <w:sz w:val="44"/>
          <w:szCs w:val="44"/>
        </w:rPr>
      </w:pPr>
      <w:r>
        <w:rPr>
          <w:rFonts w:hint="eastAsia" w:ascii="黑体" w:hAnsi="黑体" w:eastAsia="黑体" w:cs="黑体"/>
          <w:b/>
          <w:kern w:val="0"/>
          <w:sz w:val="44"/>
          <w:szCs w:val="44"/>
        </w:rPr>
        <w:t>自治区财政项目支出绩效自评报告</w:t>
      </w: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（2018 年度）</w:t>
      </w: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jc w:val="center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540" w:lineRule="exact"/>
        <w:rPr>
          <w:rFonts w:ascii="黑体" w:hAnsi="黑体" w:eastAsia="黑体" w:cs="黑体"/>
          <w:kern w:val="0"/>
          <w:sz w:val="32"/>
          <w:szCs w:val="32"/>
        </w:rPr>
      </w:pP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项目名称：组织部经费项目</w:t>
      </w:r>
    </w:p>
    <w:p>
      <w:pPr>
        <w:spacing w:line="700" w:lineRule="exact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 xml:space="preserve">     实施单位（公章）：叶城县加依提勒克乡人民政府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主管部门（公章）：叶城县加依提勒克乡人民政府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项目负责人（签章）：彭新疆</w:t>
      </w:r>
    </w:p>
    <w:p>
      <w:pPr>
        <w:spacing w:line="700" w:lineRule="exact"/>
        <w:ind w:firstLine="755" w:firstLineChars="236"/>
        <w:jc w:val="left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填报时间：2018 年 12 月 25日</w:t>
      </w:r>
    </w:p>
    <w:p>
      <w:pPr>
        <w:spacing w:line="54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一、项目概况</w:t>
      </w:r>
    </w:p>
    <w:p>
      <w:pPr>
        <w:spacing w:line="560" w:lineRule="exact"/>
        <w:ind w:firstLine="624" w:firstLineChars="200"/>
        <w:jc w:val="left"/>
        <w:rPr>
          <w:rStyle w:val="19"/>
          <w:rFonts w:ascii="仿宋_GB2312" w:hAnsi="仿宋_GB2312" w:eastAsia="仿宋_GB2312" w:cs="仿宋_GB2312"/>
          <w:b w:val="0"/>
          <w:bCs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bCs w:val="0"/>
          <w:spacing w:val="-4"/>
          <w:sz w:val="32"/>
          <w:szCs w:val="32"/>
        </w:rPr>
        <w:t>（一）项目单位基本情况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叶城县加依提勒克乡属党政机关行政部门，乡科级行政单位，辖25个行政村，全乡有维、回、汉等农牧民28550多人，农户7281户，全乡维吾尔族占98%，主要以种植核桃、小麦、玉米、设施农业为主，是叶城县城郊少数人口及农业大乡。编制人数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人，其中：行政人员编制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54</w:t>
      </w:r>
      <w:r>
        <w:rPr>
          <w:rFonts w:hint="eastAsia" w:ascii="仿宋_GB2312" w:hAnsi="仿宋_GB2312" w:eastAsia="仿宋_GB2312" w:cs="仿宋_GB2312"/>
          <w:sz w:val="32"/>
          <w:szCs w:val="32"/>
        </w:rPr>
        <w:t>人，全额拨款事业单位人员编制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32</w:t>
      </w:r>
      <w:r>
        <w:rPr>
          <w:rFonts w:hint="eastAsia" w:ascii="仿宋_GB2312" w:hAnsi="仿宋_GB2312" w:eastAsia="仿宋_GB2312" w:cs="仿宋_GB2312"/>
          <w:sz w:val="32"/>
          <w:szCs w:val="32"/>
        </w:rPr>
        <w:t>人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工勤编制3人</w:t>
      </w:r>
      <w:r>
        <w:rPr>
          <w:rFonts w:hint="eastAsia" w:ascii="仿宋_GB2312" w:hAnsi="仿宋_GB2312" w:eastAsia="仿宋_GB2312" w:cs="仿宋_GB2312"/>
          <w:sz w:val="32"/>
          <w:szCs w:val="32"/>
        </w:rPr>
        <w:t>。 实有在职人数111人，其中：行政在职56人，参照公务员管理的事业单位人员15人，事业在职34人，工勤在职人数6人。离退休人员0人，其中：离休人员0人，退休人员14人。</w:t>
      </w:r>
    </w:p>
    <w:p>
      <w:pPr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加依提勒克乡人民政府负责全乡党政行政管理事务。以科学发展观为指导，坚决贯彻执行人民政府的有关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方针</w:t>
      </w:r>
      <w:r>
        <w:rPr>
          <w:rFonts w:hint="eastAsia" w:ascii="仿宋_GB2312" w:hAnsi="仿宋_GB2312" w:eastAsia="仿宋_GB2312" w:cs="仿宋_GB2312"/>
          <w:sz w:val="32"/>
          <w:szCs w:val="32"/>
        </w:rPr>
        <w:t>政策指示，把党的各项优惠政策落实到实处，负责全乡经济社会发展、社会事务管理、基层组织建设等全面工作。以全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面建设社会主义新农村为根本出发点，不断深化美丽乡村建设，不断铸牢全乡经济社会发展基础，为全乡各族群众提供社会服务。</w:t>
      </w:r>
    </w:p>
    <w:p>
      <w:pPr>
        <w:spacing w:line="560" w:lineRule="exact"/>
        <w:ind w:firstLine="624" w:firstLineChars="200"/>
        <w:jc w:val="lef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（二）项目预算绩效目标设定情况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1、项目预期目标及阶段性目标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绩效：总资金983.84万元，其中包括“新担当新作为”表彰经费7.4万元，工作人员经费278.64万元，组长31.8万元、三老人员76.32万元、村干部报酬359.4、小组长工资104.4万元、乡干部绩效10.68万元、乡干部基层补贴115.2万元，将人员经费按时发放至个人，保证干部群众的积极性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阶段性绩效指标：按照统计汇总数据每个季度按时足额发放资金。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2、项目基本性质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本项目性质为延续项目，在年后通过绩效决算、结果应用等方式，该项目实际完成情况良好，项目为延续性安排。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3、项目用途及范围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乡镇基层干部补贴、三老人员津贴、组长补助项目主要用于乡镇在编在岗的基层干部补贴资金支出。2018年给全乡120名干部发放1000元的“新担当新作为”表彰经费，149名工作人员干部每人每月发放“访惠聚”工作经费18000元，530名组长每人每月发放组长补助50元，126名三老人员发放三老人员补助621元，160名村干部每人每月发放村干部工资2000元，87名小组长发放小组长工资1000元，415名干部及教师每人每月发放基层干部补贴100元以及89名干部每人每月发放干部绩效补助125元。</w:t>
      </w:r>
    </w:p>
    <w:p>
      <w:pPr>
        <w:spacing w:line="560" w:lineRule="exac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二、项目资金使用及管理情况</w:t>
      </w:r>
    </w:p>
    <w:p>
      <w:pPr>
        <w:spacing w:line="560" w:lineRule="exact"/>
        <w:ind w:firstLine="624" w:firstLineChars="200"/>
        <w:jc w:val="left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  <w:r>
        <w:rPr>
          <w:rStyle w:val="19"/>
          <w:rFonts w:hint="eastAsia" w:ascii="仿宋_GB2312" w:hAnsi="仿宋_GB2312" w:eastAsia="仿宋_GB2312" w:cs="仿宋_GB2312"/>
          <w:b w:val="0"/>
          <w:spacing w:val="-4"/>
          <w:sz w:val="32"/>
          <w:szCs w:val="32"/>
        </w:rPr>
        <w:t>（一）项目资金安排落实、总投入等情况分析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依据新财行［2015］335号、喀地财行［2017］12号（自治区下达基层组织建设补助资金），2018年给全乡120名干部发放1000元的“新担当新作为”表彰经费，149名工作人员干部每人每月发放“访惠聚”工作经费18000元，530名组长每人每月发放组长补助50元，126名三老人员发放三老人员补助621元，160名村干部每人每月发放村干部工资2000元，87名小组长发放小组长工资1000元，415名干部及教师每人每月发放基层干部补贴100元以及89名干部每人每月发放干部绩效补助125元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（二）项目资金实际使用情况分析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实际支付资金983.84万元，预算执行率100%。项目资金主要用于支付2018年给全乡120名干部发放1000元的“新担当新作为”表彰经费，149名工作人员干部每人每月发放“访惠聚”工作经费18000元，530名组长每人每月发放组长补助50元，126名三老人员发放三老人员补助621元，160名村干部每人每月发放村干部工资2000元，87名小组长发放小组长工资1000元，415名干部及教师每人每月发放基层干部补贴100元以及89名干部每人每月发放干部绩效补助125元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（三）项目资金管理情况分析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支出符合叶城县财政相关财务管理制度，包括会计人员《集中核算工作管理制度》、《财务收支审批制度》、《财务稽核制度》、会计主管岗位职责等制度规定，资金的拨付有完整的审批程序和手续，不存在截留、挤占、挪用等情况。</w:t>
      </w:r>
    </w:p>
    <w:p>
      <w:pPr>
        <w:spacing w:line="560" w:lineRule="exac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三、项目组织实施情况</w:t>
      </w:r>
    </w:p>
    <w:p>
      <w:pPr>
        <w:pStyle w:val="15"/>
        <w:shd w:val="clear" w:color="auto" w:fill="FFFFFF"/>
        <w:spacing w:line="560" w:lineRule="exact"/>
        <w:ind w:firstLine="643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一）项目组织情况分析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本项目为叶城县乡镇基层干部补贴项目，为常规性支出项目，没有达到招投标限额,由本单位自行组织实施。实施过程均按照本单位制定的管理制度执行。项目不存在检查验收程序。也不存在调整情况。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（二）项目管理情况分析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实施过程中，叶城县加依提勒克乡人民政府严格落实《叶城县村（社区）基层共用财务审批操作流程》，采取由乡镇（场区）党（工）委审核把关上报，汇总后报财政部门审核确定，并按月拨付资金，确保了项目顺利实施，各项资料齐全并及时归档。落实《关于进一步加强各项补助资金发放管理的通知》，不定期对项目进度情况进行督导检查，对检查过程中发现的问题及时督促整改，确保资金全部按时足额发放到乡镇基层干部手中。</w:t>
      </w:r>
    </w:p>
    <w:p>
      <w:pPr>
        <w:spacing w:line="560" w:lineRule="exac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四、项目绩效情况 </w:t>
      </w:r>
    </w:p>
    <w:p>
      <w:pPr>
        <w:pStyle w:val="15"/>
        <w:shd w:val="clear" w:color="auto" w:fill="FFFFFF"/>
        <w:spacing w:line="560" w:lineRule="exact"/>
        <w:ind w:firstLine="627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spacing w:val="-4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sz w:val="32"/>
          <w:szCs w:val="32"/>
        </w:rPr>
        <w:t>一）项目绩效目标完成情况分析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本项目共设置一级指标3个，二级指标7个，三级指标23个，其中已完成三级指标23个，指标完成率为100%。根据年初设定的绩效目标，此项目自评得分为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89</w:t>
      </w:r>
      <w:r>
        <w:rPr>
          <w:rFonts w:hint="eastAsia" w:ascii="仿宋_GB2312" w:hAnsi="仿宋_GB2312" w:eastAsia="仿宋_GB2312" w:cs="仿宋_GB2312"/>
          <w:sz w:val="32"/>
          <w:szCs w:val="32"/>
        </w:rPr>
        <w:t>分。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1.产出指标完成情况分析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（1）项目完成数量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数量指标：“新担当新作为”表彰人数120人；工作人员人数149人；组长补助保障人数530人；三老人员补助保障人数126人；村干部报酬补助保障人数160人；小组长工资补助保障人数87人；基层补贴补助保障人数415人；绩效补助补助保障人数89人，该项目指标已全部完成。截止2018年年度绩效自评时，该项目已完成年度设定预期目标，完成率为100%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（2）项目完成质量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组织部拨付补助项目资金保障完成率100%，该项目严格按照相关要求进行发放，已全部发放完毕，未发现漏发、少发、多发等质量问题。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（3）项目实施进度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项目资金983.84万元，资金发放及时率100%，该资金按照申报目标的进度进行，该项目已经全部实施完毕。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（4）项目成本节约情况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成本指标：“新担当新作为”发放金额1000元人/年；工作人员人均数18000元/人/年；组长人均补助600元/人/年；三老人员人均补助5803元/人/年；村干部报酬人均补助24000元/人/年；小组长工资人均补助元/人/年；基层补贴人均补助2400元/人/年；绩效补助人均补助1210元/人/年；减少地方财政支出资金983.84万元，该项目指标已全部完成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2.效益指标完成情况分析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（1）项目实施的经济效益分析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该项目为补助类项目，未涉及经济效益。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（2）项目实施的社会效益分析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该项目的顺利实施，有效提高为民服务办事效率，促进干部工作的积极性，大大的提高了工作效率，社会效益指标已完成。　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（3）项目实施的生态效益分析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该项目为补助类项目，未涉及生态效益。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（4）项目实施的可持续影响分析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该项目的顺利实施，促进干部工作的积极性，大大的提高了工作效率，有效提高为民服务办事效率增强群众的幸福指数，提升群众基础。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3.满意度指标完成情况分析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按计划完成项目实施，已做满意度调查问卷，草场管护员满意率达98%，服务对象满意度指标完成。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（二）项目绩效目标未完成原因分析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2018年本项目绩效目标全部达成，不存在未完成原因分析。</w:t>
      </w:r>
    </w:p>
    <w:p>
      <w:pPr>
        <w:spacing w:line="560" w:lineRule="exac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五、其他需要说明的问题</w:t>
      </w:r>
    </w:p>
    <w:p>
      <w:pPr>
        <w:pStyle w:val="15"/>
        <w:shd w:val="clear" w:color="auto" w:fill="FFFFFF"/>
        <w:spacing w:line="560" w:lineRule="exact"/>
        <w:ind w:firstLine="624" w:firstLineChars="200"/>
        <w:jc w:val="left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（一）后续工作计划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将继续按照上级要求，落实好2019年乡镇基层干部补贴的预算工作，确保乡镇基层干部补贴能按时、足额的发放到他们手中。</w:t>
      </w:r>
    </w:p>
    <w:p>
      <w:pPr>
        <w:pStyle w:val="15"/>
        <w:shd w:val="clear" w:color="auto" w:fill="FFFFFF"/>
        <w:spacing w:line="560" w:lineRule="exact"/>
        <w:ind w:firstLine="624" w:firstLineChars="200"/>
        <w:jc w:val="left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（二）主要经验及做法、存在问题和建议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、主要经验及做法：为保障乡镇基层干部补贴项目的顺利实施，促进农村经济发展，县委组织部严格落实《关于进一步加强各项补助资金发放管理的通知》，每月20日前由乡镇党委对本月发放人员进行考核、统计、审核上报，与项目负责人进行对接，并进行审核，确保发放人员数量和发放金额准确无误。县委组织部统计汇总后，由县财政局统一拨付，杜绝截留、挤占、挪用等情况的发生。</w:t>
      </w:r>
    </w:p>
    <w:p>
      <w:pPr>
        <w:adjustRightInd w:val="0"/>
        <w:snapToGrid w:val="0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2、存在问题：</w:t>
      </w:r>
      <w:r>
        <w:rPr>
          <w:rFonts w:hint="eastAsia" w:ascii="仿宋_GB2312" w:hAnsi="仿宋_GB2312" w:eastAsia="仿宋_GB2312" w:cs="仿宋_GB2312"/>
          <w:bCs/>
          <w:color w:val="000000" w:themeColor="text1"/>
          <w:spacing w:val="-4"/>
          <w:sz w:val="32"/>
          <w:szCs w:val="32"/>
        </w:rPr>
        <w:t>通过预算绩效管理，发现了工作中存在的不足，如前期资金使用因项目手续准备不充分原因未按期支付，导致了资金滞缓，影响了项目的进度，造成了部分资金的浪费。</w:t>
      </w:r>
    </w:p>
    <w:p>
      <w:pPr>
        <w:adjustRightInd w:val="0"/>
        <w:snapToGrid w:val="0"/>
        <w:spacing w:line="560" w:lineRule="exact"/>
        <w:ind w:firstLine="624" w:firstLineChars="200"/>
        <w:jc w:val="left"/>
        <w:rPr>
          <w:rFonts w:ascii="仿宋_GB2312" w:hAnsi="仿宋_GB2312" w:eastAsia="仿宋_GB2312" w:cs="仿宋_GB2312"/>
          <w:bCs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3、建议：</w:t>
      </w: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全面了解2018年组织部资金项目资金的使用效率和效果，项目管理过程符合相关项目管理制度，完成了预期绩效目标及社会综合效益等。同时，通过开展自我评价来总结经验和教训，为财政转移支付项目今后的开展提供参考建议。</w:t>
      </w:r>
    </w:p>
    <w:p>
      <w:pPr>
        <w:pStyle w:val="15"/>
        <w:shd w:val="clear" w:color="auto" w:fill="FFFFFF"/>
        <w:spacing w:line="560" w:lineRule="exact"/>
        <w:ind w:firstLine="624" w:firstLineChars="200"/>
        <w:jc w:val="left"/>
        <w:rPr>
          <w:rFonts w:ascii="仿宋_GB2312" w:hAnsi="仿宋_GB2312" w:eastAsia="仿宋_GB2312" w:cs="仿宋_GB2312"/>
          <w:spacing w:val="-4"/>
          <w:sz w:val="32"/>
          <w:szCs w:val="32"/>
        </w:rPr>
      </w:pPr>
      <w:r>
        <w:rPr>
          <w:rFonts w:hint="eastAsia" w:ascii="仿宋_GB2312" w:hAnsi="仿宋_GB2312" w:eastAsia="仿宋_GB2312" w:cs="仿宋_GB2312"/>
          <w:spacing w:val="-4"/>
          <w:sz w:val="32"/>
          <w:szCs w:val="32"/>
        </w:rPr>
        <w:t>（三）其他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无其他说明内容</w:t>
      </w:r>
    </w:p>
    <w:p>
      <w:pPr>
        <w:spacing w:line="560" w:lineRule="exac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六、项目评价工作情况</w:t>
      </w:r>
    </w:p>
    <w:p>
      <w:pPr>
        <w:pStyle w:val="15"/>
        <w:shd w:val="clear" w:color="auto" w:fill="FFFFFF"/>
        <w:spacing w:line="560" w:lineRule="exact"/>
        <w:ind w:firstLine="640" w:firstLineChars="200"/>
        <w:jc w:val="left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全面了解基层干部绩效、三老人员、组长项目资金的使用效率和效果，项目管理过程规范，完成了预期绩效目标。同时，通过开展自我评价来总结经验和教训，为叶城县加依提勒克乡基层绩效、三老人员津贴及组长补助经费项目今后的开展提供参考建议</w:t>
      </w:r>
    </w:p>
    <w:p>
      <w:pPr>
        <w:spacing w:line="560" w:lineRule="exact"/>
        <w:ind w:firstLine="624" w:firstLineChars="200"/>
        <w:jc w:val="left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9"/>
          <w:rFonts w:hint="eastAsia" w:ascii="黑体" w:hAnsi="黑体" w:eastAsia="黑体" w:cs="黑体"/>
          <w:b w:val="0"/>
          <w:spacing w:val="-4"/>
          <w:sz w:val="32"/>
          <w:szCs w:val="32"/>
        </w:rPr>
        <w:t>七、附表</w:t>
      </w:r>
    </w:p>
    <w:p>
      <w:pPr>
        <w:spacing w:line="560" w:lineRule="exact"/>
        <w:ind w:firstLine="567"/>
        <w:jc w:val="center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pacing w:val="-4"/>
          <w:sz w:val="32"/>
          <w:szCs w:val="32"/>
        </w:rPr>
        <w:t>《项目支出绩效目标自评表》</w:t>
      </w: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_GB2312" w:hAnsi="仿宋_GB2312" w:eastAsia="仿宋_GB2312" w:cs="仿宋_GB2312"/>
          <w:b w:val="0"/>
          <w:spacing w:val="-4"/>
          <w:sz w:val="32"/>
          <w:szCs w:val="32"/>
        </w:rPr>
      </w:pPr>
    </w:p>
    <w:p>
      <w:pPr>
        <w:spacing w:line="560" w:lineRule="exact"/>
        <w:ind w:firstLine="640"/>
        <w:rPr>
          <w:rStyle w:val="19"/>
          <w:rFonts w:ascii="黑体" w:hAnsi="黑体" w:eastAsia="黑体" w:cs="黑体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60" w:lineRule="exact"/>
        <w:ind w:firstLine="567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p>
      <w:pPr>
        <w:spacing w:line="540" w:lineRule="exact"/>
        <w:rPr>
          <w:rStyle w:val="19"/>
          <w:rFonts w:ascii="仿宋" w:hAnsi="仿宋" w:eastAsia="仿宋"/>
          <w:b w:val="0"/>
          <w:spacing w:val="-4"/>
          <w:sz w:val="32"/>
          <w:szCs w:val="32"/>
        </w:rPr>
      </w:pP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8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WI2MmEzMWRkNWM0ODVhNDgwZmY3ZjA0OGNlNTg2ZWUifQ=="/>
  </w:docVars>
  <w:rsids>
    <w:rsidRoot w:val="00CA6457"/>
    <w:rsid w:val="00043D71"/>
    <w:rsid w:val="000448CF"/>
    <w:rsid w:val="00056465"/>
    <w:rsid w:val="00070F38"/>
    <w:rsid w:val="000F0AA6"/>
    <w:rsid w:val="00104E0B"/>
    <w:rsid w:val="00121AE4"/>
    <w:rsid w:val="00146AAD"/>
    <w:rsid w:val="00161567"/>
    <w:rsid w:val="001B2627"/>
    <w:rsid w:val="001B3A40"/>
    <w:rsid w:val="001E3226"/>
    <w:rsid w:val="001F6AE1"/>
    <w:rsid w:val="00204A1E"/>
    <w:rsid w:val="00215994"/>
    <w:rsid w:val="002412F9"/>
    <w:rsid w:val="002A1D21"/>
    <w:rsid w:val="00312BD9"/>
    <w:rsid w:val="00354D9B"/>
    <w:rsid w:val="003617E1"/>
    <w:rsid w:val="00375DBD"/>
    <w:rsid w:val="00393D0A"/>
    <w:rsid w:val="004366A8"/>
    <w:rsid w:val="00462CBC"/>
    <w:rsid w:val="004968B9"/>
    <w:rsid w:val="004E7E1F"/>
    <w:rsid w:val="00502BA7"/>
    <w:rsid w:val="005162F1"/>
    <w:rsid w:val="00531706"/>
    <w:rsid w:val="00535153"/>
    <w:rsid w:val="00554F82"/>
    <w:rsid w:val="0056390D"/>
    <w:rsid w:val="005719B0"/>
    <w:rsid w:val="005828DE"/>
    <w:rsid w:val="00587EC9"/>
    <w:rsid w:val="005D10D6"/>
    <w:rsid w:val="006207A2"/>
    <w:rsid w:val="006330D9"/>
    <w:rsid w:val="0064625D"/>
    <w:rsid w:val="006D002F"/>
    <w:rsid w:val="006D47E2"/>
    <w:rsid w:val="006F30E4"/>
    <w:rsid w:val="007075A6"/>
    <w:rsid w:val="0076004A"/>
    <w:rsid w:val="007907C0"/>
    <w:rsid w:val="007A4018"/>
    <w:rsid w:val="007D6430"/>
    <w:rsid w:val="007F6DCE"/>
    <w:rsid w:val="00811142"/>
    <w:rsid w:val="00855E3A"/>
    <w:rsid w:val="008A3E71"/>
    <w:rsid w:val="00922CB9"/>
    <w:rsid w:val="00925354"/>
    <w:rsid w:val="009C07D0"/>
    <w:rsid w:val="009E5CD9"/>
    <w:rsid w:val="00A15E99"/>
    <w:rsid w:val="00A26421"/>
    <w:rsid w:val="00A27CD7"/>
    <w:rsid w:val="00A4293B"/>
    <w:rsid w:val="00A67D50"/>
    <w:rsid w:val="00A73D17"/>
    <w:rsid w:val="00A8691A"/>
    <w:rsid w:val="00AC1946"/>
    <w:rsid w:val="00AE68B4"/>
    <w:rsid w:val="00AF65DC"/>
    <w:rsid w:val="00B04F55"/>
    <w:rsid w:val="00B05F2F"/>
    <w:rsid w:val="00B355E5"/>
    <w:rsid w:val="00B40063"/>
    <w:rsid w:val="00B41F61"/>
    <w:rsid w:val="00B61C3F"/>
    <w:rsid w:val="00B654E6"/>
    <w:rsid w:val="00B65B15"/>
    <w:rsid w:val="00B7312F"/>
    <w:rsid w:val="00BA46E6"/>
    <w:rsid w:val="00BA5B0E"/>
    <w:rsid w:val="00BD43E2"/>
    <w:rsid w:val="00C56C72"/>
    <w:rsid w:val="00CA6457"/>
    <w:rsid w:val="00CD2EAD"/>
    <w:rsid w:val="00CE538F"/>
    <w:rsid w:val="00CF2CFC"/>
    <w:rsid w:val="00CF7FAF"/>
    <w:rsid w:val="00D17F2E"/>
    <w:rsid w:val="00D30354"/>
    <w:rsid w:val="00D33447"/>
    <w:rsid w:val="00D76833"/>
    <w:rsid w:val="00D9117E"/>
    <w:rsid w:val="00DD00D8"/>
    <w:rsid w:val="00DE36CC"/>
    <w:rsid w:val="00DF42A0"/>
    <w:rsid w:val="00E56DCD"/>
    <w:rsid w:val="00E769FE"/>
    <w:rsid w:val="00E8730E"/>
    <w:rsid w:val="00EA2CBE"/>
    <w:rsid w:val="00EA44D5"/>
    <w:rsid w:val="00EE28D3"/>
    <w:rsid w:val="00EF222A"/>
    <w:rsid w:val="00EF3E4D"/>
    <w:rsid w:val="00F006D9"/>
    <w:rsid w:val="00F1180B"/>
    <w:rsid w:val="00F239AF"/>
    <w:rsid w:val="00F32FEE"/>
    <w:rsid w:val="00F42A3D"/>
    <w:rsid w:val="00FB10BB"/>
    <w:rsid w:val="011E5AE8"/>
    <w:rsid w:val="02DE3F32"/>
    <w:rsid w:val="02FF02C3"/>
    <w:rsid w:val="05003881"/>
    <w:rsid w:val="05D552D3"/>
    <w:rsid w:val="06361DF1"/>
    <w:rsid w:val="076E1E62"/>
    <w:rsid w:val="087C29CD"/>
    <w:rsid w:val="0C032198"/>
    <w:rsid w:val="0CE433BB"/>
    <w:rsid w:val="0EC10D73"/>
    <w:rsid w:val="0F6D5788"/>
    <w:rsid w:val="1308759E"/>
    <w:rsid w:val="1719482E"/>
    <w:rsid w:val="1BFC04FB"/>
    <w:rsid w:val="1C044D54"/>
    <w:rsid w:val="1ED45776"/>
    <w:rsid w:val="1F7A1BBD"/>
    <w:rsid w:val="22B37CAF"/>
    <w:rsid w:val="22D90636"/>
    <w:rsid w:val="23E81586"/>
    <w:rsid w:val="242D3EC7"/>
    <w:rsid w:val="27706340"/>
    <w:rsid w:val="28623BEB"/>
    <w:rsid w:val="289055EC"/>
    <w:rsid w:val="2D686C22"/>
    <w:rsid w:val="2D7557C5"/>
    <w:rsid w:val="2EC55F1B"/>
    <w:rsid w:val="2FC4720D"/>
    <w:rsid w:val="322E212E"/>
    <w:rsid w:val="33750488"/>
    <w:rsid w:val="3719054A"/>
    <w:rsid w:val="386A5DE0"/>
    <w:rsid w:val="388442A8"/>
    <w:rsid w:val="3A671AB5"/>
    <w:rsid w:val="3FA27439"/>
    <w:rsid w:val="3FB96A39"/>
    <w:rsid w:val="412F074C"/>
    <w:rsid w:val="423A47F6"/>
    <w:rsid w:val="429F7213"/>
    <w:rsid w:val="4C2538FF"/>
    <w:rsid w:val="4DB43047"/>
    <w:rsid w:val="4F193763"/>
    <w:rsid w:val="513E3C43"/>
    <w:rsid w:val="57775C31"/>
    <w:rsid w:val="5F6F0A6D"/>
    <w:rsid w:val="61002C40"/>
    <w:rsid w:val="63F11C85"/>
    <w:rsid w:val="65BB101C"/>
    <w:rsid w:val="68F51A30"/>
    <w:rsid w:val="699D58AC"/>
    <w:rsid w:val="6AE25E92"/>
    <w:rsid w:val="6F706C7D"/>
    <w:rsid w:val="715B7F94"/>
    <w:rsid w:val="71747DCE"/>
    <w:rsid w:val="730C4175"/>
    <w:rsid w:val="75F606A8"/>
    <w:rsid w:val="775D094C"/>
    <w:rsid w:val="7B2B147B"/>
    <w:rsid w:val="7BB37EF0"/>
    <w:rsid w:val="7BE55DF8"/>
    <w:rsid w:val="7D526FCD"/>
    <w:rsid w:val="7E2A0C8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2"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4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5"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6"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7"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8"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9"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8">
    <w:name w:val="Default Paragraph Font"/>
    <w:unhideWhenUsed/>
    <w:qFormat/>
    <w:uiPriority w:val="1"/>
  </w:style>
  <w:style w:type="table" w:default="1" w:styleId="17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6"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1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Normal (Web)"/>
    <w:basedOn w:val="1"/>
    <w:unhideWhenUsed/>
    <w:qFormat/>
    <w:uiPriority w:val="99"/>
    <w:rPr>
      <w:rFonts w:ascii="Calibri" w:hAnsi="Calibri"/>
      <w:sz w:val="24"/>
      <w:szCs w:val="20"/>
    </w:rPr>
  </w:style>
  <w:style w:type="paragraph" w:styleId="16">
    <w:name w:val="Title"/>
    <w:basedOn w:val="1"/>
    <w:next w:val="1"/>
    <w:link w:val="30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9">
    <w:name w:val="Strong"/>
    <w:basedOn w:val="18"/>
    <w:qFormat/>
    <w:uiPriority w:val="0"/>
    <w:rPr>
      <w:b/>
      <w:bCs/>
    </w:rPr>
  </w:style>
  <w:style w:type="character" w:styleId="20">
    <w:name w:val="Emphasis"/>
    <w:basedOn w:val="18"/>
    <w:qFormat/>
    <w:uiPriority w:val="20"/>
    <w:rPr>
      <w:rFonts w:asciiTheme="minorHAnsi" w:hAnsiTheme="minorHAnsi"/>
      <w:b/>
      <w:i/>
      <w:iCs/>
    </w:rPr>
  </w:style>
  <w:style w:type="character" w:customStyle="1" w:styleId="21">
    <w:name w:val="标题 1 Char"/>
    <w:basedOn w:val="18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2">
    <w:name w:val="标题 2 Char"/>
    <w:basedOn w:val="18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3">
    <w:name w:val="标题 3 Char"/>
    <w:basedOn w:val="18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4">
    <w:name w:val="标题 4 Char"/>
    <w:basedOn w:val="18"/>
    <w:link w:val="5"/>
    <w:semiHidden/>
    <w:qFormat/>
    <w:uiPriority w:val="9"/>
    <w:rPr>
      <w:b/>
      <w:bCs/>
      <w:sz w:val="28"/>
      <w:szCs w:val="28"/>
    </w:rPr>
  </w:style>
  <w:style w:type="character" w:customStyle="1" w:styleId="25">
    <w:name w:val="标题 5 Char"/>
    <w:basedOn w:val="18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6">
    <w:name w:val="标题 6 Char"/>
    <w:basedOn w:val="18"/>
    <w:link w:val="7"/>
    <w:semiHidden/>
    <w:qFormat/>
    <w:uiPriority w:val="9"/>
    <w:rPr>
      <w:b/>
      <w:bCs/>
    </w:rPr>
  </w:style>
  <w:style w:type="character" w:customStyle="1" w:styleId="27">
    <w:name w:val="标题 7 Char"/>
    <w:basedOn w:val="18"/>
    <w:link w:val="8"/>
    <w:semiHidden/>
    <w:qFormat/>
    <w:uiPriority w:val="9"/>
    <w:rPr>
      <w:sz w:val="24"/>
      <w:szCs w:val="24"/>
    </w:rPr>
  </w:style>
  <w:style w:type="character" w:customStyle="1" w:styleId="28">
    <w:name w:val="标题 8 Char"/>
    <w:basedOn w:val="18"/>
    <w:link w:val="9"/>
    <w:semiHidden/>
    <w:qFormat/>
    <w:uiPriority w:val="9"/>
    <w:rPr>
      <w:i/>
      <w:iCs/>
      <w:sz w:val="24"/>
      <w:szCs w:val="24"/>
    </w:rPr>
  </w:style>
  <w:style w:type="character" w:customStyle="1" w:styleId="29">
    <w:name w:val="标题 9 Char"/>
    <w:basedOn w:val="18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30">
    <w:name w:val="标题 Char"/>
    <w:basedOn w:val="18"/>
    <w:link w:val="16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1">
    <w:name w:val="副标题 Char"/>
    <w:basedOn w:val="18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2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3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4">
    <w:name w:val="Quote"/>
    <w:basedOn w:val="1"/>
    <w:next w:val="1"/>
    <w:link w:val="35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5">
    <w:name w:val="引用 Char"/>
    <w:basedOn w:val="18"/>
    <w:link w:val="34"/>
    <w:qFormat/>
    <w:uiPriority w:val="29"/>
    <w:rPr>
      <w:i/>
      <w:sz w:val="24"/>
      <w:szCs w:val="24"/>
    </w:rPr>
  </w:style>
  <w:style w:type="paragraph" w:styleId="36">
    <w:name w:val="Intense Quote"/>
    <w:basedOn w:val="1"/>
    <w:next w:val="1"/>
    <w:link w:val="37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7">
    <w:name w:val="明显引用 Char"/>
    <w:basedOn w:val="18"/>
    <w:link w:val="36"/>
    <w:qFormat/>
    <w:uiPriority w:val="30"/>
    <w:rPr>
      <w:b/>
      <w:i/>
      <w:sz w:val="24"/>
    </w:rPr>
  </w:style>
  <w:style w:type="character" w:customStyle="1" w:styleId="38">
    <w:name w:val="不明显强调1"/>
    <w:qFormat/>
    <w:uiPriority w:val="19"/>
    <w:rPr>
      <w:i/>
      <w:color w:val="585858" w:themeColor="text1" w:themeTint="A6"/>
    </w:rPr>
  </w:style>
  <w:style w:type="character" w:customStyle="1" w:styleId="39">
    <w:name w:val="明显强调1"/>
    <w:basedOn w:val="18"/>
    <w:qFormat/>
    <w:uiPriority w:val="21"/>
    <w:rPr>
      <w:b/>
      <w:i/>
      <w:sz w:val="24"/>
      <w:szCs w:val="24"/>
      <w:u w:val="single"/>
    </w:rPr>
  </w:style>
  <w:style w:type="character" w:customStyle="1" w:styleId="40">
    <w:name w:val="不明显参考1"/>
    <w:basedOn w:val="18"/>
    <w:qFormat/>
    <w:uiPriority w:val="31"/>
    <w:rPr>
      <w:sz w:val="24"/>
      <w:szCs w:val="24"/>
      <w:u w:val="single"/>
    </w:rPr>
  </w:style>
  <w:style w:type="character" w:customStyle="1" w:styleId="41">
    <w:name w:val="明显参考1"/>
    <w:basedOn w:val="18"/>
    <w:qFormat/>
    <w:uiPriority w:val="32"/>
    <w:rPr>
      <w:b/>
      <w:sz w:val="24"/>
      <w:u w:val="single"/>
    </w:rPr>
  </w:style>
  <w:style w:type="character" w:customStyle="1" w:styleId="42">
    <w:name w:val="书籍标题1"/>
    <w:basedOn w:val="18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3">
    <w:name w:val="TOC 标题1"/>
    <w:basedOn w:val="2"/>
    <w:next w:val="1"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4">
    <w:name w:val="页眉 Char"/>
    <w:basedOn w:val="18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页脚 Char"/>
    <w:basedOn w:val="18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6">
    <w:name w:val="批注框文本 Char"/>
    <w:basedOn w:val="18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8</Pages>
  <Words>550</Words>
  <Characters>3138</Characters>
  <Lines>26</Lines>
  <Paragraphs>7</Paragraphs>
  <TotalTime>0</TotalTime>
  <ScaleCrop>false</ScaleCrop>
  <LinksUpToDate>false</LinksUpToDate>
  <CharactersWithSpaces>3681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2019-01-23T01:29:00Z</dcterms:created>
  <dc:creator>赵 恺（预算处）</dc:creator>
  <cp:lastModifiedBy>Administrator</cp:lastModifiedBy>
  <cp:lastPrinted>2018-12-31T10:56:00Z</cp:lastPrinted>
  <dcterms:modified xsi:type="dcterms:W3CDTF">2024-01-15T08:22:59Z</dcterms:modified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50CCF605F44C42B28C8EFC8F09D74B22_12</vt:lpwstr>
  </property>
</Properties>
</file>