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黑体" w:hAnsi="黑体" w:eastAsia="黑体" w:cs="黑体"/>
          <w:b/>
          <w:kern w:val="0"/>
          <w:sz w:val="44"/>
          <w:szCs w:val="44"/>
        </w:rPr>
      </w:pPr>
      <w:r>
        <w:rPr>
          <w:rFonts w:hint="eastAsia" w:ascii="黑体" w:hAnsi="黑体" w:eastAsia="黑体" w:cs="黑体"/>
          <w:b/>
          <w:kern w:val="0"/>
          <w:sz w:val="44"/>
          <w:szCs w:val="44"/>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ascii="黑体" w:hAnsi="黑体" w:eastAsia="黑体" w:cs="黑体"/>
          <w:kern w:val="0"/>
          <w:sz w:val="32"/>
          <w:szCs w:val="32"/>
        </w:rPr>
      </w:pPr>
      <w:r>
        <w:rPr>
          <w:rFonts w:hint="eastAsia" w:ascii="黑体" w:hAnsi="黑体" w:eastAsia="黑体" w:cs="黑体"/>
          <w:kern w:val="0"/>
          <w:sz w:val="32"/>
          <w:szCs w:val="32"/>
        </w:rPr>
        <w:t>（2018年度）</w:t>
      </w: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项目名称：一事一议财政奖补资金项目</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实施单位（公章）：加依提勒克乡人民政府</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主管部门（公章）：加依提勒克乡人民政府</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项目负责人（签章）：彭新疆</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填报时间：2018年12月25日</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（一）项目单位基本情况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叶城县加依提勒克乡属党政机关行政部门，乡科级行政单位，辖25个行政村，全乡有维、回、汉等农牧民28550多人，农户7281户，全乡维吾尔族占98%，主要以种植核桃、小麦、玉米、设施农业为主，是叶城县城郊少数人口及农业大乡。编制人数</w:t>
      </w:r>
      <w:r>
        <w:rPr>
          <w:rFonts w:hint="eastAsia" w:ascii="仿宋_GB2312" w:hAnsi="仿宋_GB2312" w:eastAsia="仿宋_GB2312" w:cs="仿宋_GB2312"/>
          <w:sz w:val="32"/>
          <w:szCs w:val="32"/>
          <w:lang w:val="en-US" w:eastAsia="zh-CN"/>
        </w:rPr>
        <w:t>89</w:t>
      </w:r>
      <w:r>
        <w:rPr>
          <w:rFonts w:hint="eastAsia" w:ascii="仿宋_GB2312" w:hAnsi="仿宋_GB2312" w:eastAsia="仿宋_GB2312" w:cs="仿宋_GB2312"/>
          <w:sz w:val="32"/>
          <w:szCs w:val="32"/>
        </w:rPr>
        <w:t>人，其中：行政人员编制</w:t>
      </w:r>
      <w:r>
        <w:rPr>
          <w:rFonts w:hint="eastAsia" w:ascii="仿宋_GB2312" w:hAnsi="仿宋_GB2312" w:eastAsia="仿宋_GB2312" w:cs="仿宋_GB2312"/>
          <w:sz w:val="32"/>
          <w:szCs w:val="32"/>
          <w:lang w:val="en-US" w:eastAsia="zh-CN"/>
        </w:rPr>
        <w:t>54</w:t>
      </w:r>
      <w:r>
        <w:rPr>
          <w:rFonts w:hint="eastAsia" w:ascii="仿宋_GB2312" w:hAnsi="仿宋_GB2312" w:eastAsia="仿宋_GB2312" w:cs="仿宋_GB2312"/>
          <w:sz w:val="32"/>
          <w:szCs w:val="32"/>
        </w:rPr>
        <w:t>人，全额拨款事业单位人员编制</w:t>
      </w:r>
      <w:r>
        <w:rPr>
          <w:rFonts w:hint="eastAsia" w:ascii="仿宋_GB2312" w:hAnsi="仿宋_GB2312" w:eastAsia="仿宋_GB2312" w:cs="仿宋_GB2312"/>
          <w:sz w:val="32"/>
          <w:szCs w:val="32"/>
          <w:lang w:val="en-US" w:eastAsia="zh-CN"/>
        </w:rPr>
        <w:t>32</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工勤编制3人</w:t>
      </w:r>
      <w:r>
        <w:rPr>
          <w:rFonts w:hint="eastAsia" w:ascii="仿宋_GB2312" w:hAnsi="仿宋_GB2312" w:eastAsia="仿宋_GB2312" w:cs="仿宋_GB2312"/>
          <w:sz w:val="32"/>
          <w:szCs w:val="32"/>
        </w:rPr>
        <w:t>。实有在职人数111人，其中：行政在职56人，参照公务员管理的事业单位人员15人，事业在职34人，工勤在职人数6人。离退休人员0人，其中：离休人员0人，退休人员14人。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加依提勒克乡人民政府负责全乡党政行政管理事务。以科学发展观为指导，坚决贯彻执行人民政府的有关</w:t>
      </w:r>
      <w:r>
        <w:rPr>
          <w:rFonts w:hint="eastAsia" w:ascii="仿宋_GB2312" w:hAnsi="仿宋_GB2312" w:eastAsia="仿宋_GB2312" w:cs="仿宋_GB2312"/>
          <w:sz w:val="32"/>
          <w:szCs w:val="32"/>
          <w:lang w:eastAsia="zh-CN"/>
        </w:rPr>
        <w:t>方针</w:t>
      </w:r>
      <w:r>
        <w:rPr>
          <w:rFonts w:hint="eastAsia" w:ascii="仿宋_GB2312" w:hAnsi="仿宋_GB2312" w:eastAsia="仿宋_GB2312" w:cs="仿宋_GB2312"/>
          <w:sz w:val="32"/>
          <w:szCs w:val="32"/>
        </w:rPr>
        <w:t>政策指示，把党的各项优惠政策落实到实处，负责全乡经济</w:t>
      </w:r>
      <w:bookmarkStart w:id="0" w:name="_GoBack"/>
      <w:bookmarkEnd w:id="0"/>
      <w:r>
        <w:rPr>
          <w:rFonts w:hint="eastAsia" w:ascii="仿宋_GB2312" w:hAnsi="仿宋_GB2312" w:eastAsia="仿宋_GB2312" w:cs="仿宋_GB2312"/>
          <w:sz w:val="32"/>
          <w:szCs w:val="32"/>
        </w:rPr>
        <w:t>社会发展、社会事务管理、基层组织建设等全面工作。以全面建设社会主义新农村为根本出发点，不断深化美丽乡村建设，不断铸牢全乡经济社会发展基础，为全乡各族群众提供社会服务。</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（二）项目预算绩效目标设定情况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叶城县财政局下达叶城县加依提勒克乡2018年一事一议财政奖补资金项目资金50万元，主要用于完成一事一议奖补项目，购买垃圾桶20个，新建30平米水冲式公共厕所1座化粪池，铺设彩砖1451平方米，路沿石3800米，美化了村容村貌环境。　</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（一）项目资金安排落实、总投入等情况分析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根据新财综改〔2018〕10号、喀地综改［2018］10号（村级公益事业建设一事一议财政奖补）要求，本项目资金50万元，其中财政资金50万元，其他资金0万元，资金到位50万元；资金到位率100%。</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（二）项目资金实际使用情况分析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根据本年关于下达一事一议财政奖补资金项目资金的文件，到位资金50万元，本项目实际支付资金50万元。项目资金主要用于支付一事一议财政奖补资金项目费用50万元，结余0万元。”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根据中央和自治区项目资金管理办法的要求，加依提勒克乡人民政府严格按照项目资金规定的专项资金支持的项目条件和范围要求，严格按照有关规定使用管理项目资金。</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（三）项目资金管理情况分析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资金严格按照《叶城县加依提勒克乡资金管理制度》支付资金；资金支付由本单位分管地区领导、主管财务领导、地区财政局等各级部门审批审核；资金的支付有完整的审批程序和手续符合制度要求；不存在截留、挤占、挪用、虚列支出等情况。</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（一）项目组织情况分析</w:t>
      </w:r>
    </w:p>
    <w:p>
      <w:pPr>
        <w:spacing w:line="560" w:lineRule="exact"/>
        <w:ind w:firstLine="640" w:firstLineChars="200"/>
        <w:rPr>
          <w:rFonts w:ascii="仿宋_GB2312" w:hAnsi="仿宋_GB2312" w:eastAsia="仿宋_GB2312" w:cs="仿宋_GB2312"/>
          <w:sz w:val="32"/>
          <w:szCs w:val="32"/>
          <w:lang w:val="zh-TW" w:eastAsia="zh-TW"/>
        </w:rPr>
      </w:pPr>
      <w:r>
        <w:rPr>
          <w:rFonts w:hint="eastAsia" w:ascii="仿宋_GB2312" w:hAnsi="仿宋_GB2312" w:eastAsia="仿宋_GB2312" w:cs="仿宋_GB2312"/>
          <w:sz w:val="32"/>
          <w:szCs w:val="32"/>
          <w:lang w:val="zh-TW" w:eastAsia="zh-TW"/>
        </w:rPr>
        <w:t>该项目属于经常性零星项目,没有达到招投标限额,由本单位自行组织实施。实施过程均按照本单位制定的管理制度执行。</w:t>
      </w:r>
    </w:p>
    <w:p>
      <w:pPr>
        <w:spacing w:line="560" w:lineRule="exact"/>
        <w:ind w:firstLine="640" w:firstLineChars="200"/>
        <w:rPr>
          <w:rFonts w:ascii="仿宋_GB2312" w:hAnsi="仿宋_GB2312" w:eastAsia="仿宋_GB2312" w:cs="仿宋_GB2312"/>
          <w:sz w:val="32"/>
          <w:szCs w:val="32"/>
          <w:lang w:val="zh-TW" w:eastAsia="zh-TW"/>
        </w:rPr>
      </w:pPr>
      <w:r>
        <w:rPr>
          <w:rFonts w:hint="eastAsia" w:ascii="仿宋_GB2312" w:hAnsi="仿宋_GB2312" w:eastAsia="仿宋_GB2312" w:cs="仿宋_GB2312"/>
          <w:sz w:val="32"/>
          <w:szCs w:val="32"/>
          <w:lang w:val="zh-TW" w:eastAsia="zh-TW"/>
        </w:rPr>
        <w:t>本项目不存在调整情况。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zh-TW" w:eastAsia="zh-TW"/>
        </w:rPr>
        <w:t>本项目不存在检查验收程序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（二）项目管理情况分析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zh-TW" w:eastAsia="zh-TW"/>
        </w:rPr>
        <w:t>项目实施过程中，</w:t>
      </w:r>
      <w:r>
        <w:rPr>
          <w:rFonts w:hint="eastAsia" w:ascii="仿宋_GB2312" w:hAnsi="仿宋_GB2312" w:eastAsia="仿宋_GB2312" w:cs="仿宋_GB2312"/>
          <w:sz w:val="32"/>
          <w:szCs w:val="32"/>
          <w:lang w:val="zh-TW"/>
        </w:rPr>
        <w:t>严格</w:t>
      </w:r>
      <w:r>
        <w:rPr>
          <w:rFonts w:hint="eastAsia" w:ascii="仿宋_GB2312" w:hAnsi="仿宋_GB2312" w:eastAsia="仿宋_GB2312" w:cs="仿宋_GB2312"/>
          <w:sz w:val="32"/>
          <w:szCs w:val="32"/>
          <w:lang w:val="zh-TW" w:eastAsia="zh-TW"/>
        </w:rPr>
        <w:t>遵守相关法律法规和业务管理规定，项目资料齐全并及时归档。不定期对项目进度情况进行督导检查，对检查过程中发现的问题及时督促整改，确保了项目按时保质完成</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四、项目组织实施情况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（一）项目绩效目标完成情况分析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zh-TW" w:eastAsia="zh-TW"/>
        </w:rPr>
        <w:t>本项目共设置一级指标</w:t>
      </w:r>
      <w:r>
        <w:rPr>
          <w:rFonts w:hint="eastAsia" w:ascii="仿宋_GB2312" w:hAnsi="仿宋_GB2312" w:eastAsia="仿宋_GB2312" w:cs="仿宋_GB2312"/>
          <w:sz w:val="32"/>
          <w:szCs w:val="32"/>
          <w:lang w:val="zh-TW"/>
        </w:rPr>
        <w:t>三</w:t>
      </w:r>
      <w:r>
        <w:rPr>
          <w:rFonts w:hint="eastAsia" w:ascii="仿宋_GB2312" w:hAnsi="仿宋_GB2312" w:eastAsia="仿宋_GB2312" w:cs="仿宋_GB2312"/>
          <w:sz w:val="32"/>
          <w:szCs w:val="32"/>
          <w:lang w:val="zh-TW" w:eastAsia="zh-TW"/>
        </w:rPr>
        <w:t>个，二级指标</w:t>
      </w:r>
      <w:r>
        <w:rPr>
          <w:rFonts w:hint="eastAsia" w:ascii="仿宋_GB2312" w:hAnsi="仿宋_GB2312" w:eastAsia="仿宋_GB2312" w:cs="仿宋_GB2312"/>
          <w:sz w:val="32"/>
          <w:szCs w:val="32"/>
        </w:rPr>
        <w:t>7</w:t>
      </w:r>
      <w:r>
        <w:rPr>
          <w:rFonts w:hint="eastAsia" w:ascii="仿宋_GB2312" w:hAnsi="仿宋_GB2312" w:eastAsia="仿宋_GB2312" w:cs="仿宋_GB2312"/>
          <w:sz w:val="32"/>
          <w:szCs w:val="32"/>
          <w:lang w:val="zh-TW" w:eastAsia="zh-TW"/>
        </w:rPr>
        <w:t>个，三级指标</w:t>
      </w:r>
      <w:r>
        <w:rPr>
          <w:rFonts w:hint="eastAsia" w:ascii="仿宋_GB2312" w:hAnsi="仿宋_GB2312" w:eastAsia="仿宋_GB2312" w:cs="仿宋_GB2312"/>
          <w:sz w:val="32"/>
          <w:szCs w:val="32"/>
        </w:rPr>
        <w:t>12</w:t>
      </w:r>
      <w:r>
        <w:rPr>
          <w:rFonts w:hint="eastAsia" w:ascii="仿宋_GB2312" w:hAnsi="仿宋_GB2312" w:eastAsia="仿宋_GB2312" w:cs="仿宋_GB2312"/>
          <w:sz w:val="32"/>
          <w:szCs w:val="32"/>
          <w:lang w:val="zh-TW" w:eastAsia="zh-TW"/>
        </w:rPr>
        <w:t>个，其中已完成三级指标</w:t>
      </w:r>
      <w:r>
        <w:rPr>
          <w:rFonts w:hint="eastAsia" w:ascii="仿宋_GB2312" w:hAnsi="仿宋_GB2312" w:eastAsia="仿宋_GB2312" w:cs="仿宋_GB2312"/>
          <w:sz w:val="32"/>
          <w:szCs w:val="32"/>
        </w:rPr>
        <w:t>12</w:t>
      </w:r>
      <w:r>
        <w:rPr>
          <w:rFonts w:hint="eastAsia" w:ascii="仿宋_GB2312" w:hAnsi="仿宋_GB2312" w:eastAsia="仿宋_GB2312" w:cs="仿宋_GB2312"/>
          <w:sz w:val="32"/>
          <w:szCs w:val="32"/>
          <w:lang w:val="zh-TW" w:eastAsia="zh-TW"/>
        </w:rPr>
        <w:t>个，指标完成率为</w:t>
      </w:r>
      <w:r>
        <w:rPr>
          <w:rFonts w:hint="eastAsia" w:ascii="仿宋_GB2312" w:hAnsi="仿宋_GB2312" w:eastAsia="仿宋_GB2312" w:cs="仿宋_GB2312"/>
          <w:sz w:val="32"/>
          <w:szCs w:val="32"/>
        </w:rPr>
        <w:t>100</w:t>
      </w:r>
      <w:r>
        <w:rPr>
          <w:rFonts w:hint="eastAsia" w:ascii="仿宋_GB2312" w:hAnsi="仿宋_GB2312" w:eastAsia="仿宋_GB2312" w:cs="仿宋_GB2312"/>
          <w:sz w:val="32"/>
          <w:szCs w:val="32"/>
          <w:lang w:val="zh-TW" w:eastAsia="zh-TW"/>
        </w:rPr>
        <w:t>%。</w:t>
      </w:r>
      <w:r>
        <w:rPr>
          <w:rFonts w:hint="eastAsia" w:ascii="仿宋_GB2312" w:hAnsi="仿宋_GB2312" w:eastAsia="仿宋_GB2312" w:cs="仿宋_GB2312"/>
          <w:sz w:val="32"/>
          <w:szCs w:val="32"/>
        </w:rPr>
        <w:t>。根据年初设定的绩效目标，此项目自评得分为92分。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1.产出指标完成情况分析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（1）项目完成数量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数量指标全部完成情况：铺设路沿石面积1800平方米；化粪池5座/万元；垃圾桶62个,截止2018年年度绩效自评时，该项目已完成年度设定预期目标，完成率为100%。</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（2）项目完成质量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项目资金50万元</w:t>
      </w:r>
      <w:r>
        <w:rPr>
          <w:rFonts w:hint="eastAsia" w:ascii="仿宋_GB2312" w:hAnsi="仿宋_GB2312" w:eastAsia="仿宋_GB2312" w:cs="仿宋_GB2312"/>
          <w:color w:val="000000"/>
          <w:spacing w:val="-4"/>
          <w:sz w:val="32"/>
          <w:szCs w:val="32"/>
        </w:rPr>
        <w:t>，</w:t>
      </w:r>
      <w:r>
        <w:rPr>
          <w:rFonts w:hint="eastAsia" w:ascii="仿宋_GB2312" w:hAnsi="仿宋_GB2312" w:eastAsia="仿宋_GB2312" w:cs="仿宋_GB2312"/>
          <w:sz w:val="32"/>
          <w:szCs w:val="32"/>
        </w:rPr>
        <w:t>质量指标验收合格率100%,</w:t>
      </w:r>
      <w:r>
        <w:rPr>
          <w:rFonts w:hint="eastAsia" w:ascii="仿宋_GB2312" w:hAnsi="仿宋_GB2312" w:eastAsia="仿宋_GB2312" w:cs="仿宋_GB2312"/>
          <w:color w:val="000000"/>
          <w:spacing w:val="-4"/>
          <w:sz w:val="32"/>
          <w:szCs w:val="32"/>
        </w:rPr>
        <w:t>该项目严格按照相关要求进行支付，已全部支付完毕，未发现违规等问题</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（3）项目实施进度</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完成一事一议奖补项目，资金到位及时率100%,资金支付及时率100%,购买垃圾桶20个，新建30平米水冲式公共厕所1座化粪池，铺设彩砖1451平方米，路沿石3800米，美化了村容村貌环境。已该资金按照申报目标的进度进行，按报账制进行支付,该项目已经全部实施完毕。</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（4）项目成本节约情况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该项目铺设路沿石面积186.89元/平方米，化粪池0.12万元/座，桶0.0258万元个/。</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2.效益指标完成情况分析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（1）项目实施的经济效益分析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该项目为工程类项目，未涉及经济效益。</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（2）项目实施的社会效益分析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该项目为工程类项目，未涉社会效益。</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（3）项目实施的生态效益分析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该项目的顺利实施，美化环境，丰富的村容村貌环境，减少污染，有效的改善的百姓的生活环境，该项目指标已完成。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（4）项目实施的可持续影响分析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该项目的顺利实施，工程使用年限为5年，极大的改善的当前环境，有利于百姓出行，增强群众的幸福指数，提升群众基础。</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3.满意度指标完成情况分析</w:t>
      </w:r>
    </w:p>
    <w:p>
      <w:pPr>
        <w:spacing w:line="560" w:lineRule="exact"/>
        <w:ind w:firstLine="640" w:firstLineChars="200"/>
        <w:rPr>
          <w:rFonts w:ascii="仿宋_GB2312" w:hAnsi="仿宋_GB2312" w:eastAsia="仿宋_GB2312" w:cs="仿宋_GB2312"/>
          <w:sz w:val="32"/>
          <w:szCs w:val="32"/>
          <w:lang w:val="zh-TW" w:eastAsia="zh-TW"/>
        </w:rPr>
      </w:pPr>
      <w:r>
        <w:rPr>
          <w:rFonts w:hint="eastAsia" w:ascii="仿宋_GB2312" w:hAnsi="仿宋_GB2312" w:eastAsia="仿宋_GB2312" w:cs="仿宋_GB2312"/>
          <w:sz w:val="32"/>
          <w:szCs w:val="32"/>
        </w:rPr>
        <w:t>按计划完成项目实施，已做满意度调查问卷，群众满意率达98%，服务对象满意度指标完成。</w:t>
      </w:r>
    </w:p>
    <w:p>
      <w:pPr>
        <w:spacing w:line="560" w:lineRule="exact"/>
        <w:ind w:firstLine="640" w:firstLineChars="200"/>
        <w:rPr>
          <w:rFonts w:ascii="仿宋_GB2312" w:hAnsi="仿宋_GB2312" w:eastAsia="仿宋_GB2312" w:cs="仿宋_GB2312"/>
          <w:sz w:val="32"/>
          <w:szCs w:val="32"/>
          <w:lang w:val="zh-TW" w:eastAsia="zh-TW"/>
        </w:rPr>
      </w:pPr>
      <w:r>
        <w:rPr>
          <w:rFonts w:hint="eastAsia" w:ascii="仿宋_GB2312" w:hAnsi="仿宋_GB2312" w:eastAsia="仿宋_GB2312" w:cs="仿宋_GB2312"/>
          <w:sz w:val="32"/>
          <w:szCs w:val="32"/>
          <w:lang w:val="zh-TW" w:eastAsia="zh-TW"/>
        </w:rPr>
        <w:t>经济性：通过发放补贴，提高了</w:t>
      </w:r>
      <w:r>
        <w:rPr>
          <w:rFonts w:hint="eastAsia" w:ascii="仿宋_GB2312" w:hAnsi="仿宋_GB2312" w:eastAsia="仿宋_GB2312" w:cs="仿宋_GB2312"/>
          <w:sz w:val="32"/>
          <w:szCs w:val="32"/>
        </w:rPr>
        <w:t>生态环境得到改善</w:t>
      </w:r>
      <w:r>
        <w:rPr>
          <w:rFonts w:hint="eastAsia" w:ascii="仿宋_GB2312" w:hAnsi="仿宋_GB2312" w:eastAsia="仿宋_GB2312" w:cs="仿宋_GB2312"/>
          <w:sz w:val="32"/>
          <w:szCs w:val="32"/>
          <w:lang w:val="zh-TW" w:eastAsia="zh-TW"/>
        </w:rPr>
        <w:t>，提高了他们的生活水平和生活质量。</w:t>
      </w:r>
    </w:p>
    <w:p>
      <w:pPr>
        <w:spacing w:line="560" w:lineRule="exact"/>
        <w:ind w:firstLine="640" w:firstLineChars="200"/>
        <w:rPr>
          <w:rFonts w:ascii="仿宋_GB2312" w:hAnsi="仿宋_GB2312" w:eastAsia="仿宋_GB2312" w:cs="仿宋_GB2312"/>
          <w:sz w:val="32"/>
          <w:szCs w:val="32"/>
          <w:lang w:val="zh-TW" w:eastAsia="zh-TW"/>
        </w:rPr>
      </w:pPr>
      <w:r>
        <w:rPr>
          <w:rFonts w:hint="eastAsia" w:ascii="仿宋_GB2312" w:hAnsi="仿宋_GB2312" w:eastAsia="仿宋_GB2312" w:cs="仿宋_GB2312"/>
          <w:sz w:val="32"/>
          <w:szCs w:val="32"/>
          <w:lang w:val="zh-TW" w:eastAsia="zh-TW"/>
        </w:rPr>
        <w:t>效率性：通过发放补贴，</w:t>
      </w:r>
      <w:r>
        <w:rPr>
          <w:rFonts w:hint="eastAsia" w:ascii="仿宋_GB2312" w:hAnsi="仿宋_GB2312" w:eastAsia="仿宋_GB2312" w:cs="仿宋_GB2312"/>
          <w:sz w:val="32"/>
          <w:szCs w:val="32"/>
          <w:lang w:val="zh-TW"/>
        </w:rPr>
        <w:t>群众</w:t>
      </w:r>
      <w:r>
        <w:rPr>
          <w:rFonts w:hint="eastAsia" w:ascii="仿宋_GB2312" w:hAnsi="仿宋_GB2312" w:eastAsia="仿宋_GB2312" w:cs="仿宋_GB2312"/>
          <w:sz w:val="32"/>
          <w:szCs w:val="32"/>
          <w:lang w:val="zh-TW" w:eastAsia="zh-TW"/>
        </w:rPr>
        <w:t>有更大的热情投入到</w:t>
      </w:r>
      <w:r>
        <w:rPr>
          <w:rFonts w:hint="eastAsia" w:ascii="仿宋_GB2312" w:hAnsi="仿宋_GB2312" w:eastAsia="仿宋_GB2312" w:cs="仿宋_GB2312"/>
          <w:sz w:val="32"/>
          <w:szCs w:val="32"/>
          <w:lang w:val="zh-TW"/>
        </w:rPr>
        <w:t>农业生产</w:t>
      </w:r>
      <w:r>
        <w:rPr>
          <w:rFonts w:hint="eastAsia" w:ascii="仿宋_GB2312" w:hAnsi="仿宋_GB2312" w:eastAsia="仿宋_GB2312" w:cs="仿宋_GB2312"/>
          <w:sz w:val="32"/>
          <w:szCs w:val="32"/>
          <w:lang w:val="zh-TW" w:eastAsia="zh-TW"/>
        </w:rPr>
        <w:t>当中，为社会</w:t>
      </w:r>
      <w:r>
        <w:rPr>
          <w:rFonts w:hint="eastAsia" w:ascii="仿宋_GB2312" w:hAnsi="仿宋_GB2312" w:eastAsia="仿宋_GB2312" w:cs="仿宋_GB2312"/>
          <w:sz w:val="32"/>
          <w:szCs w:val="32"/>
          <w:lang w:val="zh-TW"/>
        </w:rPr>
        <w:t>发展</w:t>
      </w:r>
      <w:r>
        <w:rPr>
          <w:rFonts w:hint="eastAsia" w:ascii="仿宋_GB2312" w:hAnsi="仿宋_GB2312" w:eastAsia="仿宋_GB2312" w:cs="仿宋_GB2312"/>
          <w:sz w:val="32"/>
          <w:szCs w:val="32"/>
          <w:lang w:val="zh-TW" w:eastAsia="zh-TW"/>
        </w:rPr>
        <w:t>贡献力量。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zh-TW" w:eastAsia="zh-TW"/>
        </w:rPr>
        <w:t>效益性：通过大力宣传和实际行动，逐步转变群众的思想</w:t>
      </w:r>
      <w:r>
        <w:rPr>
          <w:rFonts w:hint="eastAsia" w:ascii="仿宋_GB2312" w:hAnsi="仿宋_GB2312" w:eastAsia="仿宋_GB2312" w:cs="仿宋_GB2312"/>
          <w:sz w:val="32"/>
          <w:szCs w:val="32"/>
          <w:lang w:val="zh-TW"/>
        </w:rPr>
        <w:t>认识</w:t>
      </w:r>
      <w:r>
        <w:rPr>
          <w:rFonts w:hint="eastAsia" w:ascii="仿宋_GB2312" w:hAnsi="仿宋_GB2312" w:eastAsia="仿宋_GB2312" w:cs="仿宋_GB2312"/>
          <w:sz w:val="32"/>
          <w:szCs w:val="32"/>
          <w:lang w:val="zh-TW" w:eastAsia="zh-TW"/>
        </w:rPr>
        <w:t>，共同为建设美好家园而努力</w:t>
      </w:r>
      <w:r>
        <w:rPr>
          <w:rFonts w:hint="eastAsia" w:ascii="仿宋_GB2312" w:hAnsi="仿宋_GB2312" w:eastAsia="仿宋_GB2312" w:cs="仿宋_GB2312"/>
          <w:sz w:val="32"/>
          <w:szCs w:val="32"/>
          <w:lang w:val="zh-TW"/>
        </w:rPr>
        <w:t>奋斗</w:t>
      </w:r>
      <w:r>
        <w:rPr>
          <w:rFonts w:hint="eastAsia" w:ascii="仿宋_GB2312" w:hAnsi="仿宋_GB2312" w:eastAsia="仿宋_GB2312" w:cs="仿宋_GB2312"/>
          <w:sz w:val="32"/>
          <w:szCs w:val="32"/>
          <w:lang w:val="zh-TW" w:eastAsia="zh-TW"/>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（二）项目绩效目标未完成原因分析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无</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（一）后续工作计划</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加依提勒克乡人民政府在2018年一事一议财政奖补资金项目　设补助项目中，严把支出关，确保了专项资金在关键地方，有效地杜绝了挤占挪用、虚报冒领等套取财政资金违规行为。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（二）主要经验及做法、存在问题和建议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1、主要经验及做法</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落实管理规定，理顺管理体制。全面贯彻落实《叶城县加依提勒克乡项目资金管理办法》，把各项政策规定落到实处。将一事一议财政奖补资金项目纳入本乡镇经济社会发展规划，作为工作和谐发展的重要任务。各个职能部门各司其职、协调配合。建立由乡纪检核实，根据相关文件制定标准、财政部门负责及时拨付资金、乡镇负责一事一议财政奖补资金项目的安排管理和使用的工作机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加大保障力度，提高保障水平。在严把人员入口、确保人员素质、加强考核管理的基础上，全面提人民群众日常文化活动多样性，严格按照相关规定拨付资金，切实保障资金的合法权益。</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2、存在的问题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通过预算绩效管理，发现了工作中存在的不足，前期人员不足在问题，通过进一步核查，确认项目完工进度，按照其合同约定进行支付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3、建议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年初做好资金计划，按照项目进度及时拨付资金，使资金使用效益最大化，减少不必要的浪费，节约成本。</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（三）其他</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无其他说明内容</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本次评价通过文件研读、实地调研、数据分析等方式，全面了解一事一议财政奖补资金项目资金的使用效率和效果，项目管理过程合法合规，按期完成了预期绩效目标等。同时，通过开展自我评价来总结经验和教训，为加依提勒克乡一事一议财政奖补资金项目今后的开展提供参考建议。</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spacing w:line="560" w:lineRule="exact"/>
        <w:ind w:firstLine="800" w:firstLineChars="250"/>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《自治区财政项目支出绩效自评表》</w:t>
      </w:r>
    </w:p>
    <w:p>
      <w:pPr>
        <w:spacing w:line="560" w:lineRule="exact"/>
        <w:ind w:firstLine="567"/>
        <w:rPr>
          <w:rStyle w:val="19"/>
          <w:rFonts w:ascii="仿宋_GB2312" w:hAnsi="仿宋_GB2312" w:eastAsia="仿宋_GB2312" w:cs="仿宋_GB2312"/>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7A"/>
    <w:family w:val="auto"/>
    <w:pitch w:val="default"/>
    <w:sig w:usb0="00000000" w:usb1="00000000" w:usb2="00000000" w:usb3="00000000" w:csb0="0004009F" w:csb1="DFD70000"/>
  </w:font>
  <w:font w:name="仿宋_GB2312">
    <w:panose1 w:val="02010609030101010101"/>
    <w:charset w:val="7A"/>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7</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WI2MmEzMWRkNWM0ODVhNDgwZmY3ZjA0OGNlNTg2ZWUifQ=="/>
  </w:docVars>
  <w:rsids>
    <w:rsidRoot w:val="00CA6457"/>
    <w:rsid w:val="00056465"/>
    <w:rsid w:val="000F5B96"/>
    <w:rsid w:val="00121AE4"/>
    <w:rsid w:val="00136BCC"/>
    <w:rsid w:val="00146AAD"/>
    <w:rsid w:val="00153202"/>
    <w:rsid w:val="0015796A"/>
    <w:rsid w:val="001B23F1"/>
    <w:rsid w:val="001B3A40"/>
    <w:rsid w:val="00220617"/>
    <w:rsid w:val="00311626"/>
    <w:rsid w:val="00321CBD"/>
    <w:rsid w:val="00330CC4"/>
    <w:rsid w:val="00347D87"/>
    <w:rsid w:val="0037078B"/>
    <w:rsid w:val="003C2CF9"/>
    <w:rsid w:val="004366A8"/>
    <w:rsid w:val="00502BA7"/>
    <w:rsid w:val="005125ED"/>
    <w:rsid w:val="005162F1"/>
    <w:rsid w:val="005203F2"/>
    <w:rsid w:val="00535153"/>
    <w:rsid w:val="00554F82"/>
    <w:rsid w:val="0056390D"/>
    <w:rsid w:val="005719B0"/>
    <w:rsid w:val="005D10D6"/>
    <w:rsid w:val="0063597F"/>
    <w:rsid w:val="00656E69"/>
    <w:rsid w:val="0070528D"/>
    <w:rsid w:val="007472EA"/>
    <w:rsid w:val="007A43FB"/>
    <w:rsid w:val="007A593B"/>
    <w:rsid w:val="007D32F0"/>
    <w:rsid w:val="007E6716"/>
    <w:rsid w:val="00855E3A"/>
    <w:rsid w:val="008E6B23"/>
    <w:rsid w:val="008F2612"/>
    <w:rsid w:val="00922CB9"/>
    <w:rsid w:val="0099379F"/>
    <w:rsid w:val="009A24BC"/>
    <w:rsid w:val="009E5CD9"/>
    <w:rsid w:val="00A26421"/>
    <w:rsid w:val="00A35C8A"/>
    <w:rsid w:val="00A4293B"/>
    <w:rsid w:val="00A67D50"/>
    <w:rsid w:val="00A8691A"/>
    <w:rsid w:val="00AA78D4"/>
    <w:rsid w:val="00AC1946"/>
    <w:rsid w:val="00B40063"/>
    <w:rsid w:val="00B41F61"/>
    <w:rsid w:val="00BA2447"/>
    <w:rsid w:val="00BA46E6"/>
    <w:rsid w:val="00BF7355"/>
    <w:rsid w:val="00C472D5"/>
    <w:rsid w:val="00C56C72"/>
    <w:rsid w:val="00C87A8E"/>
    <w:rsid w:val="00C95952"/>
    <w:rsid w:val="00CA6457"/>
    <w:rsid w:val="00CB0722"/>
    <w:rsid w:val="00D17F2E"/>
    <w:rsid w:val="00D30354"/>
    <w:rsid w:val="00D35A5E"/>
    <w:rsid w:val="00D43447"/>
    <w:rsid w:val="00DD1016"/>
    <w:rsid w:val="00DF42A0"/>
    <w:rsid w:val="00E15D20"/>
    <w:rsid w:val="00E32AE0"/>
    <w:rsid w:val="00E564B5"/>
    <w:rsid w:val="00E769FE"/>
    <w:rsid w:val="00EA2CBE"/>
    <w:rsid w:val="00F1564F"/>
    <w:rsid w:val="00F32FEE"/>
    <w:rsid w:val="00F4350E"/>
    <w:rsid w:val="00FB10BB"/>
    <w:rsid w:val="00FC3B55"/>
    <w:rsid w:val="00FE11B9"/>
    <w:rsid w:val="02E37DE9"/>
    <w:rsid w:val="054C5AE3"/>
    <w:rsid w:val="06A14701"/>
    <w:rsid w:val="083F0C01"/>
    <w:rsid w:val="0B76055B"/>
    <w:rsid w:val="0D291126"/>
    <w:rsid w:val="0D5D5A45"/>
    <w:rsid w:val="0DDC4AED"/>
    <w:rsid w:val="11996927"/>
    <w:rsid w:val="11D47BF1"/>
    <w:rsid w:val="126F6E47"/>
    <w:rsid w:val="17E421EC"/>
    <w:rsid w:val="18D87474"/>
    <w:rsid w:val="1C730D48"/>
    <w:rsid w:val="1DDF7C8B"/>
    <w:rsid w:val="23CF754C"/>
    <w:rsid w:val="27320BFD"/>
    <w:rsid w:val="27372294"/>
    <w:rsid w:val="28042683"/>
    <w:rsid w:val="28193BD7"/>
    <w:rsid w:val="2BBB1C32"/>
    <w:rsid w:val="347362C2"/>
    <w:rsid w:val="35CA28F9"/>
    <w:rsid w:val="36A12FCE"/>
    <w:rsid w:val="3CAB4BB8"/>
    <w:rsid w:val="41871FC0"/>
    <w:rsid w:val="435936AC"/>
    <w:rsid w:val="44624E87"/>
    <w:rsid w:val="461F5139"/>
    <w:rsid w:val="4A9C02BF"/>
    <w:rsid w:val="4BEF0318"/>
    <w:rsid w:val="4E1833BF"/>
    <w:rsid w:val="506F375A"/>
    <w:rsid w:val="50DD221E"/>
    <w:rsid w:val="521731DB"/>
    <w:rsid w:val="54E210F0"/>
    <w:rsid w:val="563D2790"/>
    <w:rsid w:val="57DD6805"/>
    <w:rsid w:val="5B792C0C"/>
    <w:rsid w:val="5DA93AD7"/>
    <w:rsid w:val="6014614F"/>
    <w:rsid w:val="68BC63F1"/>
    <w:rsid w:val="69BF1C7A"/>
    <w:rsid w:val="6A123310"/>
    <w:rsid w:val="6AFE406F"/>
    <w:rsid w:val="6B4E5E61"/>
    <w:rsid w:val="6C241898"/>
    <w:rsid w:val="6E991FA9"/>
    <w:rsid w:val="706D7E1F"/>
    <w:rsid w:val="71B273B7"/>
    <w:rsid w:val="74AF6B03"/>
    <w:rsid w:val="76676FEE"/>
    <w:rsid w:val="79DC278F"/>
    <w:rsid w:val="7A851CC1"/>
    <w:rsid w:val="7CBE2642"/>
    <w:rsid w:val="7E267893"/>
    <w:rsid w:val="7F726E5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 w:type="character" w:customStyle="1" w:styleId="47">
    <w:name w:val="font61"/>
    <w:basedOn w:val="18"/>
    <w:qFormat/>
    <w:uiPriority w:val="0"/>
    <w:rPr>
      <w:rFonts w:hint="eastAsia" w:ascii="宋体" w:hAnsi="宋体" w:eastAsia="宋体" w:cs="宋体"/>
      <w:color w:val="000000"/>
      <w:sz w:val="24"/>
      <w:szCs w:val="24"/>
      <w:u w:val="none"/>
    </w:rPr>
  </w:style>
  <w:style w:type="character" w:customStyle="1" w:styleId="48">
    <w:name w:val="font11"/>
    <w:basedOn w:val="18"/>
    <w:qFormat/>
    <w:uiPriority w:val="0"/>
    <w:rPr>
      <w:rFonts w:hint="default" w:ascii="Times New Roman" w:hAnsi="Times New Roman" w:cs="Times New Roman"/>
      <w:color w:val="000000"/>
      <w:sz w:val="24"/>
      <w:szCs w:val="24"/>
      <w:u w:val="none"/>
    </w:rPr>
  </w:style>
  <w:style w:type="character" w:customStyle="1" w:styleId="49">
    <w:name w:val="font51"/>
    <w:basedOn w:val="18"/>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2707</Words>
  <Characters>2822</Characters>
  <Lines>20</Lines>
  <Paragraphs>5</Paragraphs>
  <TotalTime>0</TotalTime>
  <ScaleCrop>false</ScaleCrop>
  <LinksUpToDate>false</LinksUpToDate>
  <CharactersWithSpaces>2833</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2024-01-15T08:21:38Z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27AB2552A4BA4122B8BD5112D698DE18_12</vt:lpwstr>
  </property>
</Properties>
</file>