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jc w:val="center"/>
        <w:rPr>
          <w:rFonts w:hint="eastAsia"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b/>
          <w:kern w:val="0"/>
          <w:sz w:val="44"/>
          <w:szCs w:val="44"/>
        </w:rPr>
      </w:pPr>
      <w:r>
        <w:rPr>
          <w:rFonts w:hint="eastAsia" w:ascii="黑体" w:hAnsi="黑体" w:eastAsia="黑体" w:cs="黑体"/>
          <w:b/>
          <w:kern w:val="0"/>
          <w:sz w:val="44"/>
          <w:szCs w:val="44"/>
        </w:rPr>
        <w:t>自治区财政项目支出绩效自评报告</w:t>
      </w:r>
    </w:p>
    <w:p>
      <w:pPr>
        <w:spacing w:line="540" w:lineRule="exact"/>
        <w:jc w:val="center"/>
        <w:rPr>
          <w:rFonts w:ascii="华文中宋" w:hAnsi="华文中宋" w:eastAsia="华文中宋" w:cs="宋体"/>
          <w:b/>
          <w:kern w:val="0"/>
          <w:sz w:val="52"/>
          <w:szCs w:val="52"/>
        </w:rPr>
      </w:pPr>
    </w:p>
    <w:p>
      <w:pPr>
        <w:spacing w:line="540" w:lineRule="exact"/>
        <w:jc w:val="center"/>
        <w:rPr>
          <w:rFonts w:ascii="黑体" w:hAnsi="黑体" w:eastAsia="黑体" w:cs="黑体"/>
          <w:kern w:val="0"/>
          <w:sz w:val="32"/>
          <w:szCs w:val="32"/>
        </w:rPr>
      </w:pPr>
      <w:r>
        <w:rPr>
          <w:rFonts w:hint="eastAsia" w:ascii="黑体" w:hAnsi="黑体" w:eastAsia="黑体" w:cs="黑体"/>
          <w:kern w:val="0"/>
          <w:sz w:val="32"/>
          <w:szCs w:val="32"/>
        </w:rPr>
        <w:t>（2018年度）</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项目名称：防渗渠项目</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实施单位（公章）：加依提勒克乡人民政府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主管部门（公章）：加依提勒克乡人民政府</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项目负责人（签章）：彭新疆</w:t>
      </w:r>
    </w:p>
    <w:p>
      <w:pPr>
        <w:spacing w:line="700" w:lineRule="exact"/>
        <w:ind w:firstLine="640" w:firstLineChars="200"/>
        <w:jc w:val="left"/>
        <w:rPr>
          <w:rFonts w:ascii="黑体" w:hAnsi="黑体" w:eastAsia="黑体" w:cs="黑体"/>
          <w:kern w:val="0"/>
          <w:sz w:val="32"/>
          <w:szCs w:val="32"/>
        </w:rPr>
      </w:pPr>
      <w:r>
        <w:rPr>
          <w:rFonts w:hint="eastAsia" w:ascii="黑体" w:hAnsi="黑体" w:eastAsia="黑体" w:cs="黑体"/>
          <w:kern w:val="0"/>
          <w:sz w:val="32"/>
          <w:szCs w:val="32"/>
        </w:rPr>
        <w:t>填报时间：2018年12月25日</w:t>
      </w:r>
    </w:p>
    <w:p>
      <w:pPr>
        <w:spacing w:line="540" w:lineRule="exact"/>
        <w:jc w:val="center"/>
        <w:rPr>
          <w:rFonts w:ascii="黑体" w:hAnsi="黑体" w:eastAsia="黑体" w:cs="黑体"/>
          <w:kern w:val="0"/>
          <w:sz w:val="32"/>
          <w:szCs w:val="32"/>
        </w:rPr>
      </w:pPr>
    </w:p>
    <w:p>
      <w:pPr>
        <w:spacing w:line="540" w:lineRule="exact"/>
        <w:jc w:val="center"/>
        <w:rPr>
          <w:rFonts w:ascii="黑体" w:hAnsi="黑体" w:eastAsia="黑体" w:cs="黑体"/>
          <w:kern w:val="0"/>
          <w:sz w:val="32"/>
          <w:szCs w:val="32"/>
        </w:rPr>
      </w:pPr>
    </w:p>
    <w:p>
      <w:pPr>
        <w:spacing w:line="540" w:lineRule="exact"/>
        <w:jc w:val="center"/>
        <w:rPr>
          <w:rFonts w:hAnsi="宋体" w:eastAsia="仿宋_GB2312" w:cs="宋体"/>
          <w:kern w:val="0"/>
          <w:sz w:val="30"/>
          <w:szCs w:val="30"/>
        </w:rPr>
      </w:pPr>
    </w:p>
    <w:p>
      <w:pPr>
        <w:spacing w:line="540" w:lineRule="exact"/>
        <w:jc w:val="center"/>
        <w:rPr>
          <w:rFonts w:hAnsi="宋体" w:eastAsia="仿宋_GB2312" w:cs="宋体"/>
          <w:kern w:val="0"/>
          <w:sz w:val="30"/>
          <w:szCs w:val="30"/>
        </w:rPr>
      </w:pP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一、项目概况</w:t>
      </w:r>
    </w:p>
    <w:p>
      <w:pPr>
        <w:spacing w:line="560" w:lineRule="atLeast"/>
        <w:ind w:firstLine="800" w:firstLineChars="250"/>
        <w:rPr>
          <w:rFonts w:ascii="仿宋_GB2312" w:hAnsi="仿宋" w:eastAsia="仿宋_GB2312"/>
          <w:sz w:val="32"/>
          <w:szCs w:val="32"/>
        </w:rPr>
      </w:pPr>
      <w:r>
        <w:rPr>
          <w:rFonts w:hint="eastAsia" w:ascii="仿宋_GB2312" w:hAnsi="仿宋" w:eastAsia="仿宋_GB2312"/>
          <w:sz w:val="32"/>
          <w:szCs w:val="32"/>
        </w:rPr>
        <w:t>（一）项目单位基本情况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叶城县加依提勒克乡属党政机关行政部门，乡科级行政单位，辖25个行政村，全乡有维、回、汉等农牧民28550多人，农户7281户，全乡维吾尔族占98%，主要以种植核桃、小麦、玉米、设施农业为主，是叶城县城郊少数人口及农业大乡。</w:t>
      </w:r>
      <w:r>
        <w:rPr>
          <w:rFonts w:hint="eastAsia" w:ascii="仿宋_GB2312" w:hAnsi="仿宋_GB2312" w:eastAsia="仿宋_GB2312" w:cs="仿宋_GB2312"/>
          <w:sz w:val="32"/>
          <w:szCs w:val="32"/>
        </w:rPr>
        <w:t>编制人数</w:t>
      </w:r>
      <w:r>
        <w:rPr>
          <w:rFonts w:hint="eastAsia" w:ascii="仿宋_GB2312" w:hAnsi="仿宋_GB2312" w:eastAsia="仿宋_GB2312" w:cs="仿宋_GB2312"/>
          <w:sz w:val="32"/>
          <w:szCs w:val="32"/>
          <w:lang w:val="en-US" w:eastAsia="zh-CN"/>
        </w:rPr>
        <w:t>89</w:t>
      </w:r>
      <w:r>
        <w:rPr>
          <w:rFonts w:hint="eastAsia" w:ascii="仿宋_GB2312" w:hAnsi="仿宋_GB2312" w:eastAsia="仿宋_GB2312" w:cs="仿宋_GB2312"/>
          <w:sz w:val="32"/>
          <w:szCs w:val="32"/>
        </w:rPr>
        <w:t>人，其中：行政人员编制</w:t>
      </w:r>
      <w:r>
        <w:rPr>
          <w:rFonts w:hint="eastAsia" w:ascii="仿宋_GB2312" w:hAnsi="仿宋_GB2312" w:eastAsia="仿宋_GB2312" w:cs="仿宋_GB2312"/>
          <w:sz w:val="32"/>
          <w:szCs w:val="32"/>
          <w:lang w:val="en-US" w:eastAsia="zh-CN"/>
        </w:rPr>
        <w:t>54</w:t>
      </w:r>
      <w:r>
        <w:rPr>
          <w:rFonts w:hint="eastAsia" w:ascii="仿宋_GB2312" w:hAnsi="仿宋_GB2312" w:eastAsia="仿宋_GB2312" w:cs="仿宋_GB2312"/>
          <w:sz w:val="32"/>
          <w:szCs w:val="32"/>
        </w:rPr>
        <w:t>人，全额拨款事业单位人员编制</w:t>
      </w:r>
      <w:r>
        <w:rPr>
          <w:rFonts w:hint="eastAsia" w:ascii="仿宋_GB2312" w:hAnsi="仿宋_GB2312" w:eastAsia="仿宋_GB2312" w:cs="仿宋_GB2312"/>
          <w:sz w:val="32"/>
          <w:szCs w:val="32"/>
          <w:lang w:val="en-US" w:eastAsia="zh-CN"/>
        </w:rPr>
        <w:t>32</w:t>
      </w:r>
      <w:r>
        <w:rPr>
          <w:rFonts w:hint="eastAsia" w:ascii="仿宋_GB2312" w:hAnsi="仿宋_GB2312" w:eastAsia="仿宋_GB2312" w:cs="仿宋_GB2312"/>
          <w:sz w:val="32"/>
          <w:szCs w:val="32"/>
        </w:rPr>
        <w:t>人</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lang w:val="en-US" w:eastAsia="zh-CN"/>
        </w:rPr>
        <w:t>工勤编制3人</w:t>
      </w:r>
      <w:r>
        <w:rPr>
          <w:rFonts w:hint="eastAsia" w:ascii="仿宋_GB2312" w:hAnsi="仿宋_GB2312" w:eastAsia="仿宋_GB2312" w:cs="仿宋_GB2312"/>
          <w:sz w:val="32"/>
          <w:szCs w:val="32"/>
        </w:rPr>
        <w:t>。</w:t>
      </w:r>
      <w:r>
        <w:rPr>
          <w:rFonts w:hint="eastAsia" w:ascii="仿宋_GB2312" w:hAnsi="Arial" w:eastAsia="仿宋_GB2312" w:cs="Arial"/>
          <w:color w:val="000000" w:themeColor="text1"/>
          <w:sz w:val="32"/>
          <w:szCs w:val="32"/>
        </w:rPr>
        <w:t>实有在职人数111人，其中：行政在职56人，参照公务员管理的事业单位人员15人，事业在职34人，工勤在职人数6人。离退休人员0人，其中：离休人员0人，退休人员14人。</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加依提勒克乡人民政府负责全乡党政行政管理事务。以科学发展观为指导，坚决贯彻执行人民政府的有关</w:t>
      </w:r>
      <w:r>
        <w:rPr>
          <w:rFonts w:hint="eastAsia" w:ascii="仿宋_GB2312" w:hAnsi="仿宋" w:eastAsia="仿宋_GB2312"/>
          <w:sz w:val="32"/>
          <w:szCs w:val="32"/>
          <w:lang w:eastAsia="zh-CN"/>
        </w:rPr>
        <w:t>方针</w:t>
      </w:r>
      <w:r>
        <w:rPr>
          <w:rFonts w:hint="eastAsia" w:ascii="仿宋_GB2312" w:hAnsi="仿宋" w:eastAsia="仿宋_GB2312"/>
          <w:sz w:val="32"/>
          <w:szCs w:val="32"/>
        </w:rPr>
        <w:t>政策指示，把党的各项优惠政策落实到实处，负责全乡经济</w:t>
      </w:r>
      <w:bookmarkStart w:id="0" w:name="_GoBack"/>
      <w:bookmarkEnd w:id="0"/>
      <w:r>
        <w:rPr>
          <w:rFonts w:hint="eastAsia" w:ascii="仿宋_GB2312" w:hAnsi="仿宋" w:eastAsia="仿宋_GB2312"/>
          <w:sz w:val="32"/>
          <w:szCs w:val="32"/>
        </w:rPr>
        <w:t>社会发展、社会事务管理、基层组织建设等全面工作。以全面建设社会主义新农村为根本出发点，不断深化美丽乡村建设，不断铸牢全乡经济社会发展基础，为全乡各族群众提供社会服务。</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（二）项目预算绩效目标设定情况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叶城县财政局下达叶城县加依提勒克乡2018年防渗渠项目资金47.36万元，主要用于预计完成小型农田水利渠道改建780米,小型农田水利项目投资608元/米，惠及272.8亩农田完成灌溉。</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二、项目资金使用及管理情况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（一）项目资金安排落实、总投入等情况分析相关文号</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根据新财农〔2018〕30号、喀地财农［2018］17号（自治区农业高效节水建设补助专项）要求，本项目资金47.36万元，其中财政资金47.36万元，其他资金0万元，资金到位47.36万元；资金到位率100%。</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 xml:space="preserve">（二）项目资金实际使用情况分析   </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根据本年关于下达防渗渠项目资金的文件，到位资金47.36万元，本项目实际支付资金47.36万元。项目资金主要用于支付防渗渠项目费用47.36万元，结余0万元。”</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根据中央和自治区项目资金管理办法的要求，加依提勒克乡人民政府严格按照项目资金规定的专项资金支持的项目条件和范围要求，严格按照有关规定使用管理项目资金。</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（三）项目资金管理情况分析</w:t>
      </w:r>
    </w:p>
    <w:p>
      <w:pPr>
        <w:spacing w:line="560" w:lineRule="atLeast"/>
        <w:ind w:firstLine="640"/>
        <w:rPr>
          <w:rStyle w:val="19"/>
          <w:rFonts w:ascii="仿宋_GB2312" w:hAnsi="仿宋_GB2312" w:eastAsia="仿宋_GB2312" w:cs="仿宋_GB2312"/>
          <w:b w:val="0"/>
          <w:spacing w:val="-4"/>
          <w:sz w:val="32"/>
          <w:szCs w:val="32"/>
        </w:rPr>
      </w:pPr>
      <w:r>
        <w:rPr>
          <w:rFonts w:hint="eastAsia" w:ascii="仿宋_GB2312" w:hAnsi="仿宋" w:eastAsia="仿宋_GB2312"/>
          <w:sz w:val="32"/>
          <w:szCs w:val="32"/>
        </w:rPr>
        <w:t>本项目资金严格按照《叶城县加依提勒克乡资金管理制度》支付资金；资金支付由本单位分管地区领导、主管财务领导、地区财政局等各级部门审批审核；资金的</w:t>
      </w:r>
      <w:r>
        <w:rPr>
          <w:rFonts w:hint="eastAsia" w:ascii="仿宋_GB2312" w:hAnsi="仿宋_GB2312" w:eastAsia="仿宋_GB2312" w:cs="仿宋_GB2312"/>
          <w:sz w:val="32"/>
          <w:szCs w:val="32"/>
        </w:rPr>
        <w:t>支付有完整的审批程序和手续符合制度要求；不存在截留、挤占、挪用、虚列</w:t>
      </w:r>
      <w:r>
        <w:rPr>
          <w:rStyle w:val="19"/>
          <w:rFonts w:hint="eastAsia" w:ascii="仿宋_GB2312" w:hAnsi="仿宋_GB2312" w:eastAsia="仿宋_GB2312" w:cs="仿宋_GB2312"/>
          <w:b w:val="0"/>
          <w:spacing w:val="-4"/>
          <w:sz w:val="32"/>
          <w:szCs w:val="32"/>
        </w:rPr>
        <w:t>支出等情况。</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三、项目组织实施情况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（一）项目组织情况分析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该项目属于经常性零星项目,没有达到招投标限额,由本单位自行组织实施。实施过程均按照本单位制定的管理制度执行。</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本项目不存在调整情况。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lang w:val="zh-TW" w:eastAsia="zh-TW"/>
        </w:rPr>
        <w:t>本项目不存在检查验收程序</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（二）项目管理情况分析</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lang w:val="zh-TW" w:eastAsia="zh-TW"/>
        </w:rPr>
        <w:t>项目实施过程中，</w:t>
      </w:r>
      <w:r>
        <w:rPr>
          <w:rFonts w:hint="eastAsia" w:ascii="仿宋_GB2312" w:hAnsi="仿宋" w:eastAsia="仿宋_GB2312"/>
          <w:sz w:val="32"/>
          <w:szCs w:val="32"/>
          <w:lang w:val="zh-TW"/>
        </w:rPr>
        <w:t>严格</w:t>
      </w:r>
      <w:r>
        <w:rPr>
          <w:rFonts w:hint="eastAsia" w:ascii="仿宋_GB2312" w:hAnsi="仿宋" w:eastAsia="仿宋_GB2312"/>
          <w:sz w:val="32"/>
          <w:szCs w:val="32"/>
          <w:lang w:val="zh-TW" w:eastAsia="zh-TW"/>
        </w:rPr>
        <w:t>遵守相关法律法规和业务管理规定，项目资料齐全并及时归档。不定期对项目进度情况进行督导检查，对检查过程中发现的问题及时督促整改，确保了项目按时保质完成</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四、项目组织实施情况</w:t>
      </w:r>
    </w:p>
    <w:p>
      <w:pPr>
        <w:spacing w:line="560" w:lineRule="atLeast"/>
        <w:ind w:firstLine="627" w:firstLineChars="200"/>
        <w:rPr>
          <w:rFonts w:ascii="仿宋_GB2312" w:hAnsi="仿宋" w:eastAsia="仿宋_GB2312"/>
          <w:sz w:val="32"/>
          <w:szCs w:val="32"/>
          <w:lang w:val="zh-TW" w:eastAsia="zh-TW"/>
        </w:rPr>
      </w:pPr>
      <w:r>
        <w:rPr>
          <w:rFonts w:hint="eastAsia" w:ascii="楷体" w:hAnsi="楷体" w:eastAsia="楷体"/>
          <w:b/>
          <w:spacing w:val="-4"/>
          <w:sz w:val="32"/>
          <w:szCs w:val="32"/>
        </w:rPr>
        <w:t>（</w:t>
      </w:r>
      <w:r>
        <w:rPr>
          <w:rFonts w:hint="eastAsia" w:ascii="仿宋_GB2312" w:hAnsi="仿宋" w:eastAsia="仿宋_GB2312"/>
          <w:sz w:val="32"/>
          <w:szCs w:val="32"/>
          <w:lang w:val="zh-TW" w:eastAsia="zh-TW"/>
        </w:rPr>
        <w:t>一）项目绩效目标完成情况分析</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lang w:val="zh-TW" w:eastAsia="zh-TW"/>
        </w:rPr>
        <w:t>本项目共设置一级指标三个，二级指标</w:t>
      </w:r>
      <w:r>
        <w:rPr>
          <w:rFonts w:hint="eastAsia" w:ascii="仿宋_GB2312" w:hAnsi="仿宋" w:eastAsia="仿宋_GB2312"/>
          <w:sz w:val="32"/>
          <w:szCs w:val="32"/>
        </w:rPr>
        <w:t>9</w:t>
      </w:r>
      <w:r>
        <w:rPr>
          <w:rFonts w:hint="eastAsia" w:ascii="仿宋_GB2312" w:hAnsi="仿宋" w:eastAsia="仿宋_GB2312"/>
          <w:sz w:val="32"/>
          <w:szCs w:val="32"/>
          <w:lang w:val="zh-TW" w:eastAsia="zh-TW"/>
        </w:rPr>
        <w:t>个，三级指标</w:t>
      </w:r>
      <w:r>
        <w:rPr>
          <w:rFonts w:hint="eastAsia" w:ascii="仿宋_GB2312" w:hAnsi="仿宋" w:eastAsia="仿宋_GB2312"/>
          <w:sz w:val="32"/>
          <w:szCs w:val="32"/>
        </w:rPr>
        <w:t>10</w:t>
      </w:r>
      <w:r>
        <w:rPr>
          <w:rFonts w:hint="eastAsia" w:ascii="仿宋_GB2312" w:hAnsi="仿宋" w:eastAsia="仿宋_GB2312"/>
          <w:sz w:val="32"/>
          <w:szCs w:val="32"/>
          <w:lang w:val="zh-TW" w:eastAsia="zh-TW"/>
        </w:rPr>
        <w:t>个，其中已完成三级指标</w:t>
      </w:r>
      <w:r>
        <w:rPr>
          <w:rFonts w:hint="eastAsia" w:ascii="仿宋_GB2312" w:hAnsi="仿宋" w:eastAsia="仿宋_GB2312"/>
          <w:sz w:val="32"/>
          <w:szCs w:val="32"/>
        </w:rPr>
        <w:t>10</w:t>
      </w:r>
      <w:r>
        <w:rPr>
          <w:rFonts w:hint="eastAsia" w:ascii="仿宋_GB2312" w:hAnsi="仿宋" w:eastAsia="仿宋_GB2312"/>
          <w:sz w:val="32"/>
          <w:szCs w:val="32"/>
          <w:lang w:val="zh-TW" w:eastAsia="zh-TW"/>
        </w:rPr>
        <w:t>个，指标完成率为100%。</w:t>
      </w:r>
      <w:r>
        <w:rPr>
          <w:rFonts w:hint="eastAsia" w:ascii="仿宋_GB2312" w:hAnsi="仿宋" w:eastAsia="仿宋_GB2312"/>
          <w:sz w:val="32"/>
          <w:szCs w:val="32"/>
        </w:rPr>
        <w:t>根据年初设定的绩效目标，此项目自评得分为9</w:t>
      </w:r>
      <w:r>
        <w:rPr>
          <w:rFonts w:hint="eastAsia" w:ascii="仿宋_GB2312" w:hAnsi="仿宋" w:eastAsia="仿宋_GB2312"/>
          <w:sz w:val="32"/>
          <w:szCs w:val="32"/>
          <w:lang w:val="en-US" w:eastAsia="zh-CN"/>
        </w:rPr>
        <w:t>5</w:t>
      </w:r>
      <w:r>
        <w:rPr>
          <w:rFonts w:hint="eastAsia" w:ascii="仿宋_GB2312" w:hAnsi="仿宋" w:eastAsia="仿宋_GB2312"/>
          <w:sz w:val="32"/>
          <w:szCs w:val="32"/>
        </w:rPr>
        <w:t>分。</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1.产出指标完成情况分析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（1）项目完成数量</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lang w:val="zh-TW" w:eastAsia="zh-TW"/>
        </w:rPr>
        <w:t>数量指标全部完成</w:t>
      </w:r>
      <w:r>
        <w:rPr>
          <w:rFonts w:hint="eastAsia" w:ascii="仿宋_GB2312" w:hAnsi="仿宋" w:eastAsia="仿宋_GB2312"/>
          <w:sz w:val="32"/>
          <w:szCs w:val="32"/>
          <w:lang w:val="zh-TW"/>
        </w:rPr>
        <w:t>情况：小型农田水利项目改建779米。已发放资金47.36万元，</w:t>
      </w:r>
      <w:r>
        <w:rPr>
          <w:rFonts w:hint="eastAsia" w:ascii="仿宋_GB2312" w:hAnsi="仿宋" w:eastAsia="仿宋_GB2312"/>
          <w:sz w:val="32"/>
          <w:szCs w:val="32"/>
        </w:rPr>
        <w:t>截止2018年年度绩效自评时，该项目已完成年度设定预期目标，完成率为100%。</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（2）项目完成质量</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rPr>
        <w:t>防渗渠项目工程质量合格率</w:t>
      </w:r>
      <w:r>
        <w:rPr>
          <w:rFonts w:hint="eastAsia" w:ascii="仿宋_GB2312" w:hAnsi="仿宋" w:eastAsia="仿宋_GB2312"/>
          <w:sz w:val="32"/>
          <w:szCs w:val="32"/>
        </w:rPr>
        <w:t>100%，</w:t>
      </w:r>
      <w:r>
        <w:rPr>
          <w:rFonts w:hint="eastAsia" w:ascii="仿宋_GB2312" w:hAnsi="仿宋" w:eastAsia="仿宋_GB2312"/>
          <w:sz w:val="32"/>
          <w:szCs w:val="32"/>
          <w:lang w:val="zh-TW" w:eastAsia="zh-TW"/>
        </w:rPr>
        <w:t>该项目严格按照</w:t>
      </w:r>
      <w:r>
        <w:rPr>
          <w:rFonts w:hint="eastAsia" w:ascii="仿宋_GB2312" w:hAnsi="仿宋" w:eastAsia="仿宋_GB2312"/>
          <w:sz w:val="32"/>
          <w:szCs w:val="32"/>
          <w:lang w:val="zh-TW"/>
        </w:rPr>
        <w:t>合同与工程进度进行支付</w:t>
      </w:r>
      <w:r>
        <w:rPr>
          <w:rFonts w:hint="eastAsia" w:ascii="仿宋_GB2312" w:hAnsi="仿宋" w:eastAsia="仿宋_GB2312"/>
          <w:sz w:val="32"/>
          <w:szCs w:val="32"/>
          <w:lang w:val="zh-TW" w:eastAsia="zh-TW"/>
        </w:rPr>
        <w:t>，</w:t>
      </w:r>
      <w:r>
        <w:rPr>
          <w:rFonts w:hint="eastAsia" w:ascii="仿宋_GB2312" w:hAnsi="仿宋" w:eastAsia="仿宋_GB2312"/>
          <w:sz w:val="32"/>
          <w:szCs w:val="32"/>
          <w:lang w:val="zh-TW"/>
        </w:rPr>
        <w:t>已全部发放完毕，</w:t>
      </w:r>
      <w:r>
        <w:rPr>
          <w:rFonts w:hint="eastAsia" w:ascii="仿宋_GB2312" w:hAnsi="仿宋" w:eastAsia="仿宋_GB2312"/>
          <w:sz w:val="32"/>
          <w:szCs w:val="32"/>
          <w:lang w:val="zh-TW" w:eastAsia="zh-TW"/>
        </w:rPr>
        <w:t>未</w:t>
      </w:r>
      <w:r>
        <w:rPr>
          <w:rFonts w:hint="eastAsia" w:ascii="仿宋_GB2312" w:hAnsi="仿宋" w:eastAsia="仿宋_GB2312"/>
          <w:sz w:val="32"/>
          <w:szCs w:val="32"/>
          <w:lang w:val="zh-TW"/>
        </w:rPr>
        <w:t>发现工程量不足，验收不合格等</w:t>
      </w:r>
      <w:r>
        <w:rPr>
          <w:rFonts w:hint="eastAsia" w:ascii="仿宋_GB2312" w:hAnsi="仿宋" w:eastAsia="仿宋_GB2312"/>
          <w:sz w:val="32"/>
          <w:szCs w:val="32"/>
          <w:lang w:val="zh-TW" w:eastAsia="zh-TW"/>
        </w:rPr>
        <w:t>问题</w:t>
      </w:r>
      <w:r>
        <w:rPr>
          <w:rFonts w:hint="eastAsia" w:ascii="仿宋_GB2312" w:hAnsi="仿宋" w:eastAsia="仿宋_GB2312"/>
          <w:sz w:val="32"/>
          <w:szCs w:val="32"/>
          <w:lang w:val="zh-TW"/>
        </w:rPr>
        <w:t>。</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（3）项目实施进度</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项目资金</w:t>
      </w:r>
      <w:r>
        <w:rPr>
          <w:rFonts w:hint="eastAsia" w:ascii="仿宋_GB2312" w:hAnsi="仿宋" w:eastAsia="仿宋_GB2312"/>
          <w:sz w:val="32"/>
          <w:szCs w:val="32"/>
          <w:lang w:val="zh-TW"/>
        </w:rPr>
        <w:t>1761.77</w:t>
      </w:r>
      <w:r>
        <w:rPr>
          <w:rFonts w:hint="eastAsia" w:ascii="仿宋_GB2312" w:hAnsi="仿宋" w:eastAsia="仿宋_GB2312"/>
          <w:sz w:val="32"/>
          <w:szCs w:val="32"/>
          <w:lang w:val="zh-TW" w:eastAsia="zh-TW"/>
        </w:rPr>
        <w:t>万元，资金到位及时率</w:t>
      </w:r>
      <w:r>
        <w:rPr>
          <w:rFonts w:hint="eastAsia" w:ascii="仿宋_GB2312" w:hAnsi="仿宋" w:eastAsia="仿宋_GB2312"/>
          <w:sz w:val="32"/>
          <w:szCs w:val="32"/>
          <w:lang w:val="zh-TW"/>
        </w:rPr>
        <w:t>100%，资金支付及时率100%。</w:t>
      </w:r>
      <w:r>
        <w:rPr>
          <w:rFonts w:hint="eastAsia" w:ascii="仿宋_GB2312" w:hAnsi="仿宋" w:eastAsia="仿宋_GB2312"/>
          <w:sz w:val="32"/>
          <w:szCs w:val="32"/>
        </w:rPr>
        <w:t>该资金</w:t>
      </w:r>
      <w:r>
        <w:rPr>
          <w:rFonts w:hint="eastAsia" w:ascii="仿宋_GB2312" w:hAnsi="仿宋" w:eastAsia="仿宋_GB2312"/>
          <w:sz w:val="32"/>
          <w:szCs w:val="32"/>
          <w:lang w:val="zh-TW" w:eastAsia="zh-TW"/>
        </w:rPr>
        <w:t>按照申报目标的进度进行</w:t>
      </w:r>
      <w:r>
        <w:rPr>
          <w:rFonts w:hint="eastAsia" w:ascii="仿宋_GB2312" w:hAnsi="仿宋" w:eastAsia="仿宋_GB2312"/>
          <w:sz w:val="32"/>
          <w:szCs w:val="32"/>
          <w:lang w:val="zh-TW"/>
        </w:rPr>
        <w:t>，</w:t>
      </w:r>
      <w:r>
        <w:rPr>
          <w:rFonts w:hint="eastAsia" w:ascii="仿宋_GB2312" w:hAnsi="仿宋" w:eastAsia="仿宋_GB2312"/>
          <w:sz w:val="32"/>
          <w:szCs w:val="32"/>
        </w:rPr>
        <w:t>按</w:t>
      </w:r>
      <w:r>
        <w:rPr>
          <w:rFonts w:hint="eastAsia" w:ascii="仿宋_GB2312" w:hAnsi="仿宋" w:eastAsia="仿宋_GB2312"/>
          <w:sz w:val="32"/>
          <w:szCs w:val="32"/>
          <w:lang w:val="zh-TW" w:eastAsia="zh-TW"/>
        </w:rPr>
        <w:t>该项目严格按照</w:t>
      </w:r>
      <w:r>
        <w:rPr>
          <w:rFonts w:hint="eastAsia" w:ascii="仿宋_GB2312" w:hAnsi="仿宋" w:eastAsia="仿宋_GB2312"/>
          <w:sz w:val="32"/>
          <w:szCs w:val="32"/>
          <w:lang w:val="zh-TW"/>
        </w:rPr>
        <w:t>合同与工程进度进行</w:t>
      </w:r>
      <w:r>
        <w:rPr>
          <w:rFonts w:hint="eastAsia" w:ascii="仿宋_GB2312" w:hAnsi="仿宋" w:eastAsia="仿宋_GB2312"/>
          <w:sz w:val="32"/>
          <w:szCs w:val="32"/>
        </w:rPr>
        <w:t>支付,</w:t>
      </w:r>
      <w:r>
        <w:rPr>
          <w:rFonts w:hint="eastAsia" w:ascii="仿宋_GB2312" w:hAnsi="仿宋" w:eastAsia="仿宋_GB2312"/>
          <w:sz w:val="32"/>
          <w:szCs w:val="32"/>
          <w:lang w:val="zh-TW" w:eastAsia="zh-TW"/>
        </w:rPr>
        <w:t>该项目已经全部实施完毕。</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项目</w:t>
      </w:r>
      <w:r>
        <w:rPr>
          <w:rFonts w:hint="eastAsia" w:ascii="仿宋_GB2312" w:hAnsi="仿宋" w:eastAsia="仿宋_GB2312"/>
          <w:sz w:val="32"/>
          <w:szCs w:val="32"/>
          <w:lang w:val="zh-TW"/>
        </w:rPr>
        <w:t>按照进度</w:t>
      </w:r>
      <w:r>
        <w:rPr>
          <w:rFonts w:hint="eastAsia" w:ascii="仿宋_GB2312" w:hAnsi="仿宋" w:eastAsia="仿宋_GB2312"/>
          <w:sz w:val="32"/>
          <w:szCs w:val="32"/>
          <w:lang w:val="zh-TW" w:eastAsia="zh-TW"/>
        </w:rPr>
        <w:t>已完成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（4）项目成本节约情况</w:t>
      </w:r>
    </w:p>
    <w:p>
      <w:pPr>
        <w:spacing w:line="560" w:lineRule="atLeast"/>
        <w:ind w:firstLine="640" w:firstLineChars="200"/>
        <w:rPr>
          <w:rFonts w:ascii="仿宋_GB2312" w:hAnsi="仿宋" w:eastAsia="仿宋_GB2312"/>
          <w:sz w:val="32"/>
          <w:szCs w:val="32"/>
          <w:lang w:val="zh-TW"/>
        </w:rPr>
      </w:pPr>
      <w:r>
        <w:rPr>
          <w:rFonts w:hint="eastAsia" w:ascii="仿宋_GB2312" w:hAnsi="仿宋" w:eastAsia="仿宋_GB2312"/>
          <w:sz w:val="32"/>
          <w:szCs w:val="32"/>
          <w:lang w:val="zh-TW"/>
        </w:rPr>
        <w:t>该项目为工程类项目,小型农田水利项目投资608元/米。</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2.效益指标完成情况分析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（1）项目实施的经济效益分析</w:t>
      </w:r>
    </w:p>
    <w:p>
      <w:pPr>
        <w:spacing w:line="560" w:lineRule="atLeast"/>
        <w:ind w:firstLine="640" w:firstLineChars="200"/>
        <w:rPr>
          <w:rFonts w:ascii="仿宋_GB2312" w:hAnsi="仿宋" w:eastAsia="仿宋_GB2312"/>
          <w:sz w:val="32"/>
          <w:szCs w:val="32"/>
          <w:lang w:val="zh-TW"/>
        </w:rPr>
      </w:pPr>
      <w:r>
        <w:rPr>
          <w:rFonts w:hint="eastAsia" w:ascii="仿宋_GB2312" w:hAnsi="仿宋" w:eastAsia="仿宋_GB2312"/>
          <w:sz w:val="32"/>
          <w:szCs w:val="32"/>
          <w:lang w:val="zh-TW"/>
        </w:rPr>
        <w:t>该项目顺利实施，极大的改善农民日常农作物的灌溉条件，农作物增产增收113.9元/户，增产增收明显提高，该项目指标已完成。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（2）项目实施的社会效益分析</w:t>
      </w:r>
    </w:p>
    <w:p>
      <w:pPr>
        <w:spacing w:line="560" w:lineRule="atLeast"/>
        <w:ind w:firstLine="640" w:firstLineChars="200"/>
        <w:rPr>
          <w:rFonts w:ascii="仿宋" w:hAnsi="仿宋" w:eastAsia="仿宋"/>
          <w:color w:val="000000"/>
          <w:spacing w:val="-4"/>
          <w:sz w:val="32"/>
          <w:szCs w:val="32"/>
        </w:rPr>
      </w:pPr>
      <w:r>
        <w:rPr>
          <w:rFonts w:hint="eastAsia" w:ascii="仿宋_GB2312" w:hAnsi="仿宋" w:eastAsia="仿宋_GB2312"/>
          <w:sz w:val="32"/>
          <w:szCs w:val="32"/>
          <w:lang w:val="zh-TW" w:eastAsia="zh-TW"/>
        </w:rPr>
        <w:t>改善贫困人口灌溉用水条件</w:t>
      </w:r>
      <w:r>
        <w:rPr>
          <w:rFonts w:hint="eastAsia" w:ascii="仿宋_GB2312" w:hAnsi="仿宋" w:eastAsia="仿宋_GB2312"/>
          <w:sz w:val="32"/>
          <w:szCs w:val="32"/>
        </w:rPr>
        <w:t>272.8亩</w:t>
      </w:r>
      <w:r>
        <w:rPr>
          <w:rFonts w:hint="eastAsia" w:ascii="仿宋_GB2312" w:hAnsi="仿宋" w:eastAsia="仿宋_GB2312"/>
          <w:sz w:val="32"/>
          <w:szCs w:val="32"/>
          <w:lang w:val="zh-TW"/>
        </w:rPr>
        <w:t>，该项目的顺利实施，可以保障加依提勒克乡乡2018年全乡居民的生活水平，均达到“两不愁”的目标。</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rPr>
        <w:t>该项目指标已完成。</w:t>
      </w:r>
      <w:r>
        <w:rPr>
          <w:rFonts w:hint="eastAsia" w:ascii="仿宋_GB2312" w:hAnsi="仿宋" w:eastAsia="仿宋_GB2312"/>
          <w:sz w:val="32"/>
          <w:szCs w:val="32"/>
          <w:lang w:val="zh-TW" w:eastAsia="zh-TW"/>
        </w:rPr>
        <w:t>　</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（3）项目实施的生态效益分析</w:t>
      </w:r>
    </w:p>
    <w:p>
      <w:pPr>
        <w:spacing w:line="560" w:lineRule="atLeast"/>
        <w:ind w:firstLine="640" w:firstLineChars="200"/>
        <w:rPr>
          <w:rFonts w:ascii="仿宋_GB2312" w:hAnsi="仿宋" w:eastAsia="仿宋_GB2312"/>
          <w:sz w:val="32"/>
          <w:szCs w:val="32"/>
          <w:lang w:val="zh-TW"/>
        </w:rPr>
      </w:pPr>
      <w:r>
        <w:rPr>
          <w:rFonts w:hint="eastAsia" w:ascii="仿宋_GB2312" w:hAnsi="仿宋" w:eastAsia="仿宋_GB2312"/>
          <w:sz w:val="32"/>
          <w:szCs w:val="32"/>
          <w:lang w:val="zh-TW"/>
        </w:rPr>
        <w:t>节约灌溉用水方量683.4立方米，极大的改善类水资源浪费，起到节约资源，加大水资源的利用率，该项目指标已完成。</w:t>
      </w:r>
      <w:r>
        <w:rPr>
          <w:rFonts w:hint="eastAsia" w:ascii="仿宋_GB2312" w:hAnsi="仿宋" w:eastAsia="仿宋_GB2312"/>
          <w:sz w:val="32"/>
          <w:szCs w:val="32"/>
          <w:lang w:val="zh-TW" w:eastAsia="zh-TW"/>
        </w:rPr>
        <w:t>　</w:t>
      </w:r>
      <w:r>
        <w:rPr>
          <w:rFonts w:hint="eastAsia" w:ascii="仿宋_GB2312" w:hAnsi="仿宋" w:eastAsia="仿宋_GB2312"/>
          <w:sz w:val="32"/>
          <w:szCs w:val="32"/>
          <w:lang w:val="zh-TW"/>
        </w:rPr>
        <w:t>　</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（4）项目实施的可持续影响分析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 xml:space="preserve">   </w:t>
      </w:r>
      <w:r>
        <w:rPr>
          <w:rFonts w:hint="eastAsia" w:ascii="仿宋_GB2312" w:hAnsi="仿宋" w:eastAsia="仿宋_GB2312"/>
          <w:sz w:val="32"/>
          <w:szCs w:val="32"/>
          <w:lang w:val="zh-TW"/>
        </w:rPr>
        <w:t>该项目的顺利实施，工程使用年限为20年，能明显提升全乡困难群众的基本生活水平，增强群众的幸福指数，提升群众基础。</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3.满意度指标完成情况分析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按计划完成项目实施，已做满意度调查问卷，群众满意率达9</w:t>
      </w:r>
      <w:r>
        <w:rPr>
          <w:rFonts w:hint="eastAsia" w:ascii="仿宋_GB2312" w:hAnsi="仿宋" w:eastAsia="仿宋_GB2312"/>
          <w:sz w:val="32"/>
          <w:szCs w:val="32"/>
        </w:rPr>
        <w:t>5</w:t>
      </w:r>
      <w:r>
        <w:rPr>
          <w:rFonts w:hint="eastAsia" w:ascii="仿宋_GB2312" w:hAnsi="仿宋" w:eastAsia="仿宋_GB2312"/>
          <w:sz w:val="32"/>
          <w:szCs w:val="32"/>
          <w:lang w:val="zh-TW" w:eastAsia="zh-TW"/>
        </w:rPr>
        <w:t>%，服务对象满意度指标完成。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经济性：通过发放补贴，提高了生态环境得到改善，提高了他们的生活水平和生活质量。</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效率性：通过发放补贴，</w:t>
      </w:r>
      <w:r>
        <w:rPr>
          <w:rFonts w:hint="eastAsia" w:ascii="仿宋_GB2312" w:hAnsi="仿宋" w:eastAsia="仿宋_GB2312"/>
          <w:sz w:val="32"/>
          <w:szCs w:val="32"/>
          <w:lang w:val="zh-TW"/>
        </w:rPr>
        <w:t>群众</w:t>
      </w:r>
      <w:r>
        <w:rPr>
          <w:rFonts w:hint="eastAsia" w:ascii="仿宋_GB2312" w:hAnsi="仿宋" w:eastAsia="仿宋_GB2312"/>
          <w:sz w:val="32"/>
          <w:szCs w:val="32"/>
          <w:lang w:val="zh-TW" w:eastAsia="zh-TW"/>
        </w:rPr>
        <w:t>有更大的热情投入到</w:t>
      </w:r>
      <w:r>
        <w:rPr>
          <w:rFonts w:hint="eastAsia" w:ascii="仿宋_GB2312" w:hAnsi="仿宋" w:eastAsia="仿宋_GB2312"/>
          <w:sz w:val="32"/>
          <w:szCs w:val="32"/>
          <w:lang w:val="zh-TW"/>
        </w:rPr>
        <w:t>农业生产</w:t>
      </w:r>
      <w:r>
        <w:rPr>
          <w:rFonts w:hint="eastAsia" w:ascii="仿宋_GB2312" w:hAnsi="仿宋" w:eastAsia="仿宋_GB2312"/>
          <w:sz w:val="32"/>
          <w:szCs w:val="32"/>
          <w:lang w:val="zh-TW" w:eastAsia="zh-TW"/>
        </w:rPr>
        <w:t>当中。</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效益性：通过大力宣传和实际行动，逐步转变群众的思想认识。</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（二）项目绩效目标未完成原因分析</w:t>
      </w:r>
    </w:p>
    <w:p>
      <w:pPr>
        <w:spacing w:line="560" w:lineRule="atLeast"/>
        <w:ind w:firstLine="640" w:firstLineChars="200"/>
        <w:rPr>
          <w:rFonts w:ascii="仿宋_GB2312" w:hAnsi="仿宋" w:eastAsia="仿宋_GB2312"/>
          <w:sz w:val="32"/>
          <w:szCs w:val="32"/>
          <w:lang w:val="zh-TW" w:eastAsia="zh-TW"/>
        </w:rPr>
      </w:pPr>
      <w:r>
        <w:rPr>
          <w:rFonts w:hint="eastAsia" w:ascii="仿宋_GB2312" w:hAnsi="仿宋" w:eastAsia="仿宋_GB2312"/>
          <w:sz w:val="32"/>
          <w:szCs w:val="32"/>
          <w:lang w:val="zh-TW" w:eastAsia="zh-TW"/>
        </w:rPr>
        <w:t>2018年本项目绩效目标全部达成，不存在未完成原因分析。</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五、其他需要说明的问题</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（一）后续工作计划</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目前2018年该防渗渠项目已完成通过对防渗渠项目资金的投入和管理，实现领域大事不出，小事不出，确保工作和谐发展，进行下一年的该项目工作。</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（二）主要经验及做法、存在问题和建议</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1、主要经验及做法</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落实管理规定，理顺管理体制。全面贯彻落实《叶城县加依提勒克乡项目资金管理办法》，把各项政策规定落到实处。将防渗渠项目纳入本乡镇经济社会发展规划，作为工作和谐发展的重要任务。各个职能部门各司其职、协调配合。建立由乡纪检核实，根据相关文件制定标准、财政部门负责及时拨付资金、乡镇负责防渗渠项目的安排管理和使用的工作机制。</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加大保障力度，提高保障水平。在严把人员入口、确保人员素质、加强考核管理的基础上，，严格按照相关规定拨付资金，切实保障项目资金的合法权益。</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2、存在的问题</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通过预算绩效管理，发现了工作中存在的不足，前期人员名单存在问题，通过进一步核查，确认名单无误进行资金发放，是的部分月份补贴发放暂缓，基本上按时发放。</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3、建议</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年初做好资金计划，按照项目进度及时拨付资金，使资金使用效益最大化，减少不必要的浪费，节约成本。</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（三）其他</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无其他说明内容</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六、项目评价工作情况</w:t>
      </w:r>
    </w:p>
    <w:p>
      <w:pPr>
        <w:spacing w:line="560" w:lineRule="atLeast"/>
        <w:ind w:firstLine="640" w:firstLineChars="200"/>
        <w:rPr>
          <w:rFonts w:ascii="仿宋_GB2312" w:hAnsi="仿宋" w:eastAsia="仿宋_GB2312"/>
          <w:sz w:val="32"/>
          <w:szCs w:val="32"/>
        </w:rPr>
      </w:pPr>
      <w:r>
        <w:rPr>
          <w:rFonts w:hint="eastAsia" w:ascii="仿宋_GB2312" w:hAnsi="仿宋" w:eastAsia="仿宋_GB2312"/>
          <w:sz w:val="32"/>
          <w:szCs w:val="32"/>
        </w:rPr>
        <w:t>本次评价通过文件研读、实地调研、数据分析等方式，全面了解防渗渠项目资金的使用效率和效果，项目管理过程合法合规，按期完成了预期绩效目标等。同时，通过开展自我评价来总结经验和教训，为加依提勒克乡防渗渠项目今后的开展提供参考建议。</w:t>
      </w:r>
    </w:p>
    <w:p>
      <w:pPr>
        <w:spacing w:line="560" w:lineRule="atLeast"/>
        <w:ind w:firstLine="640"/>
        <w:rPr>
          <w:rStyle w:val="19"/>
          <w:rFonts w:ascii="黑体" w:hAnsi="黑体" w:eastAsia="黑体" w:cs="黑体"/>
          <w:b w:val="0"/>
          <w:spacing w:val="-4"/>
          <w:sz w:val="32"/>
          <w:szCs w:val="32"/>
        </w:rPr>
      </w:pPr>
      <w:r>
        <w:rPr>
          <w:rStyle w:val="19"/>
          <w:rFonts w:hint="eastAsia" w:ascii="黑体" w:hAnsi="黑体" w:eastAsia="黑体" w:cs="黑体"/>
          <w:b w:val="0"/>
          <w:spacing w:val="-4"/>
          <w:sz w:val="32"/>
          <w:szCs w:val="32"/>
        </w:rPr>
        <w:t>七、附表</w:t>
      </w:r>
    </w:p>
    <w:p>
      <w:pPr>
        <w:spacing w:line="560" w:lineRule="atLeast"/>
        <w:ind w:firstLine="800" w:firstLineChars="250"/>
        <w:jc w:val="center"/>
        <w:rPr>
          <w:rFonts w:ascii="仿宋_GB2312" w:hAnsi="仿宋" w:eastAsia="仿宋_GB2312"/>
          <w:sz w:val="32"/>
          <w:szCs w:val="32"/>
        </w:rPr>
      </w:pPr>
      <w:r>
        <w:rPr>
          <w:rFonts w:hint="eastAsia" w:ascii="仿宋_GB2312" w:hAnsi="仿宋" w:eastAsia="仿宋_GB2312"/>
          <w:sz w:val="32"/>
          <w:szCs w:val="32"/>
        </w:rPr>
        <w:t>《自治区财政项目支出绩效自评表》</w:t>
      </w:r>
    </w:p>
    <w:p>
      <w:pPr>
        <w:spacing w:line="560" w:lineRule="atLeast"/>
        <w:ind w:firstLine="567"/>
        <w:rPr>
          <w:rStyle w:val="19"/>
          <w:rFonts w:ascii="仿宋" w:hAnsi="仿宋" w:eastAsia="仿宋"/>
          <w:b w:val="0"/>
          <w:spacing w:val="-4"/>
          <w:sz w:val="32"/>
          <w:szCs w:val="32"/>
        </w:rPr>
      </w:pPr>
    </w:p>
    <w:sectPr>
      <w:footerReference r:id="rId3" w:type="default"/>
      <w:pgSz w:w="11906" w:h="16838"/>
      <w:pgMar w:top="1440" w:right="1558"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Cambria">
    <w:panose1 w:val="02040503050406030204"/>
    <w:charset w:val="00"/>
    <w:family w:val="roman"/>
    <w:pitch w:val="default"/>
    <w:sig w:usb0="E00002FF" w:usb1="400004FF" w:usb2="00000000" w:usb3="00000000" w:csb0="2000019F" w:csb1="00000000"/>
  </w:font>
  <w:font w:name="华文中宋">
    <w:altName w:val="宋体"/>
    <w:panose1 w:val="02010600040101010101"/>
    <w:charset w:val="7A"/>
    <w:family w:val="auto"/>
    <w:pitch w:val="default"/>
    <w:sig w:usb0="00000000" w:usb1="00000000" w:usb2="00000000" w:usb3="00000000" w:csb0="0004009F" w:csb1="DFD70000"/>
  </w:font>
  <w:font w:name="仿宋_GB2312">
    <w:panose1 w:val="02010609030101010101"/>
    <w:charset w:val="7A"/>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2003363"/>
    </w:sdtPr>
    <w:sdtContent>
      <w:p>
        <w:pPr>
          <w:pStyle w:val="12"/>
          <w:jc w:val="center"/>
        </w:pPr>
        <w:r>
          <w:fldChar w:fldCharType="begin"/>
        </w:r>
        <w:r>
          <w:instrText xml:space="preserve">PAGE   \* MERGEFORMAT</w:instrText>
        </w:r>
        <w:r>
          <w:fldChar w:fldCharType="separate"/>
        </w:r>
        <w:r>
          <w:rPr>
            <w:lang w:val="zh-CN"/>
          </w:rPr>
          <w:t>6</w:t>
        </w:r>
        <w:r>
          <w:fldChar w:fldCharType="end"/>
        </w:r>
      </w:p>
    </w:sdtContent>
  </w:sdt>
  <w:p>
    <w:pPr>
      <w:pStyle w:val="12"/>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docVars>
    <w:docVar w:name="commondata" w:val="eyJoZGlkIjoiZWI2MmEzMWRkNWM0ODVhNDgwZmY3ZjA0OGNlNTg2ZWUifQ=="/>
  </w:docVars>
  <w:rsids>
    <w:rsidRoot w:val="00CA6457"/>
    <w:rsid w:val="000050AB"/>
    <w:rsid w:val="00056465"/>
    <w:rsid w:val="000A14A8"/>
    <w:rsid w:val="00121AE4"/>
    <w:rsid w:val="00136BCC"/>
    <w:rsid w:val="00146AAD"/>
    <w:rsid w:val="001B23F1"/>
    <w:rsid w:val="001B3A40"/>
    <w:rsid w:val="00220617"/>
    <w:rsid w:val="003002F4"/>
    <w:rsid w:val="00311626"/>
    <w:rsid w:val="00321CBD"/>
    <w:rsid w:val="00347D87"/>
    <w:rsid w:val="00363E6F"/>
    <w:rsid w:val="003C2CF9"/>
    <w:rsid w:val="004366A8"/>
    <w:rsid w:val="00502BA7"/>
    <w:rsid w:val="005162F1"/>
    <w:rsid w:val="00535153"/>
    <w:rsid w:val="00554F82"/>
    <w:rsid w:val="0056390D"/>
    <w:rsid w:val="005719B0"/>
    <w:rsid w:val="005D10D6"/>
    <w:rsid w:val="0063597F"/>
    <w:rsid w:val="00656E69"/>
    <w:rsid w:val="007A593B"/>
    <w:rsid w:val="007D32F0"/>
    <w:rsid w:val="007E6716"/>
    <w:rsid w:val="008230A1"/>
    <w:rsid w:val="00855E3A"/>
    <w:rsid w:val="008E6B23"/>
    <w:rsid w:val="008F2612"/>
    <w:rsid w:val="00922CB9"/>
    <w:rsid w:val="0099379F"/>
    <w:rsid w:val="009E5CD9"/>
    <w:rsid w:val="00A26421"/>
    <w:rsid w:val="00A4293B"/>
    <w:rsid w:val="00A46F2A"/>
    <w:rsid w:val="00A67D50"/>
    <w:rsid w:val="00A8691A"/>
    <w:rsid w:val="00AA78D4"/>
    <w:rsid w:val="00AC1946"/>
    <w:rsid w:val="00B20BA0"/>
    <w:rsid w:val="00B40063"/>
    <w:rsid w:val="00B41F61"/>
    <w:rsid w:val="00BA2447"/>
    <w:rsid w:val="00BA46E6"/>
    <w:rsid w:val="00BF7355"/>
    <w:rsid w:val="00C56C72"/>
    <w:rsid w:val="00C83B66"/>
    <w:rsid w:val="00C87A8E"/>
    <w:rsid w:val="00C95952"/>
    <w:rsid w:val="00CA6457"/>
    <w:rsid w:val="00CB0722"/>
    <w:rsid w:val="00CE355E"/>
    <w:rsid w:val="00D17F2E"/>
    <w:rsid w:val="00D30354"/>
    <w:rsid w:val="00D35A5E"/>
    <w:rsid w:val="00D72431"/>
    <w:rsid w:val="00DD1016"/>
    <w:rsid w:val="00DF42A0"/>
    <w:rsid w:val="00E32AE0"/>
    <w:rsid w:val="00E564B5"/>
    <w:rsid w:val="00E61BAA"/>
    <w:rsid w:val="00E769FE"/>
    <w:rsid w:val="00E7742D"/>
    <w:rsid w:val="00EA2CBE"/>
    <w:rsid w:val="00F1564F"/>
    <w:rsid w:val="00F32FEE"/>
    <w:rsid w:val="00FB10BB"/>
    <w:rsid w:val="00FC3B55"/>
    <w:rsid w:val="00FE11B9"/>
    <w:rsid w:val="02E37DE9"/>
    <w:rsid w:val="06A14701"/>
    <w:rsid w:val="083F0C01"/>
    <w:rsid w:val="0D291126"/>
    <w:rsid w:val="0D5D5A45"/>
    <w:rsid w:val="0DDC4AED"/>
    <w:rsid w:val="11D47BF1"/>
    <w:rsid w:val="126F6E47"/>
    <w:rsid w:val="131453EE"/>
    <w:rsid w:val="17E421EC"/>
    <w:rsid w:val="1DDF7C8B"/>
    <w:rsid w:val="23CF754C"/>
    <w:rsid w:val="256840F8"/>
    <w:rsid w:val="27320BFD"/>
    <w:rsid w:val="27372294"/>
    <w:rsid w:val="28042683"/>
    <w:rsid w:val="347362C2"/>
    <w:rsid w:val="34D22302"/>
    <w:rsid w:val="35CA28F9"/>
    <w:rsid w:val="36A12FCE"/>
    <w:rsid w:val="3CAB4BB8"/>
    <w:rsid w:val="41871FC0"/>
    <w:rsid w:val="435936AC"/>
    <w:rsid w:val="4BEF0318"/>
    <w:rsid w:val="506F375A"/>
    <w:rsid w:val="50DD221E"/>
    <w:rsid w:val="51DE0E83"/>
    <w:rsid w:val="563D2790"/>
    <w:rsid w:val="5B792C0C"/>
    <w:rsid w:val="6014614F"/>
    <w:rsid w:val="615A41C7"/>
    <w:rsid w:val="68255E76"/>
    <w:rsid w:val="688C0604"/>
    <w:rsid w:val="68BC63F1"/>
    <w:rsid w:val="6A123310"/>
    <w:rsid w:val="6AFE406F"/>
    <w:rsid w:val="6B4E5E61"/>
    <w:rsid w:val="6C241898"/>
    <w:rsid w:val="6E991FA9"/>
    <w:rsid w:val="706D7E1F"/>
    <w:rsid w:val="71B273B7"/>
    <w:rsid w:val="74AF6B03"/>
    <w:rsid w:val="76676FEE"/>
    <w:rsid w:val="78745CD3"/>
    <w:rsid w:val="79DC278F"/>
    <w:rsid w:val="7A851CC1"/>
    <w:rsid w:val="7B817315"/>
    <w:rsid w:val="7CBE2642"/>
    <w:rsid w:val="7CED1827"/>
    <w:rsid w:val="7E267893"/>
    <w:rsid w:val="7F726E5C"/>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semiHidden="0" w:name="heading 4"/>
    <w:lsdException w:qFormat="1" w:uiPriority="9" w:semiHidden="0" w:name="heading 5"/>
    <w:lsdException w:qFormat="1" w:uiPriority="9" w:semiHidden="0" w:name="heading 6"/>
    <w:lsdException w:qFormat="1" w:uiPriority="9" w:semiHidden="0" w:name="heading 7"/>
    <w:lsdException w:qFormat="1" w:uiPriority="9" w:semiHidden="0" w:name="heading 8"/>
    <w:lsdException w:qFormat="1" w:uiPriority="9" w:semiHidden="0"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0" w:semiHidden="0" w:name="Strong"/>
    <w:lsdException w:qFormat="1" w:unhideWhenUsed="0" w:uiPriority="20" w:semiHidden="0" w:name="Emphasis"/>
    <w:lsdException w:uiPriority="99" w:name="Document Map"/>
    <w:lsdException w:uiPriority="99"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qFormat="1" w:unhideWhenUsed="0" w:uiPriority="29" w:semiHidden="0" w:name="Quote"/>
    <w:lsdException w:qFormat="1" w:unhideWhenUsed="0" w:uiPriority="30" w:semiHidden="0" w:name="Intense Quote"/>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21"/>
    <w:qFormat/>
    <w:uiPriority w:val="9"/>
    <w:pPr>
      <w:keepNext/>
      <w:widowControl/>
      <w:spacing w:before="240" w:after="60"/>
      <w:jc w:val="left"/>
      <w:outlineLvl w:val="0"/>
    </w:pPr>
    <w:rPr>
      <w:rFonts w:asciiTheme="majorHAnsi" w:hAnsiTheme="majorHAnsi" w:eastAsiaTheme="majorEastAsia"/>
      <w:b/>
      <w:bCs/>
      <w:kern w:val="32"/>
      <w:sz w:val="32"/>
      <w:szCs w:val="32"/>
    </w:rPr>
  </w:style>
  <w:style w:type="paragraph" w:styleId="3">
    <w:name w:val="heading 2"/>
    <w:basedOn w:val="1"/>
    <w:next w:val="1"/>
    <w:link w:val="22"/>
    <w:unhideWhenUsed/>
    <w:qFormat/>
    <w:uiPriority w:val="9"/>
    <w:pPr>
      <w:keepNext/>
      <w:widowControl/>
      <w:spacing w:before="240" w:after="60"/>
      <w:jc w:val="left"/>
      <w:outlineLvl w:val="1"/>
    </w:pPr>
    <w:rPr>
      <w:rFonts w:asciiTheme="majorHAnsi" w:hAnsiTheme="majorHAnsi" w:eastAsiaTheme="majorEastAsia"/>
      <w:b/>
      <w:bCs/>
      <w:i/>
      <w:iCs/>
      <w:kern w:val="0"/>
      <w:sz w:val="28"/>
      <w:szCs w:val="28"/>
    </w:rPr>
  </w:style>
  <w:style w:type="paragraph" w:styleId="4">
    <w:name w:val="heading 3"/>
    <w:basedOn w:val="1"/>
    <w:next w:val="1"/>
    <w:link w:val="23"/>
    <w:unhideWhenUsed/>
    <w:qFormat/>
    <w:uiPriority w:val="9"/>
    <w:pPr>
      <w:keepNext/>
      <w:widowControl/>
      <w:spacing w:before="240" w:after="60"/>
      <w:jc w:val="left"/>
      <w:outlineLvl w:val="2"/>
    </w:pPr>
    <w:rPr>
      <w:rFonts w:asciiTheme="majorHAnsi" w:hAnsiTheme="majorHAnsi" w:eastAsiaTheme="majorEastAsia"/>
      <w:b/>
      <w:bCs/>
      <w:kern w:val="0"/>
      <w:sz w:val="26"/>
      <w:szCs w:val="26"/>
    </w:rPr>
  </w:style>
  <w:style w:type="paragraph" w:styleId="5">
    <w:name w:val="heading 4"/>
    <w:basedOn w:val="1"/>
    <w:next w:val="1"/>
    <w:link w:val="24"/>
    <w:unhideWhenUsed/>
    <w:qFormat/>
    <w:uiPriority w:val="9"/>
    <w:pPr>
      <w:keepNext/>
      <w:widowControl/>
      <w:spacing w:before="240" w:after="60"/>
      <w:jc w:val="left"/>
      <w:outlineLvl w:val="3"/>
    </w:pPr>
    <w:rPr>
      <w:rFonts w:asciiTheme="minorHAnsi" w:hAnsiTheme="minorHAnsi" w:eastAsiaTheme="minorEastAsia"/>
      <w:b/>
      <w:bCs/>
      <w:kern w:val="0"/>
      <w:sz w:val="28"/>
      <w:szCs w:val="28"/>
    </w:rPr>
  </w:style>
  <w:style w:type="paragraph" w:styleId="6">
    <w:name w:val="heading 5"/>
    <w:basedOn w:val="1"/>
    <w:next w:val="1"/>
    <w:link w:val="25"/>
    <w:unhideWhenUsed/>
    <w:qFormat/>
    <w:uiPriority w:val="9"/>
    <w:pPr>
      <w:widowControl/>
      <w:spacing w:before="240" w:after="60"/>
      <w:jc w:val="left"/>
      <w:outlineLvl w:val="4"/>
    </w:pPr>
    <w:rPr>
      <w:rFonts w:asciiTheme="minorHAnsi" w:hAnsiTheme="minorHAnsi" w:eastAsiaTheme="minorEastAsia"/>
      <w:b/>
      <w:bCs/>
      <w:i/>
      <w:iCs/>
      <w:kern w:val="0"/>
      <w:sz w:val="26"/>
      <w:szCs w:val="26"/>
    </w:rPr>
  </w:style>
  <w:style w:type="paragraph" w:styleId="7">
    <w:name w:val="heading 6"/>
    <w:basedOn w:val="1"/>
    <w:next w:val="1"/>
    <w:link w:val="26"/>
    <w:unhideWhenUsed/>
    <w:qFormat/>
    <w:uiPriority w:val="9"/>
    <w:pPr>
      <w:widowControl/>
      <w:spacing w:before="240" w:after="60"/>
      <w:jc w:val="left"/>
      <w:outlineLvl w:val="5"/>
    </w:pPr>
    <w:rPr>
      <w:rFonts w:asciiTheme="minorHAnsi" w:hAnsiTheme="minorHAnsi" w:eastAsiaTheme="minorEastAsia"/>
      <w:b/>
      <w:bCs/>
      <w:kern w:val="0"/>
      <w:sz w:val="22"/>
      <w:szCs w:val="22"/>
    </w:rPr>
  </w:style>
  <w:style w:type="paragraph" w:styleId="8">
    <w:name w:val="heading 7"/>
    <w:basedOn w:val="1"/>
    <w:next w:val="1"/>
    <w:link w:val="27"/>
    <w:unhideWhenUsed/>
    <w:qFormat/>
    <w:uiPriority w:val="9"/>
    <w:pPr>
      <w:widowControl/>
      <w:spacing w:before="240" w:after="60"/>
      <w:jc w:val="left"/>
      <w:outlineLvl w:val="6"/>
    </w:pPr>
    <w:rPr>
      <w:rFonts w:asciiTheme="minorHAnsi" w:hAnsiTheme="minorHAnsi" w:eastAsiaTheme="minorEastAsia"/>
      <w:kern w:val="0"/>
      <w:sz w:val="24"/>
    </w:rPr>
  </w:style>
  <w:style w:type="paragraph" w:styleId="9">
    <w:name w:val="heading 8"/>
    <w:basedOn w:val="1"/>
    <w:next w:val="1"/>
    <w:link w:val="28"/>
    <w:unhideWhenUsed/>
    <w:qFormat/>
    <w:uiPriority w:val="9"/>
    <w:pPr>
      <w:widowControl/>
      <w:spacing w:before="240" w:after="60"/>
      <w:jc w:val="left"/>
      <w:outlineLvl w:val="7"/>
    </w:pPr>
    <w:rPr>
      <w:rFonts w:asciiTheme="minorHAnsi" w:hAnsiTheme="minorHAnsi" w:eastAsiaTheme="minorEastAsia"/>
      <w:i/>
      <w:iCs/>
      <w:kern w:val="0"/>
      <w:sz w:val="24"/>
    </w:rPr>
  </w:style>
  <w:style w:type="paragraph" w:styleId="10">
    <w:name w:val="heading 9"/>
    <w:basedOn w:val="1"/>
    <w:next w:val="1"/>
    <w:link w:val="29"/>
    <w:unhideWhenUsed/>
    <w:qFormat/>
    <w:uiPriority w:val="9"/>
    <w:pPr>
      <w:widowControl/>
      <w:spacing w:before="240" w:after="60"/>
      <w:jc w:val="left"/>
      <w:outlineLvl w:val="8"/>
    </w:pPr>
    <w:rPr>
      <w:rFonts w:asciiTheme="majorHAnsi" w:hAnsiTheme="majorHAnsi" w:eastAsiaTheme="majorEastAsia"/>
      <w:kern w:val="0"/>
      <w:sz w:val="22"/>
      <w:szCs w:val="22"/>
    </w:rPr>
  </w:style>
  <w:style w:type="character" w:default="1" w:styleId="18">
    <w:name w:val="Default Paragraph Font"/>
    <w:unhideWhenUsed/>
    <w:qFormat/>
    <w:uiPriority w:val="1"/>
  </w:style>
  <w:style w:type="table" w:default="1" w:styleId="17">
    <w:name w:val="Normal Table"/>
    <w:unhideWhenUsed/>
    <w:qFormat/>
    <w:uiPriority w:val="99"/>
    <w:tblPr>
      <w:tblCellMar>
        <w:top w:w="0" w:type="dxa"/>
        <w:left w:w="108" w:type="dxa"/>
        <w:bottom w:w="0" w:type="dxa"/>
        <w:right w:w="108" w:type="dxa"/>
      </w:tblCellMar>
    </w:tblPr>
  </w:style>
  <w:style w:type="paragraph" w:styleId="11">
    <w:name w:val="Balloon Text"/>
    <w:basedOn w:val="1"/>
    <w:link w:val="46"/>
    <w:unhideWhenUsed/>
    <w:qFormat/>
    <w:uiPriority w:val="99"/>
    <w:rPr>
      <w:sz w:val="18"/>
      <w:szCs w:val="18"/>
    </w:rPr>
  </w:style>
  <w:style w:type="paragraph" w:styleId="12">
    <w:name w:val="footer"/>
    <w:basedOn w:val="1"/>
    <w:link w:val="45"/>
    <w:unhideWhenUsed/>
    <w:qFormat/>
    <w:uiPriority w:val="99"/>
    <w:pPr>
      <w:tabs>
        <w:tab w:val="center" w:pos="4153"/>
        <w:tab w:val="right" w:pos="8306"/>
      </w:tabs>
      <w:snapToGrid w:val="0"/>
      <w:jc w:val="left"/>
    </w:pPr>
    <w:rPr>
      <w:rFonts w:ascii="Calibri" w:hAnsi="Calibri"/>
      <w:sz w:val="18"/>
      <w:szCs w:val="18"/>
    </w:rPr>
  </w:style>
  <w:style w:type="paragraph" w:styleId="13">
    <w:name w:val="header"/>
    <w:basedOn w:val="1"/>
    <w:link w:val="44"/>
    <w:unhideWhenUsed/>
    <w:qFormat/>
    <w:uiPriority w:val="99"/>
    <w:pPr>
      <w:pBdr>
        <w:bottom w:val="single" w:color="auto" w:sz="6" w:space="1"/>
      </w:pBdr>
      <w:tabs>
        <w:tab w:val="center" w:pos="4153"/>
        <w:tab w:val="right" w:pos="8306"/>
      </w:tabs>
      <w:snapToGrid w:val="0"/>
      <w:jc w:val="center"/>
    </w:pPr>
    <w:rPr>
      <w:rFonts w:ascii="Calibri" w:hAnsi="Calibri"/>
      <w:sz w:val="18"/>
      <w:szCs w:val="18"/>
    </w:rPr>
  </w:style>
  <w:style w:type="paragraph" w:styleId="14">
    <w:name w:val="Subtitle"/>
    <w:basedOn w:val="1"/>
    <w:next w:val="1"/>
    <w:link w:val="31"/>
    <w:qFormat/>
    <w:uiPriority w:val="11"/>
    <w:pPr>
      <w:widowControl/>
      <w:spacing w:after="60"/>
      <w:jc w:val="center"/>
      <w:outlineLvl w:val="1"/>
    </w:pPr>
    <w:rPr>
      <w:rFonts w:asciiTheme="majorHAnsi" w:hAnsiTheme="majorHAnsi" w:eastAsiaTheme="majorEastAsia"/>
      <w:kern w:val="0"/>
      <w:sz w:val="24"/>
    </w:rPr>
  </w:style>
  <w:style w:type="paragraph" w:styleId="15">
    <w:name w:val="Normal (Web)"/>
    <w:basedOn w:val="1"/>
    <w:qFormat/>
    <w:uiPriority w:val="99"/>
    <w:rPr>
      <w:rFonts w:ascii="Calibri" w:hAnsi="Calibri"/>
      <w:sz w:val="24"/>
      <w:szCs w:val="20"/>
    </w:rPr>
  </w:style>
  <w:style w:type="paragraph" w:styleId="16">
    <w:name w:val="Title"/>
    <w:basedOn w:val="1"/>
    <w:next w:val="1"/>
    <w:link w:val="30"/>
    <w:qFormat/>
    <w:uiPriority w:val="10"/>
    <w:pPr>
      <w:widowControl/>
      <w:spacing w:before="240" w:after="60"/>
      <w:jc w:val="center"/>
      <w:outlineLvl w:val="0"/>
    </w:pPr>
    <w:rPr>
      <w:rFonts w:asciiTheme="majorHAnsi" w:hAnsiTheme="majorHAnsi" w:eastAsiaTheme="majorEastAsia"/>
      <w:b/>
      <w:bCs/>
      <w:kern w:val="28"/>
      <w:sz w:val="32"/>
      <w:szCs w:val="32"/>
    </w:rPr>
  </w:style>
  <w:style w:type="character" w:styleId="19">
    <w:name w:val="Strong"/>
    <w:basedOn w:val="18"/>
    <w:qFormat/>
    <w:uiPriority w:val="0"/>
    <w:rPr>
      <w:b/>
      <w:bCs/>
    </w:rPr>
  </w:style>
  <w:style w:type="character" w:styleId="20">
    <w:name w:val="Emphasis"/>
    <w:basedOn w:val="18"/>
    <w:qFormat/>
    <w:uiPriority w:val="20"/>
    <w:rPr>
      <w:rFonts w:asciiTheme="minorHAnsi" w:hAnsiTheme="minorHAnsi"/>
      <w:b/>
      <w:i/>
      <w:iCs/>
    </w:rPr>
  </w:style>
  <w:style w:type="character" w:customStyle="1" w:styleId="21">
    <w:name w:val="标题 1 Char"/>
    <w:basedOn w:val="18"/>
    <w:link w:val="2"/>
    <w:qFormat/>
    <w:uiPriority w:val="9"/>
    <w:rPr>
      <w:rFonts w:asciiTheme="majorHAnsi" w:hAnsiTheme="majorHAnsi" w:eastAsiaTheme="majorEastAsia"/>
      <w:b/>
      <w:bCs/>
      <w:kern w:val="32"/>
      <w:sz w:val="32"/>
      <w:szCs w:val="32"/>
    </w:rPr>
  </w:style>
  <w:style w:type="character" w:customStyle="1" w:styleId="22">
    <w:name w:val="标题 2 Char"/>
    <w:basedOn w:val="18"/>
    <w:link w:val="3"/>
    <w:semiHidden/>
    <w:qFormat/>
    <w:uiPriority w:val="9"/>
    <w:rPr>
      <w:rFonts w:asciiTheme="majorHAnsi" w:hAnsiTheme="majorHAnsi" w:eastAsiaTheme="majorEastAsia"/>
      <w:b/>
      <w:bCs/>
      <w:i/>
      <w:iCs/>
      <w:sz w:val="28"/>
      <w:szCs w:val="28"/>
    </w:rPr>
  </w:style>
  <w:style w:type="character" w:customStyle="1" w:styleId="23">
    <w:name w:val="标题 3 Char"/>
    <w:basedOn w:val="18"/>
    <w:link w:val="4"/>
    <w:semiHidden/>
    <w:qFormat/>
    <w:uiPriority w:val="9"/>
    <w:rPr>
      <w:rFonts w:asciiTheme="majorHAnsi" w:hAnsiTheme="majorHAnsi" w:eastAsiaTheme="majorEastAsia"/>
      <w:b/>
      <w:bCs/>
      <w:sz w:val="26"/>
      <w:szCs w:val="26"/>
    </w:rPr>
  </w:style>
  <w:style w:type="character" w:customStyle="1" w:styleId="24">
    <w:name w:val="标题 4 Char"/>
    <w:basedOn w:val="18"/>
    <w:link w:val="5"/>
    <w:semiHidden/>
    <w:qFormat/>
    <w:uiPriority w:val="9"/>
    <w:rPr>
      <w:b/>
      <w:bCs/>
      <w:sz w:val="28"/>
      <w:szCs w:val="28"/>
    </w:rPr>
  </w:style>
  <w:style w:type="character" w:customStyle="1" w:styleId="25">
    <w:name w:val="标题 5 Char"/>
    <w:basedOn w:val="18"/>
    <w:link w:val="6"/>
    <w:semiHidden/>
    <w:qFormat/>
    <w:uiPriority w:val="9"/>
    <w:rPr>
      <w:b/>
      <w:bCs/>
      <w:i/>
      <w:iCs/>
      <w:sz w:val="26"/>
      <w:szCs w:val="26"/>
    </w:rPr>
  </w:style>
  <w:style w:type="character" w:customStyle="1" w:styleId="26">
    <w:name w:val="标题 6 Char"/>
    <w:basedOn w:val="18"/>
    <w:link w:val="7"/>
    <w:semiHidden/>
    <w:qFormat/>
    <w:uiPriority w:val="9"/>
    <w:rPr>
      <w:b/>
      <w:bCs/>
    </w:rPr>
  </w:style>
  <w:style w:type="character" w:customStyle="1" w:styleId="27">
    <w:name w:val="标题 7 Char"/>
    <w:basedOn w:val="18"/>
    <w:link w:val="8"/>
    <w:semiHidden/>
    <w:qFormat/>
    <w:uiPriority w:val="9"/>
    <w:rPr>
      <w:sz w:val="24"/>
      <w:szCs w:val="24"/>
    </w:rPr>
  </w:style>
  <w:style w:type="character" w:customStyle="1" w:styleId="28">
    <w:name w:val="标题 8 Char"/>
    <w:basedOn w:val="18"/>
    <w:link w:val="9"/>
    <w:semiHidden/>
    <w:qFormat/>
    <w:uiPriority w:val="9"/>
    <w:rPr>
      <w:i/>
      <w:iCs/>
      <w:sz w:val="24"/>
      <w:szCs w:val="24"/>
    </w:rPr>
  </w:style>
  <w:style w:type="character" w:customStyle="1" w:styleId="29">
    <w:name w:val="标题 9 Char"/>
    <w:basedOn w:val="18"/>
    <w:link w:val="10"/>
    <w:semiHidden/>
    <w:qFormat/>
    <w:uiPriority w:val="9"/>
    <w:rPr>
      <w:rFonts w:asciiTheme="majorHAnsi" w:hAnsiTheme="majorHAnsi" w:eastAsiaTheme="majorEastAsia"/>
    </w:rPr>
  </w:style>
  <w:style w:type="character" w:customStyle="1" w:styleId="30">
    <w:name w:val="标题 Char"/>
    <w:basedOn w:val="18"/>
    <w:link w:val="16"/>
    <w:qFormat/>
    <w:uiPriority w:val="10"/>
    <w:rPr>
      <w:rFonts w:asciiTheme="majorHAnsi" w:hAnsiTheme="majorHAnsi" w:eastAsiaTheme="majorEastAsia"/>
      <w:b/>
      <w:bCs/>
      <w:kern w:val="28"/>
      <w:sz w:val="32"/>
      <w:szCs w:val="32"/>
    </w:rPr>
  </w:style>
  <w:style w:type="character" w:customStyle="1" w:styleId="31">
    <w:name w:val="副标题 Char"/>
    <w:basedOn w:val="18"/>
    <w:link w:val="14"/>
    <w:qFormat/>
    <w:uiPriority w:val="11"/>
    <w:rPr>
      <w:rFonts w:asciiTheme="majorHAnsi" w:hAnsiTheme="majorHAnsi" w:eastAsiaTheme="majorEastAsia"/>
      <w:sz w:val="24"/>
      <w:szCs w:val="24"/>
    </w:rPr>
  </w:style>
  <w:style w:type="paragraph" w:styleId="32">
    <w:name w:val="No Spacing"/>
    <w:basedOn w:val="1"/>
    <w:qFormat/>
    <w:uiPriority w:val="1"/>
    <w:pPr>
      <w:widowControl/>
      <w:jc w:val="left"/>
    </w:pPr>
    <w:rPr>
      <w:rFonts w:asciiTheme="minorHAnsi" w:hAnsiTheme="minorHAnsi" w:eastAsiaTheme="minorEastAsia"/>
      <w:kern w:val="0"/>
      <w:sz w:val="24"/>
      <w:szCs w:val="32"/>
      <w:lang w:eastAsia="en-US" w:bidi="en-US"/>
    </w:rPr>
  </w:style>
  <w:style w:type="paragraph" w:styleId="33">
    <w:name w:val="List Paragraph"/>
    <w:basedOn w:val="1"/>
    <w:qFormat/>
    <w:uiPriority w:val="34"/>
    <w:pPr>
      <w:widowControl/>
      <w:ind w:left="720"/>
      <w:contextualSpacing/>
      <w:jc w:val="left"/>
    </w:pPr>
    <w:rPr>
      <w:rFonts w:asciiTheme="minorHAnsi" w:hAnsiTheme="minorHAnsi" w:eastAsiaTheme="minorEastAsia"/>
      <w:kern w:val="0"/>
      <w:sz w:val="24"/>
      <w:lang w:eastAsia="en-US" w:bidi="en-US"/>
    </w:rPr>
  </w:style>
  <w:style w:type="paragraph" w:styleId="34">
    <w:name w:val="Quote"/>
    <w:basedOn w:val="1"/>
    <w:next w:val="1"/>
    <w:link w:val="35"/>
    <w:qFormat/>
    <w:uiPriority w:val="29"/>
    <w:pPr>
      <w:widowControl/>
      <w:jc w:val="left"/>
    </w:pPr>
    <w:rPr>
      <w:rFonts w:asciiTheme="minorHAnsi" w:hAnsiTheme="minorHAnsi" w:eastAsiaTheme="minorEastAsia"/>
      <w:i/>
      <w:kern w:val="0"/>
      <w:sz w:val="24"/>
    </w:rPr>
  </w:style>
  <w:style w:type="character" w:customStyle="1" w:styleId="35">
    <w:name w:val="引用 Char"/>
    <w:basedOn w:val="18"/>
    <w:link w:val="34"/>
    <w:qFormat/>
    <w:uiPriority w:val="29"/>
    <w:rPr>
      <w:i/>
      <w:sz w:val="24"/>
      <w:szCs w:val="24"/>
    </w:rPr>
  </w:style>
  <w:style w:type="paragraph" w:styleId="36">
    <w:name w:val="Intense Quote"/>
    <w:basedOn w:val="1"/>
    <w:next w:val="1"/>
    <w:link w:val="37"/>
    <w:qFormat/>
    <w:uiPriority w:val="30"/>
    <w:pPr>
      <w:widowControl/>
      <w:ind w:left="720" w:right="720"/>
      <w:jc w:val="left"/>
    </w:pPr>
    <w:rPr>
      <w:rFonts w:asciiTheme="minorHAnsi" w:hAnsiTheme="minorHAnsi" w:eastAsiaTheme="minorEastAsia"/>
      <w:b/>
      <w:i/>
      <w:kern w:val="0"/>
      <w:sz w:val="24"/>
      <w:szCs w:val="22"/>
    </w:rPr>
  </w:style>
  <w:style w:type="character" w:customStyle="1" w:styleId="37">
    <w:name w:val="明显引用 Char"/>
    <w:basedOn w:val="18"/>
    <w:link w:val="36"/>
    <w:qFormat/>
    <w:uiPriority w:val="30"/>
    <w:rPr>
      <w:b/>
      <w:i/>
      <w:sz w:val="24"/>
    </w:rPr>
  </w:style>
  <w:style w:type="character" w:customStyle="1" w:styleId="38">
    <w:name w:val="不明显强调1"/>
    <w:qFormat/>
    <w:uiPriority w:val="19"/>
    <w:rPr>
      <w:i/>
      <w:color w:val="595959" w:themeColor="text1" w:themeTint="A5"/>
    </w:rPr>
  </w:style>
  <w:style w:type="character" w:customStyle="1" w:styleId="39">
    <w:name w:val="明显强调1"/>
    <w:basedOn w:val="18"/>
    <w:qFormat/>
    <w:uiPriority w:val="21"/>
    <w:rPr>
      <w:b/>
      <w:i/>
      <w:sz w:val="24"/>
      <w:szCs w:val="24"/>
      <w:u w:val="single"/>
    </w:rPr>
  </w:style>
  <w:style w:type="character" w:customStyle="1" w:styleId="40">
    <w:name w:val="不明显参考1"/>
    <w:basedOn w:val="18"/>
    <w:qFormat/>
    <w:uiPriority w:val="31"/>
    <w:rPr>
      <w:sz w:val="24"/>
      <w:szCs w:val="24"/>
      <w:u w:val="single"/>
    </w:rPr>
  </w:style>
  <w:style w:type="character" w:customStyle="1" w:styleId="41">
    <w:name w:val="明显参考1"/>
    <w:basedOn w:val="18"/>
    <w:qFormat/>
    <w:uiPriority w:val="32"/>
    <w:rPr>
      <w:b/>
      <w:sz w:val="24"/>
      <w:u w:val="single"/>
    </w:rPr>
  </w:style>
  <w:style w:type="character" w:customStyle="1" w:styleId="42">
    <w:name w:val="书籍标题1"/>
    <w:basedOn w:val="18"/>
    <w:qFormat/>
    <w:uiPriority w:val="33"/>
    <w:rPr>
      <w:rFonts w:asciiTheme="majorHAnsi" w:hAnsiTheme="majorHAnsi" w:eastAsiaTheme="majorEastAsia"/>
      <w:b/>
      <w:i/>
      <w:sz w:val="24"/>
      <w:szCs w:val="24"/>
    </w:rPr>
  </w:style>
  <w:style w:type="paragraph" w:customStyle="1" w:styleId="43">
    <w:name w:val="TOC 标题1"/>
    <w:basedOn w:val="2"/>
    <w:next w:val="1"/>
    <w:unhideWhenUsed/>
    <w:qFormat/>
    <w:uiPriority w:val="39"/>
    <w:pPr>
      <w:outlineLvl w:val="9"/>
    </w:pPr>
    <w:rPr>
      <w:lang w:eastAsia="en-US" w:bidi="en-US"/>
    </w:rPr>
  </w:style>
  <w:style w:type="character" w:customStyle="1" w:styleId="44">
    <w:name w:val="页眉 Char"/>
    <w:basedOn w:val="18"/>
    <w:link w:val="13"/>
    <w:qFormat/>
    <w:uiPriority w:val="99"/>
    <w:rPr>
      <w:rFonts w:ascii="Calibri" w:hAnsi="Calibri" w:eastAsia="宋体"/>
      <w:kern w:val="2"/>
      <w:sz w:val="18"/>
      <w:szCs w:val="18"/>
    </w:rPr>
  </w:style>
  <w:style w:type="character" w:customStyle="1" w:styleId="45">
    <w:name w:val="页脚 Char"/>
    <w:basedOn w:val="18"/>
    <w:link w:val="12"/>
    <w:qFormat/>
    <w:uiPriority w:val="99"/>
    <w:rPr>
      <w:rFonts w:ascii="Calibri" w:hAnsi="Calibri" w:eastAsia="宋体"/>
      <w:kern w:val="2"/>
      <w:sz w:val="18"/>
      <w:szCs w:val="18"/>
    </w:rPr>
  </w:style>
  <w:style w:type="character" w:customStyle="1" w:styleId="46">
    <w:name w:val="批注框文本 Char"/>
    <w:basedOn w:val="18"/>
    <w:link w:val="11"/>
    <w:semiHidden/>
    <w:qFormat/>
    <w:uiPriority w:val="99"/>
    <w:rPr>
      <w:rFonts w:ascii="Times New Roman" w:hAnsi="Times New Roman" w:eastAsia="宋体"/>
      <w:kern w:val="2"/>
      <w:sz w:val="18"/>
      <w:szCs w:val="18"/>
    </w:rPr>
  </w:style>
  <w:style w:type="character" w:customStyle="1" w:styleId="47">
    <w:name w:val="font61"/>
    <w:basedOn w:val="18"/>
    <w:qFormat/>
    <w:uiPriority w:val="0"/>
    <w:rPr>
      <w:rFonts w:hint="eastAsia" w:ascii="宋体" w:hAnsi="宋体" w:eastAsia="宋体" w:cs="宋体"/>
      <w:color w:val="000000"/>
      <w:sz w:val="24"/>
      <w:szCs w:val="24"/>
      <w:u w:val="none"/>
    </w:rPr>
  </w:style>
  <w:style w:type="character" w:customStyle="1" w:styleId="48">
    <w:name w:val="font11"/>
    <w:basedOn w:val="18"/>
    <w:qFormat/>
    <w:uiPriority w:val="0"/>
    <w:rPr>
      <w:rFonts w:hint="default" w:ascii="Times New Roman" w:hAnsi="Times New Roman" w:cs="Times New Roman"/>
      <w:color w:val="000000"/>
      <w:sz w:val="24"/>
      <w:szCs w:val="24"/>
      <w:u w:val="none"/>
    </w:rPr>
  </w:style>
  <w:style w:type="character" w:customStyle="1" w:styleId="49">
    <w:name w:val="font51"/>
    <w:basedOn w:val="18"/>
    <w:qFormat/>
    <w:uiPriority w:val="0"/>
    <w:rPr>
      <w:rFonts w:hint="default" w:ascii="Times New Roman" w:hAnsi="Times New Roman" w:cs="Times New Roman"/>
      <w:color w:val="000000"/>
      <w:sz w:val="24"/>
      <w:szCs w:val="24"/>
      <w:u w:val="non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Microsoft</Company>
  <Pages>8</Pages>
  <Words>436</Words>
  <Characters>2488</Characters>
  <Lines>20</Lines>
  <Paragraphs>5</Paragraphs>
  <TotalTime>0</TotalTime>
  <ScaleCrop>false</ScaleCrop>
  <LinksUpToDate>false</LinksUpToDate>
  <CharactersWithSpaces>2919</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2019-05-29T08:11:00Z</dcterms:created>
  <dc:creator>赵 恺（预算处）</dc:creator>
  <cp:lastModifiedBy>Administrator</cp:lastModifiedBy>
  <cp:lastPrinted>2018-12-31T10:56:00Z</cp:lastPrinted>
  <dcterms:modified xsi:type="dcterms:W3CDTF">2024-01-15T08:20:41Z</dcterms:modified>
  <cp:revision>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ABFF00EB2BAF409A9036C7062F8D3F8B_12</vt:lpwstr>
  </property>
</Properties>
</file>