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Theme="minorEastAsia"/>
          <w:kern w:val="0"/>
          <w:sz w:val="32"/>
          <w:szCs w:val="32"/>
        </w:rPr>
      </w:pPr>
    </w:p>
    <w:p>
      <w:pPr>
        <w:spacing w:line="540" w:lineRule="exact"/>
        <w:jc w:val="center"/>
        <w:rPr>
          <w:rFonts w:ascii="仿宋" w:hAnsi="仿宋" w:eastAsia="Times New Roman"/>
          <w:kern w:val="0"/>
          <w:sz w:val="32"/>
          <w:szCs w:val="3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方正小标宋_GBK" w:hAnsi="华文中宋" w:eastAsia="方正小标宋_GBK"/>
          <w:b/>
          <w:bCs/>
          <w:kern w:val="0"/>
          <w:sz w:val="48"/>
          <w:szCs w:val="48"/>
        </w:rPr>
      </w:pPr>
      <w:r>
        <w:rPr>
          <w:rFonts w:hint="eastAsia" w:ascii="方正小标宋_GBK" w:hAnsi="华文中宋" w:eastAsia="方正小标宋_GBK" w:cs="方正小标宋_GBK"/>
          <w:b/>
          <w:bCs/>
          <w:kern w:val="0"/>
          <w:sz w:val="48"/>
          <w:szCs w:val="48"/>
        </w:rPr>
        <w:t>喀什地区项目支出绩效自评报告</w:t>
      </w:r>
    </w:p>
    <w:p>
      <w:pPr>
        <w:spacing w:line="540" w:lineRule="exact"/>
        <w:jc w:val="center"/>
        <w:rPr>
          <w:rFonts w:ascii="华文中宋" w:hAnsi="华文中宋" w:eastAsia="华文中宋"/>
          <w:b/>
          <w:bCs/>
          <w:kern w:val="0"/>
          <w:sz w:val="52"/>
          <w:szCs w:val="52"/>
        </w:rPr>
      </w:pPr>
    </w:p>
    <w:p>
      <w:pPr>
        <w:spacing w:line="540" w:lineRule="exact"/>
        <w:jc w:val="center"/>
        <w:rPr>
          <w:rFonts w:hAnsi="宋体" w:eastAsia="仿宋_GB2312"/>
          <w:kern w:val="0"/>
          <w:sz w:val="36"/>
          <w:szCs w:val="36"/>
        </w:rPr>
      </w:pPr>
      <w:r>
        <w:rPr>
          <w:rFonts w:hint="eastAsia" w:hAnsi="宋体" w:eastAsia="仿宋_GB2312" w:cs="仿宋_GB2312"/>
          <w:kern w:val="0"/>
          <w:sz w:val="36"/>
          <w:szCs w:val="36"/>
        </w:rPr>
        <w:t>（</w:t>
      </w:r>
      <w:r>
        <w:rPr>
          <w:rFonts w:hAnsi="宋体" w:eastAsia="仿宋_GB2312"/>
          <w:kern w:val="0"/>
          <w:sz w:val="36"/>
          <w:szCs w:val="36"/>
        </w:rPr>
        <w:t>2018</w:t>
      </w:r>
      <w:r>
        <w:rPr>
          <w:rFonts w:hint="eastAsia" w:hAnsi="宋体" w:eastAsia="仿宋_GB2312" w:cs="仿宋_GB2312"/>
          <w:kern w:val="0"/>
          <w:sz w:val="36"/>
          <w:szCs w:val="36"/>
        </w:rPr>
        <w:t>年度）</w:t>
      </w: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rPr>
          <w:rFonts w:hAnsi="宋体" w:eastAsia="仿宋_GB2312"/>
          <w:kern w:val="0"/>
          <w:sz w:val="30"/>
          <w:szCs w:val="30"/>
        </w:rPr>
      </w:pPr>
    </w:p>
    <w:p>
      <w:pPr>
        <w:spacing w:line="700" w:lineRule="exact"/>
        <w:ind w:firstLine="900" w:firstLineChars="250"/>
        <w:jc w:val="left"/>
        <w:rPr>
          <w:rFonts w:hAnsi="宋体" w:eastAsia="仿宋_GB2312"/>
          <w:kern w:val="0"/>
          <w:sz w:val="36"/>
          <w:szCs w:val="36"/>
        </w:rPr>
      </w:pPr>
      <w:r>
        <w:rPr>
          <w:rFonts w:hint="eastAsia" w:hAnsi="宋体" w:eastAsia="仿宋_GB2312" w:cs="仿宋_GB2312"/>
          <w:kern w:val="0"/>
          <w:sz w:val="36"/>
          <w:szCs w:val="36"/>
        </w:rPr>
        <w:t>项目名称：</w:t>
      </w:r>
      <w:r>
        <w:rPr>
          <w:rFonts w:hint="eastAsia" w:ascii="仿宋_GB2312" w:hAnsi="仿宋_GB2312" w:eastAsia="仿宋_GB2312" w:cs="仿宋_GB2312"/>
          <w:color w:val="000000"/>
          <w:sz w:val="32"/>
          <w:szCs w:val="32"/>
        </w:rPr>
        <w:t>爱国人士补助项目</w:t>
      </w:r>
    </w:p>
    <w:p>
      <w:pPr>
        <w:spacing w:line="700" w:lineRule="exact"/>
        <w:ind w:firstLine="900" w:firstLineChars="250"/>
        <w:jc w:val="left"/>
        <w:rPr>
          <w:rFonts w:hAnsi="宋体" w:eastAsia="仿宋_GB2312"/>
          <w:kern w:val="0"/>
          <w:sz w:val="36"/>
          <w:szCs w:val="36"/>
        </w:rPr>
      </w:pPr>
      <w:r>
        <w:rPr>
          <w:rFonts w:hint="eastAsia" w:hAnsi="宋体" w:eastAsia="仿宋_GB2312" w:cs="仿宋_GB2312"/>
          <w:kern w:val="0"/>
          <w:sz w:val="36"/>
          <w:szCs w:val="36"/>
        </w:rPr>
        <w:t>实施单位（公章）：叶城县宗朗乡人民政府</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主管部门（公章）：叶城县宗朗乡人民政府</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项目负责人（签章）：毛玉波</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填报时间：</w:t>
      </w:r>
      <w:r>
        <w:rPr>
          <w:rFonts w:hAnsi="宋体" w:eastAsia="仿宋_GB2312"/>
          <w:kern w:val="0"/>
          <w:sz w:val="36"/>
          <w:szCs w:val="36"/>
        </w:rPr>
        <w:t>2018</w:t>
      </w:r>
      <w:r>
        <w:rPr>
          <w:rFonts w:hint="eastAsia" w:hAnsi="宋体" w:eastAsia="仿宋_GB2312" w:cs="仿宋_GB2312"/>
          <w:kern w:val="0"/>
          <w:sz w:val="36"/>
          <w:szCs w:val="36"/>
        </w:rPr>
        <w:t>年</w:t>
      </w:r>
      <w:r>
        <w:rPr>
          <w:rFonts w:hAnsi="宋体" w:eastAsia="仿宋_GB2312"/>
          <w:kern w:val="0"/>
          <w:sz w:val="36"/>
          <w:szCs w:val="36"/>
        </w:rPr>
        <w:t>12</w:t>
      </w:r>
      <w:r>
        <w:rPr>
          <w:rFonts w:hint="eastAsia" w:hAnsi="宋体" w:eastAsia="仿宋_GB2312" w:cs="仿宋_GB2312"/>
          <w:kern w:val="0"/>
          <w:sz w:val="36"/>
          <w:szCs w:val="36"/>
        </w:rPr>
        <w:t>月</w:t>
      </w:r>
      <w:r>
        <w:rPr>
          <w:rFonts w:hAnsi="宋体" w:eastAsia="仿宋_GB2312"/>
          <w:kern w:val="0"/>
          <w:sz w:val="36"/>
          <w:szCs w:val="36"/>
        </w:rPr>
        <w:t>25</w:t>
      </w:r>
      <w:r>
        <w:rPr>
          <w:rFonts w:hint="eastAsia" w:hAnsi="宋体" w:eastAsia="仿宋_GB2312" w:cs="仿宋_GB2312"/>
          <w:kern w:val="0"/>
          <w:sz w:val="36"/>
          <w:szCs w:val="36"/>
        </w:rPr>
        <w:t>日</w:t>
      </w:r>
    </w:p>
    <w:p>
      <w:pPr>
        <w:spacing w:line="540" w:lineRule="exact"/>
        <w:jc w:val="center"/>
        <w:rPr>
          <w:rFonts w:hAnsi="宋体" w:eastAsia="仿宋_GB2312"/>
          <w:kern w:val="0"/>
          <w:sz w:val="30"/>
          <w:szCs w:val="30"/>
        </w:rPr>
      </w:pP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一、项目概况</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叶城县宗朗乡属党政机关行政部门，乡科级行政单位，辖6个行政村，31个村民小组，7097人，全乡维吾尔族占99%，主要以种植小麦、玉米为主，是叶城县的贫困乡。</w:t>
      </w:r>
    </w:p>
    <w:p>
      <w:pPr>
        <w:adjustRightInd w:val="0"/>
        <w:snapToGrid w:val="0"/>
        <w:spacing w:line="560" w:lineRule="exact"/>
        <w:ind w:firstLine="640" w:firstLineChars="200"/>
        <w:rPr>
          <w:rStyle w:val="19"/>
          <w:rFonts w:ascii="仿宋_GB2312" w:hAnsi="仿宋_GB2312" w:eastAsia="仿宋_GB2312" w:cs="仿宋_GB2312"/>
          <w:b w:val="0"/>
          <w:bCs w:val="0"/>
          <w:spacing w:val="-4"/>
          <w:sz w:val="32"/>
          <w:szCs w:val="32"/>
        </w:rPr>
      </w:pPr>
      <w:r>
        <w:rPr>
          <w:rFonts w:hint="eastAsia" w:ascii="仿宋_GB2312" w:hAnsi="仿宋_GB2312" w:eastAsia="仿宋_GB2312" w:cs="仿宋_GB2312"/>
          <w:sz w:val="32"/>
          <w:szCs w:val="32"/>
        </w:rPr>
        <w:t>主要职能：负责全乡党政行政管理事务。以贯彻落实</w:t>
      </w:r>
      <w:bookmarkStart w:id="0" w:name="_GoBack"/>
      <w:bookmarkEnd w:id="0"/>
      <w:r>
        <w:rPr>
          <w:rFonts w:hint="eastAsia" w:ascii="仿宋_GB2312" w:hAnsi="仿宋_GB2312" w:eastAsia="仿宋_GB2312" w:cs="仿宋_GB2312"/>
          <w:sz w:val="32"/>
          <w:szCs w:val="32"/>
        </w:rPr>
        <w:t>县委、县人民政府的有关方面政策指示，把党的各项优惠政策落实到实处，负责全乡经济社会发展、社会事务管理、安全、基层组织建设等全面工作。以全面建设社会主义新农村为根本出发点，不断深化美丽乡村建设，不断铸牢全乡经济社会发展基础，为全乡种族群众提供社会服务。</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（二）项目预算绩效目标设定情况</w:t>
      </w:r>
    </w:p>
    <w:p>
      <w:pPr>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2018年宗朗乡共有15名爱国人士，根据上级安排部署2018年我单位收到爱国人士补助费1.29万元，通过发放人士补助资金，提高爱国人士的收入，让广大爱国人士感受到党和政府的关怀，增强爱国人士的爱国爱党意识。</w:t>
      </w: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二、项目资金使用及管理情况</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（一）项目资金安排落实、总投入等情况分析</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根据新财行〔2018〕0047号、喀地财行［2018］17号文件要求，本项目资金1.29 万元，其中财政资金1.29 万元，其他资金0万元，资金到位1.29 万元；资金到位率100%。</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 xml:space="preserve">（二）项目资金实际使用情况分析   </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根据本年新财行〔2018〕0047号、喀地财行［2018］17号关于下达2018年3-4月爱国人士补助资金的文件，到位资金1.29 万元，本项目实际支付资金1.29 万元，预算执行率100%。项目资金主要用于支付宗朗乡爱国人士3－4月补助费用1.29 万元，结余0万元。”</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根据中央和自治区项目资金管理办法的要求，宗朗乡人民政府严格按照项目资金规定的专项资金支持的项目条件和范围要求，严格按照有关规定使用管理项目资金。</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（三）项目资金管理情况分析</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本项目资金严格按照爱国人士补助资金管理办法和地区财政资金管理制度支付资金；资金支付由本单位分管领导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三、项目组织实施情况</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（一）项目组织情况分析</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为保证项目质量和成本控制，我单位积极与县委统战部对接，进行了前期规划工作，制定《爱国人士补助发放工作方案》，组织我乡爱国人士进行培训工作，为保质保量完成提供了强有力的技术支撑，有效地推进了项目工作，为保证项目质量和成本控制，该经费支出由乡按照“乡财县管”、“国库集中支付”的要求，按实际需求进行申报支出。</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Fonts w:hint="eastAsia" w:ascii="仿宋_GB2312" w:hAnsi="仿宋_GB2312" w:eastAsia="仿宋_GB2312" w:cs="仿宋_GB2312"/>
          <w:color w:val="000000"/>
          <w:spacing w:val="-4"/>
          <w:sz w:val="32"/>
          <w:szCs w:val="32"/>
        </w:rPr>
        <w:t>（</w:t>
      </w:r>
      <w:r>
        <w:rPr>
          <w:rStyle w:val="19"/>
          <w:rFonts w:hint="eastAsia" w:ascii="仿宋_GB2312" w:hAnsi="仿宋_GB2312" w:eastAsia="仿宋_GB2312" w:cs="仿宋_GB2312"/>
          <w:b w:val="0"/>
          <w:bCs w:val="0"/>
          <w:spacing w:val="-4"/>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Fonts w:hint="eastAsia" w:ascii="仿宋_GB2312" w:hAnsi="仿宋_GB2312" w:eastAsia="仿宋_GB2312" w:cs="仿宋_GB2312"/>
          <w:color w:val="000000"/>
          <w:spacing w:val="-4"/>
          <w:sz w:val="32"/>
          <w:szCs w:val="32"/>
        </w:rPr>
        <w:t>项目实施过程中，我单位建立了《爱国人士补助发放制度》保障项目的顺利实施。项目的实施遵守相关法律法</w:t>
      </w:r>
      <w:r>
        <w:rPr>
          <w:rStyle w:val="19"/>
          <w:rFonts w:hint="eastAsia" w:ascii="仿宋_GB2312" w:hAnsi="仿宋_GB2312" w:eastAsia="仿宋_GB2312" w:cs="仿宋_GB2312"/>
          <w:b w:val="0"/>
          <w:bCs w:val="0"/>
          <w:spacing w:val="-4"/>
          <w:sz w:val="32"/>
          <w:szCs w:val="32"/>
        </w:rPr>
        <w:t>规和业务管理规定，项目资料齐全并及时装订、归档。已建立《爱国人士补助发放管理制度》，不定期对项目进度情况进行督导检查，对检查过程中发现的问题及时督促整改，确保了项目按时保质完成。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四、项目绩效情况</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（一）项目绩效目标完成情况分析</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本项目共设置一级指标3个，二级指标8个，三级指标9个，其中已完成三级指标9个，指标完成率为100%。根据年初设定的绩效目标，此项目自评得分为93分。</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1.产出指标完成情况分析</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（1）项目完成数量</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数量指标全部完成</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（2）项目完成质量</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质量指标资金到位率100%</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（3）项目实施进度</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按照申报目标的进度进行</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（4）项目成本节约情况</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爱国人士人均生活补贴430元/人/月，节约实际生活成本430万元。</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2.效益指标完成情况分析</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（1）项目实施的经济效益分析</w:t>
      </w:r>
    </w:p>
    <w:p>
      <w:pPr>
        <w:adjustRightInd w:val="0"/>
        <w:snapToGrid w:val="0"/>
        <w:spacing w:line="560" w:lineRule="exact"/>
        <w:ind w:firstLine="624" w:firstLineChars="200"/>
        <w:rPr>
          <w:rStyle w:val="19"/>
          <w:rFonts w:ascii="仿宋_GB2312" w:hAnsi="仿宋_GB2312" w:eastAsia="仿宋_GB2312" w:cs="仿宋_GB2312"/>
          <w:b w:val="0"/>
          <w:bCs w:val="0"/>
          <w:color w:val="000000"/>
          <w:spacing w:val="-4"/>
          <w:sz w:val="32"/>
          <w:szCs w:val="32"/>
        </w:rPr>
      </w:pPr>
      <w:r>
        <w:rPr>
          <w:rStyle w:val="19"/>
          <w:rFonts w:hint="eastAsia" w:ascii="仿宋_GB2312" w:hAnsi="仿宋_GB2312" w:eastAsia="仿宋_GB2312" w:cs="仿宋_GB2312"/>
          <w:b w:val="0"/>
          <w:bCs w:val="0"/>
          <w:color w:val="000000"/>
          <w:spacing w:val="-4"/>
          <w:sz w:val="32"/>
          <w:szCs w:val="32"/>
        </w:rPr>
        <w:t>该项目受益26人，</w:t>
      </w:r>
      <w:r>
        <w:rPr>
          <w:rStyle w:val="19"/>
          <w:rFonts w:hint="eastAsia" w:ascii="仿宋_GB2312" w:hAnsi="仿宋_GB2312" w:eastAsia="仿宋_GB2312" w:cs="仿宋_GB2312"/>
          <w:b w:val="0"/>
          <w:bCs w:val="0"/>
          <w:spacing w:val="-4"/>
          <w:sz w:val="32"/>
          <w:szCs w:val="32"/>
        </w:rPr>
        <w:t>430</w:t>
      </w:r>
      <w:r>
        <w:rPr>
          <w:rStyle w:val="19"/>
          <w:rFonts w:hint="eastAsia" w:ascii="仿宋_GB2312" w:hAnsi="仿宋_GB2312" w:eastAsia="仿宋_GB2312" w:cs="仿宋_GB2312"/>
          <w:b w:val="0"/>
          <w:bCs w:val="0"/>
          <w:color w:val="000000"/>
          <w:spacing w:val="-4"/>
          <w:sz w:val="32"/>
          <w:szCs w:val="32"/>
        </w:rPr>
        <w:t>元/人/月，项目资金共计</w:t>
      </w:r>
      <w:r>
        <w:rPr>
          <w:rStyle w:val="19"/>
          <w:rFonts w:hint="eastAsia" w:ascii="仿宋_GB2312" w:hAnsi="仿宋_GB2312" w:eastAsia="仿宋_GB2312" w:cs="仿宋_GB2312"/>
          <w:b w:val="0"/>
          <w:bCs w:val="0"/>
          <w:spacing w:val="-4"/>
          <w:sz w:val="32"/>
          <w:szCs w:val="32"/>
        </w:rPr>
        <w:t>1.29 </w:t>
      </w:r>
      <w:r>
        <w:rPr>
          <w:rStyle w:val="19"/>
          <w:rFonts w:hint="eastAsia" w:ascii="仿宋_GB2312" w:hAnsi="仿宋_GB2312" w:eastAsia="仿宋_GB2312" w:cs="仿宋_GB2312"/>
          <w:b w:val="0"/>
          <w:bCs w:val="0"/>
          <w:color w:val="000000"/>
          <w:spacing w:val="-4"/>
          <w:sz w:val="32"/>
          <w:szCs w:val="32"/>
        </w:rPr>
        <w:t>万元，爱国人士生活水平切实提高，增强了爱国人士服务和履职能力，提高了爱国爱教意识，为全乡的工作打下坚实的基础。</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（2）项目实施的社会效益分析</w:t>
      </w:r>
    </w:p>
    <w:p>
      <w:pPr>
        <w:spacing w:line="560" w:lineRule="exact"/>
        <w:ind w:firstLine="624" w:firstLineChars="200"/>
        <w:rPr>
          <w:rStyle w:val="19"/>
          <w:rFonts w:ascii="仿宋_GB2312" w:hAnsi="仿宋_GB2312" w:eastAsia="仿宋_GB2312" w:cs="仿宋_GB2312"/>
          <w:b w:val="0"/>
          <w:bCs w:val="0"/>
          <w:color w:val="000000"/>
          <w:spacing w:val="-4"/>
          <w:sz w:val="32"/>
          <w:szCs w:val="32"/>
        </w:rPr>
      </w:pPr>
      <w:r>
        <w:rPr>
          <w:rStyle w:val="19"/>
          <w:rFonts w:hint="eastAsia" w:ascii="仿宋_GB2312" w:hAnsi="仿宋_GB2312" w:eastAsia="仿宋_GB2312" w:cs="仿宋_GB2312"/>
          <w:b w:val="0"/>
          <w:bCs w:val="0"/>
          <w:color w:val="000000"/>
          <w:spacing w:val="-4"/>
          <w:sz w:val="32"/>
          <w:szCs w:val="32"/>
        </w:rPr>
        <w:t>乡镇严格按照</w:t>
      </w:r>
      <w:r>
        <w:rPr>
          <w:rFonts w:hint="eastAsia" w:ascii="仿宋_GB2312" w:hAnsi="仿宋_GB2312" w:eastAsia="仿宋_GB2312" w:cs="仿宋_GB2312"/>
          <w:color w:val="000000"/>
          <w:spacing w:val="-4"/>
          <w:sz w:val="32"/>
          <w:szCs w:val="32"/>
        </w:rPr>
        <w:t>爱国人士生活补贴项目</w:t>
      </w:r>
      <w:r>
        <w:rPr>
          <w:rStyle w:val="19"/>
          <w:rFonts w:hint="eastAsia" w:ascii="仿宋_GB2312" w:hAnsi="仿宋_GB2312" w:eastAsia="仿宋_GB2312" w:cs="仿宋_GB2312"/>
          <w:b w:val="0"/>
          <w:bCs w:val="0"/>
          <w:color w:val="000000"/>
          <w:spacing w:val="-4"/>
          <w:sz w:val="32"/>
          <w:szCs w:val="32"/>
        </w:rPr>
        <w:t>支出制度及要求，该项目100%的完成，爱国人士坚持爱国爱党、遵纪守法，确保了全乡社会、和谐的秩序。</w:t>
      </w:r>
    </w:p>
    <w:p>
      <w:pPr>
        <w:spacing w:line="560" w:lineRule="exact"/>
        <w:ind w:firstLine="624" w:firstLineChars="200"/>
        <w:rPr>
          <w:rStyle w:val="19"/>
          <w:rFonts w:ascii="仿宋_GB2312" w:hAnsi="仿宋_GB2312" w:eastAsia="仿宋_GB2312" w:cs="仿宋_GB2312"/>
          <w:b w:val="0"/>
          <w:bCs w:val="0"/>
          <w:color w:val="000000"/>
          <w:spacing w:val="-4"/>
          <w:sz w:val="32"/>
          <w:szCs w:val="32"/>
        </w:rPr>
      </w:pPr>
      <w:r>
        <w:rPr>
          <w:rStyle w:val="19"/>
          <w:rFonts w:hint="eastAsia" w:ascii="仿宋_GB2312" w:hAnsi="仿宋_GB2312" w:eastAsia="仿宋_GB2312" w:cs="仿宋_GB2312"/>
          <w:b w:val="0"/>
          <w:bCs w:val="0"/>
          <w:color w:val="000000"/>
          <w:spacing w:val="-4"/>
          <w:sz w:val="32"/>
          <w:szCs w:val="32"/>
        </w:rPr>
        <w:t>（3）项目实施的生态效益分析</w:t>
      </w:r>
    </w:p>
    <w:p>
      <w:pPr>
        <w:spacing w:line="560" w:lineRule="exact"/>
        <w:ind w:firstLine="624" w:firstLineChars="200"/>
        <w:rPr>
          <w:rStyle w:val="19"/>
          <w:rFonts w:ascii="仿宋_GB2312" w:hAnsi="仿宋_GB2312" w:eastAsia="仿宋_GB2312" w:cs="仿宋_GB2312"/>
          <w:b w:val="0"/>
          <w:bCs w:val="0"/>
          <w:color w:val="000000"/>
          <w:spacing w:val="-4"/>
          <w:sz w:val="32"/>
          <w:szCs w:val="32"/>
        </w:rPr>
      </w:pPr>
      <w:r>
        <w:rPr>
          <w:rStyle w:val="19"/>
          <w:rFonts w:hint="eastAsia" w:ascii="仿宋_GB2312" w:hAnsi="仿宋_GB2312" w:eastAsia="仿宋_GB2312" w:cs="仿宋_GB2312"/>
          <w:b w:val="0"/>
          <w:bCs w:val="0"/>
          <w:color w:val="000000"/>
          <w:spacing w:val="-4"/>
          <w:sz w:val="32"/>
          <w:szCs w:val="32"/>
        </w:rPr>
        <w:t>无</w:t>
      </w:r>
    </w:p>
    <w:p>
      <w:pPr>
        <w:spacing w:line="560" w:lineRule="exact"/>
        <w:ind w:firstLine="624" w:firstLineChars="200"/>
        <w:rPr>
          <w:rStyle w:val="19"/>
          <w:rFonts w:ascii="仿宋_GB2312" w:hAnsi="仿宋_GB2312" w:eastAsia="仿宋_GB2312" w:cs="仿宋_GB2312"/>
          <w:b w:val="0"/>
          <w:bCs w:val="0"/>
          <w:color w:val="000000"/>
          <w:spacing w:val="-4"/>
          <w:sz w:val="32"/>
          <w:szCs w:val="32"/>
        </w:rPr>
      </w:pPr>
      <w:r>
        <w:rPr>
          <w:rStyle w:val="19"/>
          <w:rFonts w:hint="eastAsia" w:ascii="仿宋_GB2312" w:hAnsi="仿宋_GB2312" w:eastAsia="仿宋_GB2312" w:cs="仿宋_GB2312"/>
          <w:b w:val="0"/>
          <w:bCs w:val="0"/>
          <w:color w:val="000000"/>
          <w:spacing w:val="-4"/>
          <w:sz w:val="32"/>
          <w:szCs w:val="32"/>
        </w:rPr>
        <w:t>（4）项目实施的可持续影响分析</w:t>
      </w:r>
    </w:p>
    <w:p>
      <w:pPr>
        <w:spacing w:line="560" w:lineRule="exact"/>
        <w:ind w:firstLine="624" w:firstLineChars="200"/>
        <w:rPr>
          <w:rStyle w:val="19"/>
          <w:rFonts w:ascii="仿宋_GB2312" w:hAnsi="仿宋_GB2312" w:eastAsia="仿宋_GB2312" w:cs="仿宋_GB2312"/>
          <w:b w:val="0"/>
          <w:bCs w:val="0"/>
          <w:color w:val="000000"/>
          <w:spacing w:val="-4"/>
          <w:sz w:val="32"/>
          <w:szCs w:val="32"/>
        </w:rPr>
      </w:pPr>
      <w:r>
        <w:rPr>
          <w:rStyle w:val="19"/>
          <w:rFonts w:hint="eastAsia" w:ascii="仿宋_GB2312" w:hAnsi="仿宋_GB2312" w:eastAsia="仿宋_GB2312" w:cs="仿宋_GB2312"/>
          <w:b w:val="0"/>
          <w:bCs w:val="0"/>
          <w:color w:val="000000"/>
          <w:spacing w:val="-4"/>
          <w:sz w:val="32"/>
          <w:szCs w:val="32"/>
        </w:rPr>
        <w:t>该项目的实施进一步保证了全乡爱国人员的履职能力，同时确保了爱国人员作用的发挥，为全乡打下坚实基础。</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3.满意度指标完成情况分析</w:t>
      </w:r>
    </w:p>
    <w:p>
      <w:pPr>
        <w:spacing w:line="560" w:lineRule="exact"/>
        <w:rPr>
          <w:rStyle w:val="19"/>
          <w:rFonts w:ascii="仿宋_GB2312" w:hAnsi="仿宋_GB2312" w:eastAsia="仿宋_GB2312" w:cs="仿宋_GB2312"/>
          <w:b w:val="0"/>
          <w:bCs w:val="0"/>
          <w:color w:val="000000"/>
          <w:spacing w:val="-4"/>
          <w:sz w:val="32"/>
          <w:szCs w:val="32"/>
        </w:rPr>
      </w:pPr>
      <w:r>
        <w:rPr>
          <w:rStyle w:val="19"/>
          <w:rFonts w:hint="eastAsia" w:ascii="仿宋_GB2312" w:hAnsi="仿宋_GB2312" w:eastAsia="仿宋_GB2312" w:cs="仿宋_GB2312"/>
          <w:b w:val="0"/>
          <w:bCs w:val="0"/>
          <w:color w:val="000000"/>
          <w:spacing w:val="-4"/>
          <w:sz w:val="32"/>
          <w:szCs w:val="32"/>
        </w:rPr>
        <w:t>　　按计划完成项目实施，已做满意度调查问卷，爱国人士满意率达９８%，服务对象满意度指标完成。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（二）项目绩效目标未完成原因分析</w:t>
      </w:r>
    </w:p>
    <w:p>
      <w:pPr>
        <w:spacing w:line="560" w:lineRule="exact"/>
        <w:rPr>
          <w:rStyle w:val="19"/>
          <w:rFonts w:ascii="仿宋_GB2312" w:hAnsi="仿宋_GB2312" w:eastAsia="仿宋_GB2312" w:cs="仿宋_GB2312"/>
          <w:b w:val="0"/>
          <w:bCs w:val="0"/>
          <w:color w:val="000000"/>
          <w:spacing w:val="-4"/>
          <w:sz w:val="32"/>
          <w:szCs w:val="32"/>
        </w:rPr>
      </w:pPr>
      <w:r>
        <w:rPr>
          <w:rStyle w:val="19"/>
          <w:rFonts w:hint="eastAsia" w:ascii="仿宋_GB2312" w:hAnsi="仿宋_GB2312" w:eastAsia="仿宋_GB2312" w:cs="仿宋_GB2312"/>
          <w:b w:val="0"/>
          <w:bCs w:val="0"/>
          <w:color w:val="000000"/>
          <w:spacing w:val="-4"/>
          <w:sz w:val="32"/>
          <w:szCs w:val="32"/>
        </w:rPr>
        <w:t>　　不存在未完成情况，2019年本项目绩效目标全部达成，不存在未完成原因分析。</w:t>
      </w: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五、其他需要说明的问题</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（一）后续工作计划</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spacing w:val="-4"/>
          <w:sz w:val="32"/>
          <w:szCs w:val="32"/>
        </w:rPr>
        <w:t>通过2018年开展落实爱国人士生活补贴项目以来，取得了良好的社会效益，不断提升爱国爱党、遵纪守法的意识，不断提高知识文化水平，提升讲经解经能力，我们将在下一步的工作中更好总结经验，加强生活补贴的发放率，为新型服务型地点创造良好的条件。</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（二）主要经验及做法、存在问题和建议</w:t>
      </w:r>
    </w:p>
    <w:p>
      <w:pPr>
        <w:adjustRightInd w:val="0"/>
        <w:snapToGrid w:val="0"/>
        <w:spacing w:line="560" w:lineRule="exact"/>
        <w:ind w:firstLine="624" w:firstLineChars="200"/>
        <w:rPr>
          <w:rStyle w:val="19"/>
          <w:rFonts w:ascii="仿宋_GB2312" w:hAnsi="仿宋_GB2312" w:eastAsia="仿宋_GB2312" w:cs="仿宋_GB2312"/>
          <w:b w:val="0"/>
          <w:bCs w:val="0"/>
          <w:color w:val="000000"/>
          <w:spacing w:val="-4"/>
          <w:sz w:val="32"/>
          <w:szCs w:val="32"/>
        </w:rPr>
      </w:pPr>
      <w:r>
        <w:rPr>
          <w:rFonts w:hint="eastAsia" w:ascii="仿宋_GB2312" w:hAnsi="仿宋_GB2312" w:eastAsia="仿宋_GB2312" w:cs="仿宋_GB2312"/>
          <w:color w:val="000000"/>
          <w:spacing w:val="-4"/>
          <w:sz w:val="32"/>
          <w:szCs w:val="32"/>
        </w:rPr>
        <w:t>宗朗乡在爱国人士生活补贴项目实施过程中，</w:t>
      </w:r>
      <w:r>
        <w:rPr>
          <w:rStyle w:val="19"/>
          <w:rFonts w:hint="eastAsia" w:ascii="仿宋_GB2312" w:hAnsi="仿宋_GB2312" w:eastAsia="仿宋_GB2312" w:cs="仿宋_GB2312"/>
          <w:b w:val="0"/>
          <w:bCs w:val="0"/>
          <w:color w:val="000000"/>
          <w:spacing w:val="-4"/>
          <w:sz w:val="32"/>
          <w:szCs w:val="32"/>
        </w:rPr>
        <w:t>按照和谐的要求，进一步提高了学识水平和讲经解经能力，感受党的伟大，祖国的温暖。</w:t>
      </w:r>
    </w:p>
    <w:p>
      <w:pPr>
        <w:numPr>
          <w:ilvl w:val="0"/>
          <w:numId w:val="1"/>
        </w:num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通过预算绩效管理，总结了工作中的较好的经验，如：</w:t>
      </w:r>
      <w:r>
        <w:rPr>
          <w:rFonts w:hint="eastAsia" w:ascii="仿宋_GB2312" w:hAnsi="仿宋_GB2312" w:eastAsia="仿宋_GB2312" w:cs="仿宋_GB2312"/>
          <w:color w:val="000000"/>
          <w:spacing w:val="-4"/>
          <w:sz w:val="32"/>
          <w:szCs w:val="32"/>
        </w:rPr>
        <w:t>通过2018年爱国人士生活补贴项目投入，为爱国人员更好地提供为民服务打下了坚实的基础，</w:t>
      </w:r>
      <w:r>
        <w:rPr>
          <w:rStyle w:val="19"/>
          <w:rFonts w:hint="eastAsia" w:ascii="仿宋_GB2312" w:hAnsi="仿宋_GB2312" w:eastAsia="仿宋_GB2312" w:cs="仿宋_GB2312"/>
          <w:b w:val="0"/>
          <w:bCs w:val="0"/>
          <w:color w:val="000000"/>
          <w:spacing w:val="-4"/>
          <w:sz w:val="32"/>
          <w:szCs w:val="32"/>
        </w:rPr>
        <w:t>进一步提高了学识水平和讲经解经能力，感受党的伟大，祖国的温暖。</w:t>
      </w:r>
    </w:p>
    <w:p>
      <w:pPr>
        <w:numPr>
          <w:ilvl w:val="0"/>
          <w:numId w:val="1"/>
        </w:num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存在的问题</w:t>
      </w:r>
    </w:p>
    <w:p>
      <w:pPr>
        <w:adjustRightInd w:val="0"/>
        <w:snapToGrid w:val="0"/>
        <w:spacing w:line="560" w:lineRule="exact"/>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通过预算绩效管理，发现了工作中存在的不足，如当地爱国人员普遍综合素质不高，对国家和党的政策研究不够，宣传不到位，宣传覆盖率偏低。</w:t>
      </w:r>
    </w:p>
    <w:p>
      <w:pPr>
        <w:numPr>
          <w:ilvl w:val="0"/>
          <w:numId w:val="1"/>
        </w:num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建议</w:t>
      </w:r>
    </w:p>
    <w:p>
      <w:pPr>
        <w:adjustRightInd w:val="0"/>
        <w:snapToGrid w:val="0"/>
        <w:spacing w:line="560" w:lineRule="exact"/>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年初做好资金计划，按照项目进度及时拨付资金，使资金使用效益最大化，减少不必要的浪费，节约成本。</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（三）其他</w:t>
      </w:r>
    </w:p>
    <w:p>
      <w:pPr>
        <w:adjustRightInd w:val="0"/>
        <w:snapToGrid w:val="0"/>
        <w:spacing w:line="560" w:lineRule="exact"/>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无其他说明内容。</w:t>
      </w: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六、项目评价工作情况</w:t>
      </w:r>
    </w:p>
    <w:p>
      <w:pPr>
        <w:adjustRightInd w:val="0"/>
        <w:snapToGrid w:val="0"/>
        <w:spacing w:line="560" w:lineRule="exact"/>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本次评价通过文件研读、实地调研、数据分析等方式，全面了解爱国人士生活补贴项目项目资金的使用效率和效果，项目管理过程是否规范，是否完成了预期绩效目标等。同时，通过开展自我评价来总结经验和教训，为喀什地区爱国人士生活补贴项目项目今后的开展提供参考建议。</w:t>
      </w: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七、附表</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《喀什地区财政项目支出绩效自评表》</w:t>
      </w:r>
    </w:p>
    <w:p>
      <w:pPr>
        <w:spacing w:line="540" w:lineRule="exact"/>
        <w:rPr>
          <w:rStyle w:val="19"/>
          <w:rFonts w:ascii="仿宋_GB2312" w:hAnsi="仿宋_GB2312" w:eastAsia="仿宋_GB2312" w:cs="仿宋_GB2312"/>
          <w:b w:val="0"/>
          <w:bCs w:val="0"/>
          <w:spacing w:val="-4"/>
          <w:sz w:val="32"/>
          <w:szCs w:val="32"/>
        </w:rPr>
      </w:pPr>
    </w:p>
    <w:p>
      <w:pPr>
        <w:spacing w:line="540" w:lineRule="exact"/>
        <w:ind w:firstLine="567"/>
        <w:rPr>
          <w:rStyle w:val="19"/>
          <w:rFonts w:ascii="仿宋_GB2312" w:hAnsi="仿宋_GB2312" w:eastAsia="仿宋_GB2312" w:cs="仿宋_GB2312"/>
          <w:b w:val="0"/>
          <w:bCs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cs="Times New Roman"/>
      </w:rPr>
    </w:pPr>
    <w:r>
      <w:fldChar w:fldCharType="begin"/>
    </w:r>
    <w:r>
      <w:instrText xml:space="preserve">PAGE   \* MERGEFORMAT</w:instrText>
    </w:r>
    <w:r>
      <w:fldChar w:fldCharType="separate"/>
    </w:r>
    <w:r>
      <w:rPr>
        <w:lang w:val="zh-CN"/>
      </w:rPr>
      <w:t>1</w:t>
    </w:r>
    <w:r>
      <w:rPr>
        <w:lang w:val="zh-CN"/>
      </w:rPr>
      <w:fldChar w:fldCharType="end"/>
    </w:r>
  </w:p>
  <w:p>
    <w:pPr>
      <w:pStyle w:val="12"/>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B50CD"/>
    <w:rsid w:val="00121AE4"/>
    <w:rsid w:val="00136BCC"/>
    <w:rsid w:val="00146AAD"/>
    <w:rsid w:val="001A5369"/>
    <w:rsid w:val="001B23F1"/>
    <w:rsid w:val="001B3A40"/>
    <w:rsid w:val="00215471"/>
    <w:rsid w:val="00220617"/>
    <w:rsid w:val="00311626"/>
    <w:rsid w:val="00321CBD"/>
    <w:rsid w:val="00347D87"/>
    <w:rsid w:val="003C2CF9"/>
    <w:rsid w:val="004366A8"/>
    <w:rsid w:val="00502BA7"/>
    <w:rsid w:val="005162F1"/>
    <w:rsid w:val="00524CE7"/>
    <w:rsid w:val="00535153"/>
    <w:rsid w:val="00554F82"/>
    <w:rsid w:val="0056390D"/>
    <w:rsid w:val="005719B0"/>
    <w:rsid w:val="005D10D6"/>
    <w:rsid w:val="0063597F"/>
    <w:rsid w:val="00656E69"/>
    <w:rsid w:val="006B4896"/>
    <w:rsid w:val="007A593B"/>
    <w:rsid w:val="007D32F0"/>
    <w:rsid w:val="007E6716"/>
    <w:rsid w:val="00855E3A"/>
    <w:rsid w:val="008827FD"/>
    <w:rsid w:val="008D5E96"/>
    <w:rsid w:val="008E6B23"/>
    <w:rsid w:val="008F2612"/>
    <w:rsid w:val="00922CB9"/>
    <w:rsid w:val="0099379F"/>
    <w:rsid w:val="009E0772"/>
    <w:rsid w:val="009E5CD9"/>
    <w:rsid w:val="00A26421"/>
    <w:rsid w:val="00A40DDE"/>
    <w:rsid w:val="00A4293B"/>
    <w:rsid w:val="00A67D50"/>
    <w:rsid w:val="00A8691A"/>
    <w:rsid w:val="00AA78D4"/>
    <w:rsid w:val="00AC1946"/>
    <w:rsid w:val="00AE4773"/>
    <w:rsid w:val="00B40063"/>
    <w:rsid w:val="00B41F61"/>
    <w:rsid w:val="00BA2447"/>
    <w:rsid w:val="00BA46E6"/>
    <w:rsid w:val="00BF7355"/>
    <w:rsid w:val="00C56C72"/>
    <w:rsid w:val="00C87A8E"/>
    <w:rsid w:val="00C95952"/>
    <w:rsid w:val="00CA6457"/>
    <w:rsid w:val="00CB0722"/>
    <w:rsid w:val="00CC67BD"/>
    <w:rsid w:val="00D17F2E"/>
    <w:rsid w:val="00D30354"/>
    <w:rsid w:val="00D35A5E"/>
    <w:rsid w:val="00DD1016"/>
    <w:rsid w:val="00DF42A0"/>
    <w:rsid w:val="00E32AE0"/>
    <w:rsid w:val="00E564B5"/>
    <w:rsid w:val="00E769FE"/>
    <w:rsid w:val="00EA2CBE"/>
    <w:rsid w:val="00F10533"/>
    <w:rsid w:val="00F32FEE"/>
    <w:rsid w:val="00F64A32"/>
    <w:rsid w:val="00FB10BB"/>
    <w:rsid w:val="00FC3B55"/>
    <w:rsid w:val="00FE11B9"/>
    <w:rsid w:val="00FE5876"/>
    <w:rsid w:val="02E37DE9"/>
    <w:rsid w:val="0A5A5D6C"/>
    <w:rsid w:val="0D5D5A45"/>
    <w:rsid w:val="1606659B"/>
    <w:rsid w:val="17E421EC"/>
    <w:rsid w:val="24685BC7"/>
    <w:rsid w:val="250B2EDC"/>
    <w:rsid w:val="267E7D69"/>
    <w:rsid w:val="27A323C4"/>
    <w:rsid w:val="2AEC61DE"/>
    <w:rsid w:val="347362C2"/>
    <w:rsid w:val="422C0BA6"/>
    <w:rsid w:val="44AD1913"/>
    <w:rsid w:val="46896E1E"/>
    <w:rsid w:val="49672192"/>
    <w:rsid w:val="5BF32B42"/>
    <w:rsid w:val="603A4786"/>
    <w:rsid w:val="6FFE0FF8"/>
    <w:rsid w:val="7963696E"/>
    <w:rsid w:val="7D8F5214"/>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cs="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cs="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cs="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cs="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cs="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cs="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cs="Calibri"/>
      <w:kern w:val="0"/>
      <w:sz w:val="24"/>
      <w:szCs w:val="24"/>
    </w:rPr>
  </w:style>
  <w:style w:type="paragraph" w:styleId="9">
    <w:name w:val="heading 8"/>
    <w:basedOn w:val="1"/>
    <w:next w:val="1"/>
    <w:link w:val="28"/>
    <w:qFormat/>
    <w:uiPriority w:val="99"/>
    <w:pPr>
      <w:widowControl/>
      <w:spacing w:before="240" w:after="60"/>
      <w:jc w:val="left"/>
      <w:outlineLvl w:val="7"/>
    </w:pPr>
    <w:rPr>
      <w:rFonts w:ascii="Calibri" w:hAnsi="Calibri" w:cs="Calibri"/>
      <w:i/>
      <w:iCs/>
      <w:kern w:val="0"/>
      <w:sz w:val="24"/>
      <w:szCs w:val="24"/>
    </w:rPr>
  </w:style>
  <w:style w:type="paragraph" w:styleId="10">
    <w:name w:val="heading 9"/>
    <w:basedOn w:val="1"/>
    <w:next w:val="1"/>
    <w:link w:val="29"/>
    <w:qFormat/>
    <w:uiPriority w:val="99"/>
    <w:pPr>
      <w:widowControl/>
      <w:spacing w:before="240" w:after="60"/>
      <w:jc w:val="left"/>
      <w:outlineLvl w:val="8"/>
    </w:pPr>
    <w:rPr>
      <w:rFonts w:ascii="Cambria" w:hAnsi="Cambria" w:cs="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cs="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cs="Cambria"/>
      <w:kern w:val="0"/>
      <w:sz w:val="24"/>
      <w:szCs w:val="24"/>
    </w:rPr>
  </w:style>
  <w:style w:type="paragraph" w:styleId="15">
    <w:name w:val="Normal (Web)"/>
    <w:basedOn w:val="1"/>
    <w:uiPriority w:val="99"/>
    <w:rPr>
      <w:rFonts w:ascii="Calibri" w:hAnsi="Calibri" w:cs="Calibri"/>
      <w:sz w:val="24"/>
      <w:szCs w:val="24"/>
    </w:rPr>
  </w:style>
  <w:style w:type="paragraph" w:styleId="16">
    <w:name w:val="Title"/>
    <w:basedOn w:val="1"/>
    <w:next w:val="1"/>
    <w:link w:val="34"/>
    <w:qFormat/>
    <w:uiPriority w:val="99"/>
    <w:pPr>
      <w:widowControl/>
      <w:spacing w:before="240" w:after="60"/>
      <w:jc w:val="center"/>
      <w:outlineLvl w:val="0"/>
    </w:pPr>
    <w:rPr>
      <w:rFonts w:ascii="Cambria" w:hAnsi="Cambria" w:cs="Cambria"/>
      <w:b/>
      <w:bCs/>
      <w:kern w:val="28"/>
      <w:sz w:val="32"/>
      <w:szCs w:val="32"/>
    </w:rPr>
  </w:style>
  <w:style w:type="character" w:styleId="19">
    <w:name w:val="Strong"/>
    <w:basedOn w:val="18"/>
    <w:qFormat/>
    <w:uiPriority w:val="99"/>
    <w:rPr>
      <w:b/>
      <w:bCs/>
    </w:rPr>
  </w:style>
  <w:style w:type="character" w:styleId="20">
    <w:name w:val="Emphasis"/>
    <w:basedOn w:val="18"/>
    <w:qFormat/>
    <w:uiPriority w:val="99"/>
    <w:rPr>
      <w:rFonts w:ascii="Calibri" w:hAnsi="Calibri" w:cs="Calibri"/>
      <w:b/>
      <w:bCs/>
      <w:i/>
      <w:iCs/>
    </w:rPr>
  </w:style>
  <w:style w:type="character" w:customStyle="1" w:styleId="21">
    <w:name w:val="标题 1 Char"/>
    <w:basedOn w:val="18"/>
    <w:link w:val="2"/>
    <w:qFormat/>
    <w:locked/>
    <w:uiPriority w:val="99"/>
    <w:rPr>
      <w:rFonts w:ascii="Cambria" w:hAnsi="Cambria" w:eastAsia="宋体" w:cs="Cambria"/>
      <w:b/>
      <w:bCs/>
      <w:kern w:val="32"/>
      <w:sz w:val="32"/>
      <w:szCs w:val="32"/>
    </w:rPr>
  </w:style>
  <w:style w:type="character" w:customStyle="1" w:styleId="22">
    <w:name w:val="标题 2 Char"/>
    <w:basedOn w:val="18"/>
    <w:link w:val="3"/>
    <w:semiHidden/>
    <w:qFormat/>
    <w:locked/>
    <w:uiPriority w:val="99"/>
    <w:rPr>
      <w:rFonts w:ascii="Cambria" w:hAnsi="Cambria" w:eastAsia="宋体" w:cs="Cambria"/>
      <w:b/>
      <w:bCs/>
      <w:i/>
      <w:iCs/>
      <w:sz w:val="28"/>
      <w:szCs w:val="28"/>
    </w:rPr>
  </w:style>
  <w:style w:type="character" w:customStyle="1" w:styleId="23">
    <w:name w:val="标题 3 Char"/>
    <w:basedOn w:val="18"/>
    <w:link w:val="4"/>
    <w:semiHidden/>
    <w:qFormat/>
    <w:locked/>
    <w:uiPriority w:val="99"/>
    <w:rPr>
      <w:rFonts w:ascii="Cambria" w:hAnsi="Cambria" w:eastAsia="宋体" w:cs="Cambria"/>
      <w:b/>
      <w:bCs/>
      <w:sz w:val="26"/>
      <w:szCs w:val="26"/>
    </w:rPr>
  </w:style>
  <w:style w:type="character" w:customStyle="1" w:styleId="24">
    <w:name w:val="标题 4 Char"/>
    <w:basedOn w:val="18"/>
    <w:link w:val="5"/>
    <w:semiHidden/>
    <w:qFormat/>
    <w:locked/>
    <w:uiPriority w:val="99"/>
    <w:rPr>
      <w:b/>
      <w:bCs/>
      <w:sz w:val="28"/>
      <w:szCs w:val="28"/>
    </w:rPr>
  </w:style>
  <w:style w:type="character" w:customStyle="1" w:styleId="25">
    <w:name w:val="标题 5 Char"/>
    <w:basedOn w:val="18"/>
    <w:link w:val="6"/>
    <w:semiHidden/>
    <w:locked/>
    <w:uiPriority w:val="99"/>
    <w:rPr>
      <w:b/>
      <w:bCs/>
      <w:i/>
      <w:iCs/>
      <w:sz w:val="26"/>
      <w:szCs w:val="26"/>
    </w:rPr>
  </w:style>
  <w:style w:type="character" w:customStyle="1" w:styleId="26">
    <w:name w:val="标题 6 Char"/>
    <w:basedOn w:val="18"/>
    <w:link w:val="7"/>
    <w:semiHidden/>
    <w:qFormat/>
    <w:locked/>
    <w:uiPriority w:val="99"/>
    <w:rPr>
      <w:b/>
      <w:bCs/>
    </w:rPr>
  </w:style>
  <w:style w:type="character" w:customStyle="1" w:styleId="27">
    <w:name w:val="标题 7 Char"/>
    <w:basedOn w:val="18"/>
    <w:link w:val="8"/>
    <w:semiHidden/>
    <w:qFormat/>
    <w:locked/>
    <w:uiPriority w:val="99"/>
    <w:rPr>
      <w:sz w:val="24"/>
      <w:szCs w:val="24"/>
    </w:rPr>
  </w:style>
  <w:style w:type="character" w:customStyle="1" w:styleId="28">
    <w:name w:val="标题 8 Char"/>
    <w:basedOn w:val="18"/>
    <w:link w:val="9"/>
    <w:semiHidden/>
    <w:qFormat/>
    <w:locked/>
    <w:uiPriority w:val="99"/>
    <w:rPr>
      <w:i/>
      <w:iCs/>
      <w:sz w:val="24"/>
      <w:szCs w:val="24"/>
    </w:rPr>
  </w:style>
  <w:style w:type="character" w:customStyle="1" w:styleId="29">
    <w:name w:val="标题 9 Char"/>
    <w:basedOn w:val="18"/>
    <w:link w:val="10"/>
    <w:semiHidden/>
    <w:qFormat/>
    <w:locked/>
    <w:uiPriority w:val="99"/>
    <w:rPr>
      <w:rFonts w:ascii="Cambria" w:hAnsi="Cambria" w:eastAsia="宋体" w:cs="Cambria"/>
    </w:rPr>
  </w:style>
  <w:style w:type="character" w:customStyle="1" w:styleId="30">
    <w:name w:val="批注框文本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8"/>
    <w:link w:val="12"/>
    <w:locked/>
    <w:uiPriority w:val="99"/>
    <w:rPr>
      <w:rFonts w:ascii="Calibri" w:hAnsi="Calibri" w:eastAsia="宋体" w:cs="Calibri"/>
      <w:kern w:val="2"/>
      <w:sz w:val="18"/>
      <w:szCs w:val="18"/>
    </w:rPr>
  </w:style>
  <w:style w:type="character" w:customStyle="1" w:styleId="32">
    <w:name w:val="页眉 Char"/>
    <w:basedOn w:val="18"/>
    <w:link w:val="13"/>
    <w:locked/>
    <w:uiPriority w:val="99"/>
    <w:rPr>
      <w:rFonts w:ascii="Calibri" w:hAnsi="Calibri" w:eastAsia="宋体" w:cs="Calibri"/>
      <w:kern w:val="2"/>
      <w:sz w:val="18"/>
      <w:szCs w:val="18"/>
    </w:rPr>
  </w:style>
  <w:style w:type="character" w:customStyle="1" w:styleId="33">
    <w:name w:val="副标题 Char"/>
    <w:basedOn w:val="18"/>
    <w:link w:val="14"/>
    <w:locked/>
    <w:uiPriority w:val="99"/>
    <w:rPr>
      <w:rFonts w:ascii="Cambria" w:hAnsi="Cambria" w:eastAsia="宋体" w:cs="Cambria"/>
      <w:sz w:val="24"/>
      <w:szCs w:val="24"/>
    </w:rPr>
  </w:style>
  <w:style w:type="character" w:customStyle="1" w:styleId="34">
    <w:name w:val="标题 Char"/>
    <w:basedOn w:val="18"/>
    <w:link w:val="16"/>
    <w:locked/>
    <w:uiPriority w:val="99"/>
    <w:rPr>
      <w:rFonts w:ascii="Cambria" w:hAnsi="Cambria" w:eastAsia="宋体" w:cs="Cambria"/>
      <w:b/>
      <w:bCs/>
      <w:kern w:val="28"/>
      <w:sz w:val="32"/>
      <w:szCs w:val="32"/>
    </w:rPr>
  </w:style>
  <w:style w:type="paragraph" w:customStyle="1" w:styleId="35">
    <w:name w:val="No Spacing1"/>
    <w:basedOn w:val="1"/>
    <w:uiPriority w:val="99"/>
    <w:pPr>
      <w:widowControl/>
      <w:jc w:val="left"/>
    </w:pPr>
    <w:rPr>
      <w:rFonts w:ascii="Calibri" w:hAnsi="Calibri" w:cs="Calibri"/>
      <w:kern w:val="0"/>
      <w:sz w:val="24"/>
      <w:szCs w:val="24"/>
      <w:lang w:eastAsia="en-US"/>
    </w:rPr>
  </w:style>
  <w:style w:type="paragraph" w:customStyle="1" w:styleId="36">
    <w:name w:val="List Paragraph1"/>
    <w:basedOn w:val="1"/>
    <w:uiPriority w:val="99"/>
    <w:pPr>
      <w:widowControl/>
      <w:ind w:left="720"/>
      <w:jc w:val="left"/>
    </w:pPr>
    <w:rPr>
      <w:rFonts w:ascii="Calibri" w:hAnsi="Calibri" w:cs="Calibri"/>
      <w:kern w:val="0"/>
      <w:sz w:val="24"/>
      <w:szCs w:val="24"/>
      <w:lang w:eastAsia="en-US"/>
    </w:rPr>
  </w:style>
  <w:style w:type="paragraph" w:customStyle="1" w:styleId="37">
    <w:name w:val="Quote1"/>
    <w:basedOn w:val="1"/>
    <w:next w:val="1"/>
    <w:link w:val="38"/>
    <w:uiPriority w:val="99"/>
    <w:pPr>
      <w:widowControl/>
      <w:jc w:val="left"/>
    </w:pPr>
    <w:rPr>
      <w:rFonts w:ascii="Calibri" w:hAnsi="Calibri" w:cs="Calibri"/>
      <w:i/>
      <w:iCs/>
      <w:kern w:val="0"/>
      <w:sz w:val="24"/>
      <w:szCs w:val="24"/>
    </w:rPr>
  </w:style>
  <w:style w:type="character" w:customStyle="1" w:styleId="38">
    <w:name w:val="引用 Char"/>
    <w:basedOn w:val="18"/>
    <w:link w:val="37"/>
    <w:locked/>
    <w:uiPriority w:val="99"/>
    <w:rPr>
      <w:i/>
      <w:iCs/>
      <w:sz w:val="24"/>
      <w:szCs w:val="24"/>
    </w:rPr>
  </w:style>
  <w:style w:type="paragraph" w:customStyle="1" w:styleId="39">
    <w:name w:val="Intense Quote1"/>
    <w:basedOn w:val="1"/>
    <w:next w:val="1"/>
    <w:link w:val="40"/>
    <w:uiPriority w:val="99"/>
    <w:pPr>
      <w:widowControl/>
      <w:ind w:left="720" w:right="720"/>
      <w:jc w:val="left"/>
    </w:pPr>
    <w:rPr>
      <w:rFonts w:ascii="Calibri" w:hAnsi="Calibri" w:cs="Calibri"/>
      <w:b/>
      <w:bCs/>
      <w:i/>
      <w:iCs/>
      <w:kern w:val="0"/>
      <w:sz w:val="24"/>
      <w:szCs w:val="24"/>
    </w:rPr>
  </w:style>
  <w:style w:type="character" w:customStyle="1" w:styleId="40">
    <w:name w:val="明显引用 Char"/>
    <w:basedOn w:val="18"/>
    <w:link w:val="39"/>
    <w:locked/>
    <w:uiPriority w:val="99"/>
    <w:rPr>
      <w:b/>
      <w:bCs/>
      <w:i/>
      <w:iCs/>
      <w:sz w:val="24"/>
      <w:szCs w:val="24"/>
    </w:rPr>
  </w:style>
  <w:style w:type="character" w:customStyle="1" w:styleId="41">
    <w:name w:val="Subtle Emphasis1"/>
    <w:qFormat/>
    <w:uiPriority w:val="99"/>
    <w:rPr>
      <w:i/>
      <w:iCs/>
      <w:color w:val="auto"/>
    </w:rPr>
  </w:style>
  <w:style w:type="character" w:customStyle="1" w:styleId="42">
    <w:name w:val="Intense Emphasis1"/>
    <w:basedOn w:val="18"/>
    <w:uiPriority w:val="99"/>
    <w:rPr>
      <w:b/>
      <w:bCs/>
      <w:i/>
      <w:iCs/>
      <w:sz w:val="24"/>
      <w:szCs w:val="24"/>
      <w:u w:val="single"/>
    </w:rPr>
  </w:style>
  <w:style w:type="character" w:customStyle="1" w:styleId="43">
    <w:name w:val="Subtle Reference1"/>
    <w:basedOn w:val="18"/>
    <w:qFormat/>
    <w:uiPriority w:val="99"/>
    <w:rPr>
      <w:sz w:val="24"/>
      <w:szCs w:val="24"/>
      <w:u w:val="single"/>
    </w:rPr>
  </w:style>
  <w:style w:type="character" w:customStyle="1" w:styleId="44">
    <w:name w:val="Intense Reference1"/>
    <w:basedOn w:val="18"/>
    <w:uiPriority w:val="99"/>
    <w:rPr>
      <w:b/>
      <w:bCs/>
      <w:sz w:val="24"/>
      <w:szCs w:val="24"/>
      <w:u w:val="single"/>
    </w:rPr>
  </w:style>
  <w:style w:type="character" w:customStyle="1" w:styleId="45">
    <w:name w:val="Book Title1"/>
    <w:basedOn w:val="18"/>
    <w:uiPriority w:val="99"/>
    <w:rPr>
      <w:rFonts w:ascii="Cambria" w:hAnsi="Cambria" w:eastAsia="宋体" w:cs="Cambria"/>
      <w:b/>
      <w:bCs/>
      <w:i/>
      <w:iCs/>
      <w:sz w:val="24"/>
      <w:szCs w:val="24"/>
    </w:rPr>
  </w:style>
  <w:style w:type="paragraph" w:customStyle="1" w:styleId="46">
    <w:name w:val="TOC Heading1"/>
    <w:basedOn w:val="2"/>
    <w:next w:val="1"/>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6</Pages>
  <Words>386</Words>
  <Characters>2204</Characters>
  <Lines>18</Lines>
  <Paragraphs>5</Paragraphs>
  <TotalTime>0</TotalTime>
  <ScaleCrop>false</ScaleCrop>
  <LinksUpToDate>false</LinksUpToDate>
  <CharactersWithSpaces>2585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2023-11-24T06:34:54Z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