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rPr>
        <w:t>2018年度</w:t>
      </w:r>
      <w:r>
        <w:rPr>
          <w:rFonts w:hint="eastAsia" w:hAnsi="宋体" w:eastAsia="仿宋_GB2312" w:cs="宋体"/>
          <w:kern w:val="0"/>
          <w:sz w:val="36"/>
          <w:szCs w:val="36"/>
        </w:rPr>
        <w:t>）</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项目名称：叶城县宗朗乡安居富民补助项目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700" w:lineRule="exact"/>
        <w:ind w:firstLine="849" w:firstLineChars="236"/>
        <w:jc w:val="left"/>
        <w:rPr>
          <w:rFonts w:hAnsi="宋体" w:eastAsia="仿宋_GB2312" w:cs="宋体"/>
          <w:kern w:val="0"/>
          <w:sz w:val="36"/>
          <w:szCs w:val="36"/>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叶城县宗朗乡属党政机关行政部门，乡科级行政单位，辖6个行政村，31个村民小组，7097人，全乡维吾尔族占99%，主要以种植小麦、玉米为主，是叶城县的贫困乡。</w:t>
      </w:r>
    </w:p>
    <w:p>
      <w:pPr>
        <w:spacing w:line="560" w:lineRule="exact"/>
        <w:ind w:firstLine="579" w:firstLineChars="181"/>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主要职能：负责全乡党政行政管理事务。</w:t>
      </w:r>
      <w:bookmarkStart w:id="0" w:name="_GoBack"/>
      <w:bookmarkEnd w:id="0"/>
      <w:r>
        <w:rPr>
          <w:rFonts w:hint="eastAsia" w:ascii="仿宋_GB2312" w:hAnsi="仿宋_GB2312" w:eastAsia="仿宋_GB2312" w:cs="仿宋_GB2312"/>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提供社会服务。</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全乡105户，其中贫困户72户每户1.35万97.2万，一般户33户每户1.85万元61.05万元,合计158.25万元。实现安居富民建房户生产生活条件明显改善，享有便利可及的基本公共服务，收入水平明显提升，努力做到搬得出、稳得住、有事做、能致富，确从根本上解决住房问题。</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7"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spacing w:val="-4"/>
          <w:sz w:val="32"/>
          <w:szCs w:val="32"/>
        </w:rPr>
        <w:t>（</w:t>
      </w: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根据喀地财社［2018］10号、喀地财社［2018］83号、喀地财建［2018］92号文件要求，本项目资金158.25万元，其中财政资金158.25万元，其他资金0万元，资金到位158.25万元；资金到位率100%。</w:t>
      </w:r>
    </w:p>
    <w:p>
      <w:pPr>
        <w:spacing w:line="560" w:lineRule="exact"/>
        <w:ind w:firstLine="564" w:firstLineChars="181"/>
        <w:rPr>
          <w:rStyle w:val="19"/>
          <w:rFonts w:ascii="仿宋_GB2312" w:hAnsi="仿宋_GB2312" w:eastAsia="仿宋_GB2312" w:cs="仿宋_GB2312"/>
          <w:b w:val="0"/>
          <w:bCs w:val="0"/>
          <w:color w:val="0000FF"/>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喀地财社［2018］10号、喀地财社［2018］83号、喀地财建［2018］92号关于下达安居富民补助项目资金的文件，到位资金158.25万元，本项目实际支付资金158.25万元，预算执行率100%。项目资金主要用于支付安居富民补助费用158.25万元，结余0万元。”</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根据中央和自治区项目资金管理办法的要求，叶城县宗朗乡人民政府严格按照项目资金规定的专项资金支持的项目条件和范围要求，严格按照有关规定使用管理项目资金。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安居富民补助项目资金管理办法和地区财政资金管理制度支付资金；资金支付由本单位分管安居的领导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为保证项目质量和成本控制，我单位积极与叶城县安居办对接，进行了安居富民推进工作，制定《安居富民补助项目工作方案》，组织我乡全体安居富民房补助受益者进行宣传工作， 为保质保量完成提供了强有力的技术支撑，有效地推进了项目工作。</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安居富民补助项目制度》保障项目的顺利实施。项目的实施遵守相关法律法规和业务管理规定，项目资料齐全并及时装订、归档。已建立《安居富民补助项目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本项目共设置一级指标3个，二级指标9个，三级指标11个，其中已完成三级指标11个，指标完成率为100%。根据年初设定的绩效目标，此项目自评得分为</w:t>
      </w:r>
      <w:r>
        <w:rPr>
          <w:rFonts w:hint="eastAsia" w:ascii="仿宋_GB2312" w:hAnsi="仿宋_GB2312" w:eastAsia="仿宋_GB2312" w:cs="仿宋_GB2312"/>
          <w:bCs/>
          <w:sz w:val="32"/>
          <w:szCs w:val="32"/>
          <w:lang w:val="en-US" w:eastAsia="zh-CN"/>
        </w:rPr>
        <w:t>93</w:t>
      </w:r>
      <w:r>
        <w:rPr>
          <w:rFonts w:hint="eastAsia" w:ascii="仿宋_GB2312" w:hAnsi="仿宋_GB2312" w:eastAsia="仿宋_GB2312" w:cs="仿宋_GB2312"/>
          <w:bCs/>
          <w:sz w:val="32"/>
          <w:szCs w:val="32"/>
        </w:rPr>
        <w:t>分。</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数量指标全部完成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质量指标建房质量合格率100%</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按照申报目标的进度进行</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通过安居富民补助项目的实施着力改善农村农户住房条件，为当地财政减负158.25 万元。</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通过安居富民补助项目的实施着力改善农村农户住房条件，为当地财政减负158.25 万元，减轻农民建房负担。</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通过该项目的实施，为宗朗乡6个村中符合条件的农户建设安居富民保障房，提供了环境舒适的居住地点。让没有安全住房的广大住房安全有保障。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通过该项目的实施，解决了卫生厕所的环境污染问题，减小环境污染率。人居生活环境质量得到明显改善，提升居民生活便利，保障人民生命、财产安全。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建设宗朗乡6个村总共建设105套安居富民房，保障农民住房住房使用年限达35年。</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按计划完成项目实施，已做满意度调查问卷安居富民补助项目满意率达100%，服务对象满意度指标完成。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2019年我们将一如既往将继续按照上级部门的统一部署和工作安排，认真做好各项惠民工程的工作。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1、认真做好2019年村安居富民项目的申报。</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切实开展好安居富民项目的实施。采取有力措施：一是及时拨付安居富民项目资金；二是加大项目跟踪管理，争取在保证质量的前提下当年的项目当年全部实施完成；三是加快项目资金支付进度，确保当年的资金除去质保金以外全部支付完毕；四是做好项目档案收集与整理，当年的项目全部归档存档。</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w:t>
      </w:r>
      <w:r>
        <w:rPr>
          <w:rFonts w:hint="eastAsia" w:ascii="仿宋_GB2312" w:hAnsi="仿宋_GB2312" w:eastAsia="仿宋_GB2312" w:cs="仿宋_GB2312"/>
          <w:bCs/>
          <w:sz w:val="32"/>
          <w:szCs w:val="32"/>
        </w:rPr>
        <w:t>绩效申报与自评，确保项目实施后达到取得的效果，是改善农村生产生活条件，解决急需解决的问题，给农牧民带来 “看得见、摸得着”的实惠。</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通过预算绩效管理，发现了工作中存在的不足，如前期收集人员信息和人员更换的原因，影响了实施项目的进度。</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本次评价通过文件研读、实地调研、数据分析等方式，全面了解安居富民补助项目资金的使用效率和效果，项目管理过程是否规范，是否完成了预期绩效目标等。同时，通过开展自我评价来总结经验和教训，为</w:t>
      </w:r>
      <w:r>
        <w:rPr>
          <w:rStyle w:val="19"/>
          <w:rFonts w:hint="eastAsia" w:ascii="仿宋_GB2312" w:hAnsi="仿宋_GB2312" w:eastAsia="仿宋_GB2312" w:cs="仿宋_GB2312"/>
          <w:b w:val="0"/>
          <w:spacing w:val="-4"/>
          <w:sz w:val="32"/>
          <w:szCs w:val="32"/>
        </w:rPr>
        <w:t>喀什地</w:t>
      </w:r>
      <w:r>
        <w:rPr>
          <w:rFonts w:hint="eastAsia" w:ascii="仿宋_GB2312" w:hAnsi="仿宋_GB2312" w:eastAsia="仿宋_GB2312" w:cs="仿宋_GB2312"/>
          <w:sz w:val="32"/>
          <w:szCs w:val="32"/>
        </w:rPr>
        <w:t>区安居富民补助项目今后的开展提供参考建议。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D55F2"/>
    <w:rsid w:val="00121AE4"/>
    <w:rsid w:val="00136BCC"/>
    <w:rsid w:val="00146AAD"/>
    <w:rsid w:val="001B23F1"/>
    <w:rsid w:val="001B3A40"/>
    <w:rsid w:val="00220617"/>
    <w:rsid w:val="002C6D20"/>
    <w:rsid w:val="00311626"/>
    <w:rsid w:val="00321CBD"/>
    <w:rsid w:val="00347D87"/>
    <w:rsid w:val="003C2CF9"/>
    <w:rsid w:val="004366A8"/>
    <w:rsid w:val="00477AC0"/>
    <w:rsid w:val="00502BA7"/>
    <w:rsid w:val="005162F1"/>
    <w:rsid w:val="00535153"/>
    <w:rsid w:val="00554F82"/>
    <w:rsid w:val="0056390D"/>
    <w:rsid w:val="005719B0"/>
    <w:rsid w:val="005D10D6"/>
    <w:rsid w:val="0063597F"/>
    <w:rsid w:val="00656E69"/>
    <w:rsid w:val="006D13D4"/>
    <w:rsid w:val="007A593B"/>
    <w:rsid w:val="007D32F0"/>
    <w:rsid w:val="007E6716"/>
    <w:rsid w:val="00855E3A"/>
    <w:rsid w:val="008E6B23"/>
    <w:rsid w:val="008F2612"/>
    <w:rsid w:val="0090751E"/>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02F03"/>
    <w:rsid w:val="00D17F2E"/>
    <w:rsid w:val="00D30354"/>
    <w:rsid w:val="00D35A5E"/>
    <w:rsid w:val="00DD1016"/>
    <w:rsid w:val="00DF42A0"/>
    <w:rsid w:val="00E32AE0"/>
    <w:rsid w:val="00E564B5"/>
    <w:rsid w:val="00E769FE"/>
    <w:rsid w:val="00EA2CBE"/>
    <w:rsid w:val="00F32FEE"/>
    <w:rsid w:val="00FB10BB"/>
    <w:rsid w:val="00FC3B55"/>
    <w:rsid w:val="00FE11B9"/>
    <w:rsid w:val="02E37DE9"/>
    <w:rsid w:val="04CD0BDD"/>
    <w:rsid w:val="06D83760"/>
    <w:rsid w:val="0BF3385D"/>
    <w:rsid w:val="0D5D5A45"/>
    <w:rsid w:val="17E421EC"/>
    <w:rsid w:val="347362C2"/>
    <w:rsid w:val="3DDD4724"/>
    <w:rsid w:val="523E5012"/>
    <w:rsid w:val="5F691FAE"/>
    <w:rsid w:val="67E36990"/>
    <w:rsid w:val="6EFC4F2B"/>
    <w:rsid w:val="71390229"/>
    <w:rsid w:val="760D22C2"/>
    <w:rsid w:val="79C13126"/>
    <w:rsid w:val="7D097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392</Words>
  <Characters>2239</Characters>
  <Lines>18</Lines>
  <Paragraphs>5</Paragraphs>
  <TotalTime>1</TotalTime>
  <ScaleCrop>false</ScaleCrop>
  <LinksUpToDate>false</LinksUpToDate>
  <CharactersWithSpaces>2626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2023-11-24T06:32:48Z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