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黑体" w:hAnsi="黑体" w:eastAsia="黑体" w:cs="黑体"/>
          <w:b/>
          <w:kern w:val="0"/>
          <w:sz w:val="44"/>
          <w:szCs w:val="44"/>
          <w:lang w:val="en-US" w:eastAsia="zh-CN"/>
        </w:rPr>
      </w:pPr>
    </w:p>
    <w:p>
      <w:pPr>
        <w:spacing w:line="540" w:lineRule="exact"/>
        <w:jc w:val="center"/>
        <w:rPr>
          <w:rFonts w:hint="eastAsia" w:ascii="黑体" w:hAnsi="黑体" w:eastAsia="黑体" w:cs="黑体"/>
          <w:b/>
          <w:kern w:val="0"/>
          <w:sz w:val="44"/>
          <w:szCs w:val="44"/>
          <w:lang w:val="en-US" w:eastAsia="zh-CN"/>
        </w:rPr>
      </w:pPr>
    </w:p>
    <w:p>
      <w:pPr>
        <w:spacing w:line="540" w:lineRule="exact"/>
        <w:jc w:val="center"/>
        <w:rPr>
          <w:rFonts w:hint="eastAsia" w:ascii="黑体" w:hAnsi="黑体" w:eastAsia="黑体" w:cs="黑体"/>
          <w:b/>
          <w:kern w:val="0"/>
          <w:sz w:val="44"/>
          <w:szCs w:val="44"/>
          <w:lang w:val="en-US" w:eastAsia="zh-CN"/>
        </w:rPr>
      </w:pPr>
    </w:p>
    <w:p>
      <w:pPr>
        <w:spacing w:line="540" w:lineRule="exact"/>
        <w:jc w:val="center"/>
        <w:rPr>
          <w:rFonts w:hint="eastAsia" w:ascii="黑体" w:hAnsi="黑体" w:eastAsia="黑体" w:cs="黑体"/>
          <w:b/>
          <w:kern w:val="0"/>
          <w:sz w:val="44"/>
          <w:szCs w:val="44"/>
          <w:lang w:val="en-US" w:eastAsia="zh-CN"/>
        </w:rPr>
      </w:pPr>
    </w:p>
    <w:p>
      <w:pPr>
        <w:spacing w:line="540" w:lineRule="exact"/>
        <w:jc w:val="center"/>
        <w:rPr>
          <w:rFonts w:hint="eastAsia" w:ascii="黑体" w:hAnsi="黑体" w:eastAsia="黑体" w:cs="黑体"/>
          <w:b/>
          <w:kern w:val="0"/>
          <w:sz w:val="44"/>
          <w:szCs w:val="44"/>
          <w:lang w:val="en-US" w:eastAsia="zh-CN"/>
        </w:rPr>
      </w:pPr>
    </w:p>
    <w:p>
      <w:pPr>
        <w:spacing w:line="540" w:lineRule="exact"/>
        <w:jc w:val="center"/>
        <w:rPr>
          <w:rFonts w:hint="eastAsia" w:ascii="黑体" w:hAnsi="黑体" w:eastAsia="黑体" w:cs="黑体"/>
          <w:b/>
          <w:kern w:val="0"/>
          <w:sz w:val="44"/>
          <w:szCs w:val="44"/>
          <w:lang w:val="en-US" w:eastAsia="zh-CN"/>
        </w:rPr>
      </w:pPr>
    </w:p>
    <w:p>
      <w:pPr>
        <w:spacing w:line="540" w:lineRule="exact"/>
        <w:jc w:val="center"/>
        <w:rPr>
          <w:rFonts w:hint="eastAsia" w:ascii="黑体" w:hAnsi="黑体" w:eastAsia="黑体" w:cs="黑体"/>
          <w:b/>
          <w:kern w:val="0"/>
          <w:sz w:val="44"/>
          <w:szCs w:val="44"/>
          <w:lang w:val="en-US" w:eastAsia="zh-CN"/>
        </w:rPr>
      </w:pPr>
    </w:p>
    <w:p>
      <w:pPr>
        <w:spacing w:line="540" w:lineRule="exact"/>
        <w:jc w:val="center"/>
        <w:rPr>
          <w:rFonts w:hint="eastAsia" w:ascii="黑体" w:hAnsi="黑体" w:eastAsia="黑体" w:cs="黑体"/>
          <w:b/>
          <w:kern w:val="0"/>
          <w:sz w:val="44"/>
          <w:szCs w:val="44"/>
          <w:lang w:val="en-US" w:eastAsia="zh-CN"/>
        </w:rPr>
      </w:pPr>
      <w:bookmarkStart w:id="0" w:name="_GoBack"/>
      <w:bookmarkEnd w:id="0"/>
    </w:p>
    <w:p>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lang w:val="en-US" w:eastAsia="zh-CN"/>
        </w:rPr>
        <w:t>自治区财政</w:t>
      </w:r>
      <w:r>
        <w:rPr>
          <w:rFonts w:hint="eastAsia" w:ascii="方正小标宋简体" w:hAnsi="方正小标宋简体" w:eastAsia="方正小标宋简体" w:cs="方正小标宋简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700" w:lineRule="exact"/>
        <w:jc w:val="left"/>
        <w:rPr>
          <w:rFonts w:hint="eastAsia" w:hAnsi="宋体" w:eastAsia="仿宋_GB2312" w:cs="宋体"/>
          <w:kern w:val="0"/>
          <w:sz w:val="36"/>
          <w:szCs w:val="36"/>
        </w:rPr>
      </w:pPr>
    </w:p>
    <w:p>
      <w:pPr>
        <w:spacing w:line="700" w:lineRule="exact"/>
        <w:jc w:val="left"/>
        <w:rPr>
          <w:rFonts w:hint="eastAsia" w:hAnsi="宋体" w:eastAsia="仿宋_GB2312" w:cs="宋体"/>
          <w:kern w:val="0"/>
          <w:sz w:val="36"/>
          <w:szCs w:val="36"/>
        </w:rPr>
      </w:pPr>
    </w:p>
    <w:p>
      <w:pPr>
        <w:spacing w:line="700" w:lineRule="exact"/>
        <w:ind w:firstLine="360" w:firstLineChars="100"/>
        <w:jc w:val="left"/>
        <w:rPr>
          <w:rFonts w:hint="eastAsia" w:ascii="仿宋_GB2312" w:hAnsi="仿宋_GB2312" w:eastAsia="仿宋_GB2312" w:cs="仿宋_GB2312"/>
          <w:kern w:val="0"/>
          <w:sz w:val="36"/>
          <w:szCs w:val="36"/>
        </w:rPr>
      </w:pPr>
      <w:r>
        <w:rPr>
          <w:rFonts w:hint="eastAsia" w:hAnsi="宋体" w:eastAsia="仿宋_GB2312" w:cs="宋体"/>
          <w:kern w:val="0"/>
          <w:sz w:val="36"/>
          <w:szCs w:val="36"/>
        </w:rPr>
        <w:t xml:space="preserve"> </w:t>
      </w:r>
      <w:r>
        <w:rPr>
          <w:rFonts w:hint="eastAsia" w:ascii="仿宋_GB2312" w:hAnsi="仿宋_GB2312" w:eastAsia="仿宋_GB2312" w:cs="仿宋_GB2312"/>
          <w:kern w:val="0"/>
          <w:sz w:val="36"/>
          <w:szCs w:val="36"/>
        </w:rPr>
        <w:t>项目名称：农贸市场建设项目</w:t>
      </w:r>
    </w:p>
    <w:p>
      <w:pPr>
        <w:spacing w:line="700" w:lineRule="exact"/>
        <w:jc w:val="left"/>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 xml:space="preserve">     实施单位（公章）：叶城县</w:t>
      </w:r>
      <w:r>
        <w:rPr>
          <w:rFonts w:hint="eastAsia" w:ascii="仿宋_GB2312" w:hAnsi="仿宋_GB2312" w:eastAsia="仿宋_GB2312" w:cs="仿宋_GB2312"/>
          <w:kern w:val="0"/>
          <w:sz w:val="36"/>
          <w:szCs w:val="36"/>
          <w:lang w:eastAsia="zh-CN"/>
        </w:rPr>
        <w:t>柯克亚</w:t>
      </w:r>
      <w:r>
        <w:rPr>
          <w:rFonts w:hint="eastAsia" w:ascii="仿宋_GB2312" w:hAnsi="仿宋_GB2312" w:eastAsia="仿宋_GB2312" w:cs="仿宋_GB2312"/>
          <w:kern w:val="0"/>
          <w:sz w:val="36"/>
          <w:szCs w:val="36"/>
        </w:rPr>
        <w:t>乡人民政府</w:t>
      </w:r>
    </w:p>
    <w:p>
      <w:pPr>
        <w:spacing w:line="700" w:lineRule="exact"/>
        <w:ind w:firstLine="720" w:firstLineChars="200"/>
        <w:jc w:val="left"/>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主管部门（公章）：叶城县</w:t>
      </w:r>
      <w:r>
        <w:rPr>
          <w:rFonts w:hint="eastAsia" w:ascii="仿宋_GB2312" w:hAnsi="仿宋_GB2312" w:eastAsia="仿宋_GB2312" w:cs="仿宋_GB2312"/>
          <w:kern w:val="0"/>
          <w:sz w:val="36"/>
          <w:szCs w:val="36"/>
          <w:lang w:eastAsia="zh-CN"/>
        </w:rPr>
        <w:t>柯克亚</w:t>
      </w:r>
      <w:r>
        <w:rPr>
          <w:rFonts w:hint="eastAsia" w:ascii="仿宋_GB2312" w:hAnsi="仿宋_GB2312" w:eastAsia="仿宋_GB2312" w:cs="仿宋_GB2312"/>
          <w:kern w:val="0"/>
          <w:sz w:val="36"/>
          <w:szCs w:val="36"/>
        </w:rPr>
        <w:t>乡人民政府</w:t>
      </w:r>
    </w:p>
    <w:p>
      <w:pPr>
        <w:spacing w:line="700" w:lineRule="exact"/>
        <w:ind w:firstLine="720" w:firstLineChars="200"/>
        <w:jc w:val="left"/>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项目负责人（签章）：</w:t>
      </w:r>
      <w:r>
        <w:rPr>
          <w:rFonts w:hint="eastAsia" w:ascii="仿宋_GB2312" w:hAnsi="仿宋_GB2312" w:eastAsia="仿宋_GB2312" w:cs="仿宋_GB2312"/>
          <w:kern w:val="0"/>
          <w:sz w:val="36"/>
          <w:szCs w:val="36"/>
          <w:lang w:val="en-US" w:eastAsia="zh-CN"/>
        </w:rPr>
        <w:t>郑吉英</w:t>
      </w:r>
    </w:p>
    <w:p>
      <w:pPr>
        <w:spacing w:line="700" w:lineRule="exact"/>
        <w:ind w:firstLine="720" w:firstLineChars="200"/>
        <w:jc w:val="left"/>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填报时间：2018年11月23日</w:t>
      </w:r>
    </w:p>
    <w:p>
      <w:pPr>
        <w:spacing w:line="540" w:lineRule="exact"/>
        <w:jc w:val="center"/>
        <w:rPr>
          <w:rFonts w:hAnsi="宋体" w:eastAsia="仿宋_GB2312" w:cs="宋体"/>
          <w:kern w:val="0"/>
          <w:sz w:val="30"/>
          <w:szCs w:val="30"/>
        </w:rPr>
      </w:pPr>
    </w:p>
    <w:p>
      <w:pPr>
        <w:keepNext w:val="0"/>
        <w:keepLines w:val="0"/>
        <w:pageBreakBefore w:val="0"/>
        <w:kinsoku/>
        <w:wordWrap/>
        <w:overflowPunct/>
        <w:topLinePunct w:val="0"/>
        <w:autoSpaceDE/>
        <w:autoSpaceDN/>
        <w:bidi w:val="0"/>
        <w:spacing w:line="560" w:lineRule="atLeast"/>
        <w:ind w:left="0" w:leftChars="0" w:right="0" w:rightChars="0" w:firstLine="640"/>
        <w:textAlignment w:val="auto"/>
        <w:rPr>
          <w:rStyle w:val="19"/>
          <w:rFonts w:hint="eastAsia" w:ascii="黑体" w:hAnsi="黑体" w:eastAsia="黑体" w:cs="黑体"/>
          <w:b w:val="0"/>
          <w:bCs/>
          <w:spacing w:val="-4"/>
          <w:sz w:val="32"/>
          <w:szCs w:val="32"/>
        </w:rPr>
      </w:pPr>
      <w:r>
        <w:rPr>
          <w:rStyle w:val="19"/>
          <w:rFonts w:hint="eastAsia" w:ascii="黑体" w:hAnsi="黑体" w:eastAsia="黑体" w:cs="黑体"/>
          <w:b w:val="0"/>
          <w:bCs/>
          <w:spacing w:val="-4"/>
          <w:sz w:val="32"/>
          <w:szCs w:val="32"/>
        </w:rPr>
        <w:t>一、项目概况</w:t>
      </w:r>
    </w:p>
    <w:p>
      <w:pPr>
        <w:keepNext w:val="0"/>
        <w:keepLines w:val="0"/>
        <w:pageBreakBefore w:val="0"/>
        <w:kinsoku/>
        <w:wordWrap/>
        <w:overflowPunct/>
        <w:topLinePunct w:val="0"/>
        <w:autoSpaceDE/>
        <w:autoSpaceDN/>
        <w:bidi w:val="0"/>
        <w:spacing w:line="560" w:lineRule="atLeast"/>
        <w:ind w:left="0" w:leftChars="0" w:right="0" w:rightChars="0" w:firstLine="567"/>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（一）项目单位基本情况</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rightChars="0" w:firstLine="640" w:firstLineChars="200"/>
        <w:jc w:val="both"/>
        <w:textAlignment w:val="auto"/>
        <w:outlineLvl w:val="9"/>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叶城县柯克亚乡属党政机关行政部门，乡科级行政单位，辖14个行政村，1个普萨牧场；全乡有维、塔吉克等种族农牧民20602多人，农户5520户，全乡维吾尔族占95%，主要种植小麦、玉米及放牧牛羊，是叶城县的边远贫困乡镇之一。</w:t>
      </w:r>
      <w:r>
        <w:rPr>
          <w:rFonts w:hint="eastAsia" w:ascii="仿宋_GB2312" w:hAnsi="仿宋_GB2312" w:eastAsia="仿宋_GB2312" w:cs="仿宋_GB2312"/>
          <w:b w:val="0"/>
          <w:bCs/>
          <w:color w:val="000000"/>
          <w:sz w:val="32"/>
          <w:szCs w:val="32"/>
          <w:lang w:val="en-US" w:eastAsia="zh-CN"/>
        </w:rPr>
        <w:t xml:space="preserve">                                                柯克亚</w:t>
      </w:r>
      <w:r>
        <w:rPr>
          <w:rFonts w:hint="eastAsia" w:ascii="仿宋_GB2312" w:hAnsi="仿宋_GB2312" w:eastAsia="仿宋_GB2312" w:cs="仿宋_GB2312"/>
          <w:b w:val="0"/>
          <w:bCs/>
          <w:color w:val="000000"/>
          <w:sz w:val="32"/>
          <w:szCs w:val="32"/>
        </w:rPr>
        <w:t>乡人民政府为乡科级党政机关。下设：党政办、社会事务办、群众工作办、党建办四个部门。</w:t>
      </w:r>
    </w:p>
    <w:p>
      <w:pPr>
        <w:keepNext w:val="0"/>
        <w:keepLines w:val="0"/>
        <w:pageBreakBefore w:val="0"/>
        <w:kinsoku/>
        <w:wordWrap/>
        <w:overflowPunct/>
        <w:topLinePunct w:val="0"/>
        <w:autoSpaceDE/>
        <w:autoSpaceDN/>
        <w:bidi w:val="0"/>
        <w:spacing w:line="560" w:lineRule="atLeast"/>
        <w:ind w:left="0" w:leftChars="0" w:right="0" w:rightChars="0" w:firstLine="800" w:firstLineChars="250"/>
        <w:textAlignment w:val="auto"/>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编制人数79人，其中：行政人员编制57人，参照公务员管理的事业单位人员编制1人，全额拨款事业单位人员编制19人，经费自理事业单位人员编制2人，工勤编制0人。</w:t>
      </w:r>
    </w:p>
    <w:p>
      <w:pPr>
        <w:keepNext w:val="0"/>
        <w:keepLines w:val="0"/>
        <w:pageBreakBefore w:val="0"/>
        <w:kinsoku/>
        <w:wordWrap/>
        <w:overflowPunct/>
        <w:topLinePunct w:val="0"/>
        <w:autoSpaceDE/>
        <w:autoSpaceDN/>
        <w:bidi w:val="0"/>
        <w:spacing w:line="560" w:lineRule="atLeast"/>
        <w:ind w:left="0" w:leftChars="0" w:right="0" w:rightChars="0" w:firstLine="800" w:firstLineChars="250"/>
        <w:textAlignment w:val="auto"/>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lang w:eastAsia="zh-CN"/>
        </w:rPr>
        <w:t>截至</w:t>
      </w:r>
      <w:r>
        <w:rPr>
          <w:rFonts w:hint="eastAsia" w:ascii="仿宋_GB2312" w:hAnsi="仿宋_GB2312" w:eastAsia="仿宋_GB2312" w:cs="仿宋_GB2312"/>
          <w:b w:val="0"/>
          <w:bCs/>
          <w:color w:val="000000"/>
          <w:sz w:val="32"/>
          <w:szCs w:val="32"/>
        </w:rPr>
        <w:t>2018年12月末，乡机关实有在职人数98人，行政在职82人，事业在职16人，退休人员0人、遗属供养人员0人。</w:t>
      </w:r>
    </w:p>
    <w:p>
      <w:pPr>
        <w:keepNext w:val="0"/>
        <w:keepLines w:val="0"/>
        <w:pageBreakBefore w:val="0"/>
        <w:kinsoku/>
        <w:wordWrap/>
        <w:overflowPunct/>
        <w:topLinePunct w:val="0"/>
        <w:autoSpaceDE/>
        <w:autoSpaceDN/>
        <w:bidi w:val="0"/>
        <w:spacing w:line="560" w:lineRule="atLeast"/>
        <w:ind w:left="0" w:leftChars="0" w:right="0" w:rightChars="0" w:firstLine="312" w:firstLineChars="100"/>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（二）项目预算绩效目标设定情况</w:t>
      </w:r>
    </w:p>
    <w:p>
      <w:pPr>
        <w:keepNext w:val="0"/>
        <w:keepLines w:val="0"/>
        <w:pageBreakBefore w:val="0"/>
        <w:kinsoku/>
        <w:wordWrap/>
        <w:overflowPunct/>
        <w:topLinePunct w:val="0"/>
        <w:autoSpaceDE/>
        <w:autoSpaceDN/>
        <w:bidi w:val="0"/>
        <w:spacing w:line="560" w:lineRule="atLeast"/>
        <w:ind w:left="0" w:leftChars="0" w:right="0" w:rightChars="0" w:firstLine="640" w:firstLineChars="200"/>
        <w:jc w:val="left"/>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项目资金</w:t>
      </w:r>
      <w:r>
        <w:rPr>
          <w:rFonts w:hint="eastAsia" w:ascii="仿宋_GB2312" w:hAnsi="仿宋_GB2312" w:eastAsia="仿宋_GB2312" w:cs="仿宋_GB2312"/>
          <w:b w:val="0"/>
          <w:bCs/>
          <w:sz w:val="32"/>
          <w:szCs w:val="32"/>
          <w:lang w:val="en-US" w:eastAsia="zh-CN"/>
        </w:rPr>
        <w:t>63.29</w:t>
      </w:r>
      <w:r>
        <w:rPr>
          <w:rFonts w:hint="eastAsia" w:ascii="仿宋_GB2312" w:hAnsi="仿宋_GB2312" w:eastAsia="仿宋_GB2312" w:cs="仿宋_GB2312"/>
          <w:b w:val="0"/>
          <w:bCs/>
          <w:sz w:val="32"/>
          <w:szCs w:val="32"/>
        </w:rPr>
        <w:t>万元，建设</w:t>
      </w:r>
      <w:r>
        <w:rPr>
          <w:rFonts w:hint="eastAsia" w:ascii="仿宋_GB2312" w:hAnsi="仿宋_GB2312" w:eastAsia="仿宋_GB2312" w:cs="仿宋_GB2312"/>
          <w:b w:val="0"/>
          <w:bCs/>
          <w:sz w:val="32"/>
          <w:szCs w:val="32"/>
          <w:lang w:val="en-US" w:eastAsia="zh-CN"/>
        </w:rPr>
        <w:t>4</w:t>
      </w:r>
      <w:r>
        <w:rPr>
          <w:rFonts w:hint="eastAsia" w:ascii="仿宋_GB2312" w:hAnsi="仿宋_GB2312" w:eastAsia="仿宋_GB2312" w:cs="仿宋_GB2312"/>
          <w:b w:val="0"/>
          <w:bCs/>
          <w:sz w:val="32"/>
          <w:szCs w:val="32"/>
        </w:rPr>
        <w:t>村的农贸市场，农村环境得到改善，促进地方经济发展，</w:t>
      </w:r>
      <w:r>
        <w:rPr>
          <w:rFonts w:hint="eastAsia" w:ascii="仿宋_GB2312" w:hAnsi="仿宋_GB2312" w:eastAsia="仿宋_GB2312" w:cs="仿宋_GB2312"/>
          <w:b w:val="0"/>
          <w:bCs/>
          <w:sz w:val="32"/>
          <w:szCs w:val="32"/>
          <w:lang w:val="en-US" w:eastAsia="zh-CN"/>
        </w:rPr>
        <w:t>增加村集体收入每年0.2万元。</w:t>
      </w:r>
      <w:r>
        <w:rPr>
          <w:rFonts w:hint="eastAsia" w:ascii="仿宋_GB2312" w:hAnsi="仿宋_GB2312" w:eastAsia="仿宋_GB2312" w:cs="仿宋_GB2312"/>
          <w:b w:val="0"/>
          <w:bCs/>
          <w:sz w:val="32"/>
          <w:szCs w:val="32"/>
        </w:rPr>
        <w:t>并且严格按照会计制度的要求支出，规范化使用农贸市场</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将每一分钱花在刀刃上，提高群众满意度。</w:t>
      </w:r>
    </w:p>
    <w:p>
      <w:pPr>
        <w:keepNext w:val="0"/>
        <w:keepLines w:val="0"/>
        <w:pageBreakBefore w:val="0"/>
        <w:kinsoku/>
        <w:wordWrap/>
        <w:overflowPunct/>
        <w:topLinePunct w:val="0"/>
        <w:autoSpaceDE/>
        <w:autoSpaceDN/>
        <w:bidi w:val="0"/>
        <w:spacing w:line="560" w:lineRule="atLeast"/>
        <w:ind w:left="0" w:leftChars="0" w:right="0" w:rightChars="0" w:firstLine="640"/>
        <w:textAlignment w:val="auto"/>
        <w:rPr>
          <w:rStyle w:val="19"/>
          <w:rFonts w:hint="eastAsia" w:ascii="黑体" w:hAnsi="黑体" w:eastAsia="黑体" w:cs="黑体"/>
          <w:b w:val="0"/>
          <w:bCs/>
          <w:spacing w:val="-4"/>
          <w:sz w:val="32"/>
          <w:szCs w:val="32"/>
        </w:rPr>
      </w:pPr>
      <w:r>
        <w:rPr>
          <w:rStyle w:val="19"/>
          <w:rFonts w:hint="eastAsia" w:ascii="黑体" w:hAnsi="黑体" w:eastAsia="黑体" w:cs="黑体"/>
          <w:b w:val="0"/>
          <w:bCs/>
          <w:spacing w:val="-4"/>
          <w:sz w:val="32"/>
          <w:szCs w:val="32"/>
        </w:rPr>
        <w:t>二、项目资金使用及管理情况</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（一）项目资金安排落实、总投入等情况分析</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480" w:firstLineChars="150"/>
        <w:textAlignment w:val="auto"/>
        <w:outlineLvl w:val="0"/>
        <w:rPr>
          <w:rStyle w:val="19"/>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z w:val="32"/>
          <w:szCs w:val="32"/>
        </w:rPr>
        <w:t>根据文件要求，本项目资金</w:t>
      </w:r>
      <w:r>
        <w:rPr>
          <w:rFonts w:hint="eastAsia" w:ascii="仿宋_GB2312" w:hAnsi="仿宋_GB2312" w:eastAsia="仿宋_GB2312" w:cs="仿宋_GB2312"/>
          <w:b w:val="0"/>
          <w:bCs/>
          <w:sz w:val="32"/>
          <w:szCs w:val="32"/>
          <w:lang w:val="en-US" w:eastAsia="zh-CN"/>
        </w:rPr>
        <w:t>63.29</w:t>
      </w:r>
      <w:r>
        <w:rPr>
          <w:rFonts w:hint="eastAsia" w:ascii="仿宋_GB2312" w:hAnsi="仿宋_GB2312" w:eastAsia="仿宋_GB2312" w:cs="仿宋_GB2312"/>
          <w:b w:val="0"/>
          <w:bCs/>
          <w:sz w:val="32"/>
          <w:szCs w:val="32"/>
        </w:rPr>
        <w:t>万元，其中财政资金</w:t>
      </w:r>
      <w:r>
        <w:rPr>
          <w:rFonts w:hint="eastAsia" w:ascii="仿宋_GB2312" w:hAnsi="仿宋_GB2312" w:eastAsia="仿宋_GB2312" w:cs="仿宋_GB2312"/>
          <w:b w:val="0"/>
          <w:bCs/>
          <w:sz w:val="32"/>
          <w:szCs w:val="32"/>
          <w:lang w:val="en-US" w:eastAsia="zh-CN"/>
        </w:rPr>
        <w:t>63.29</w:t>
      </w:r>
      <w:r>
        <w:rPr>
          <w:rFonts w:hint="eastAsia" w:ascii="仿宋_GB2312" w:hAnsi="仿宋_GB2312" w:eastAsia="仿宋_GB2312" w:cs="仿宋_GB2312"/>
          <w:b w:val="0"/>
          <w:bCs/>
          <w:sz w:val="32"/>
          <w:szCs w:val="32"/>
        </w:rPr>
        <w:t>万元，其他资金0万元，</w:t>
      </w:r>
      <w:r>
        <w:rPr>
          <w:rFonts w:hint="eastAsia" w:ascii="仿宋_GB2312" w:hAnsi="仿宋_GB2312" w:eastAsia="仿宋_GB2312" w:cs="仿宋_GB2312"/>
          <w:b w:val="0"/>
          <w:bCs/>
          <w:spacing w:val="-4"/>
          <w:sz w:val="32"/>
          <w:szCs w:val="32"/>
        </w:rPr>
        <w:t>资金到位</w:t>
      </w:r>
      <w:r>
        <w:rPr>
          <w:rFonts w:hint="eastAsia" w:ascii="仿宋_GB2312" w:hAnsi="仿宋_GB2312" w:eastAsia="仿宋_GB2312" w:cs="仿宋_GB2312"/>
          <w:b w:val="0"/>
          <w:bCs/>
          <w:sz w:val="32"/>
          <w:szCs w:val="32"/>
          <w:lang w:val="en-US" w:eastAsia="zh-CN"/>
        </w:rPr>
        <w:t>63.29</w:t>
      </w:r>
      <w:r>
        <w:rPr>
          <w:rFonts w:hint="eastAsia" w:ascii="仿宋_GB2312" w:hAnsi="仿宋_GB2312" w:eastAsia="仿宋_GB2312" w:cs="仿宋_GB2312"/>
          <w:b w:val="0"/>
          <w:bCs/>
          <w:spacing w:val="-4"/>
          <w:sz w:val="32"/>
          <w:szCs w:val="32"/>
        </w:rPr>
        <w:t>万元；资金到位率100.00%。</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Style w:val="19"/>
          <w:rFonts w:hint="eastAsia" w:ascii="仿宋_GB2312" w:hAnsi="仿宋_GB2312" w:eastAsia="仿宋_GB2312" w:cs="仿宋_GB2312"/>
          <w:b w:val="0"/>
          <w:bCs/>
          <w:color w:val="0000FF"/>
          <w:spacing w:val="-4"/>
          <w:sz w:val="32"/>
          <w:szCs w:val="32"/>
        </w:rPr>
      </w:pPr>
      <w:r>
        <w:rPr>
          <w:rStyle w:val="19"/>
          <w:rFonts w:hint="eastAsia" w:ascii="仿宋_GB2312" w:hAnsi="仿宋_GB2312" w:eastAsia="仿宋_GB2312" w:cs="仿宋_GB2312"/>
          <w:b w:val="0"/>
          <w:bCs/>
          <w:spacing w:val="-4"/>
          <w:sz w:val="32"/>
          <w:szCs w:val="32"/>
        </w:rPr>
        <w:t>（二）项目资金实际使用情况分析</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根据本年关于下达农贸市场建设项目资金的文件，到位资金56.88万元，本项目实际支付资金56.88万元，预算执行率100.00%项目资金主要用于支付</w:t>
      </w:r>
      <w:r>
        <w:rPr>
          <w:rFonts w:hint="eastAsia" w:ascii="仿宋_GB2312" w:hAnsi="仿宋_GB2312" w:eastAsia="仿宋_GB2312" w:cs="仿宋_GB2312"/>
          <w:b w:val="0"/>
          <w:bCs/>
          <w:spacing w:val="-4"/>
          <w:sz w:val="32"/>
          <w:szCs w:val="32"/>
          <w:lang w:val="en-US" w:eastAsia="zh-CN"/>
        </w:rPr>
        <w:t>4村</w:t>
      </w:r>
      <w:r>
        <w:rPr>
          <w:rFonts w:hint="eastAsia" w:ascii="仿宋_GB2312" w:hAnsi="仿宋_GB2312" w:eastAsia="仿宋_GB2312" w:cs="仿宋_GB2312"/>
          <w:b w:val="0"/>
          <w:bCs/>
          <w:spacing w:val="-4"/>
          <w:sz w:val="32"/>
          <w:szCs w:val="32"/>
        </w:rPr>
        <w:t>农贸市场建设项目费用</w:t>
      </w:r>
      <w:r>
        <w:rPr>
          <w:rFonts w:hint="eastAsia" w:ascii="仿宋_GB2312" w:hAnsi="仿宋_GB2312" w:eastAsia="仿宋_GB2312" w:cs="仿宋_GB2312"/>
          <w:b w:val="0"/>
          <w:bCs/>
          <w:sz w:val="32"/>
          <w:szCs w:val="32"/>
          <w:lang w:val="en-US" w:eastAsia="zh-CN"/>
        </w:rPr>
        <w:t>63.29</w:t>
      </w:r>
      <w:r>
        <w:rPr>
          <w:rFonts w:hint="eastAsia" w:ascii="仿宋_GB2312" w:hAnsi="仿宋_GB2312" w:eastAsia="仿宋_GB2312" w:cs="仿宋_GB2312"/>
          <w:b w:val="0"/>
          <w:bCs/>
          <w:spacing w:val="-4"/>
          <w:sz w:val="32"/>
          <w:szCs w:val="32"/>
        </w:rPr>
        <w:t>万元，结余0万元。</w:t>
      </w:r>
      <w:r>
        <w:rPr>
          <w:rFonts w:hint="eastAsia" w:ascii="仿宋_GB2312" w:hAnsi="仿宋_GB2312" w:eastAsia="仿宋_GB2312" w:cs="仿宋_GB2312"/>
          <w:b w:val="0"/>
          <w:bCs/>
          <w:sz w:val="32"/>
          <w:szCs w:val="32"/>
          <w:lang w:val="en-US" w:eastAsia="zh-CN"/>
        </w:rPr>
        <w:t>购买土地硬化及彩钢顶棚2284.84平方米，每年增加村集体收入0.2万元。</w:t>
      </w:r>
    </w:p>
    <w:p>
      <w:pPr>
        <w:keepNext w:val="0"/>
        <w:keepLines w:val="0"/>
        <w:pageBreakBefore w:val="0"/>
        <w:kinsoku/>
        <w:wordWrap/>
        <w:overflowPunct/>
        <w:topLinePunct w:val="0"/>
        <w:autoSpaceDE/>
        <w:autoSpaceDN/>
        <w:bidi w:val="0"/>
        <w:spacing w:line="560" w:lineRule="atLeast"/>
        <w:ind w:left="0" w:leftChars="0" w:right="0" w:rightChars="0" w:firstLine="312" w:firstLineChars="100"/>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（三）项目资金管理情况分析</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Style w:val="19"/>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本项目资金严格按照农贸市场建设项目资金管理办法和地区财政资金管理制度支付资金；</w:t>
      </w:r>
      <w:r>
        <w:rPr>
          <w:rFonts w:hint="eastAsia" w:ascii="仿宋_GB2312" w:hAnsi="仿宋_GB2312" w:eastAsia="仿宋_GB2312" w:cs="仿宋_GB2312"/>
          <w:b w:val="0"/>
          <w:bCs/>
          <w:spacing w:val="-4"/>
          <w:sz w:val="32"/>
          <w:szCs w:val="32"/>
          <w:lang w:val="en-US" w:eastAsia="zh-CN"/>
        </w:rPr>
        <w:t>根据新财农（2017）127号、喀地财农（2018）1号</w:t>
      </w:r>
      <w:r>
        <w:rPr>
          <w:rFonts w:hint="eastAsia" w:ascii="仿宋_GB2312" w:hAnsi="仿宋_GB2312" w:eastAsia="仿宋_GB2312" w:cs="仿宋_GB2312"/>
          <w:b w:val="0"/>
          <w:bCs/>
          <w:spacing w:val="-4"/>
          <w:sz w:val="32"/>
          <w:szCs w:val="32"/>
        </w:rPr>
        <w:t>通知对该类资金规范使用</w:t>
      </w:r>
      <w:r>
        <w:rPr>
          <w:rFonts w:hint="eastAsia" w:ascii="仿宋_GB2312" w:hAnsi="仿宋_GB2312" w:eastAsia="仿宋_GB2312" w:cs="仿宋_GB2312"/>
          <w:b w:val="0"/>
          <w:bCs/>
          <w:spacing w:val="-4"/>
          <w:sz w:val="32"/>
          <w:szCs w:val="32"/>
          <w:lang w:eastAsia="zh-CN"/>
        </w:rPr>
        <w:t>，</w:t>
      </w:r>
      <w:r>
        <w:rPr>
          <w:rFonts w:hint="eastAsia" w:ascii="仿宋_GB2312" w:hAnsi="仿宋_GB2312" w:eastAsia="仿宋_GB2312" w:cs="仿宋_GB2312"/>
          <w:b w:val="0"/>
          <w:bCs/>
          <w:spacing w:val="-4"/>
          <w:sz w:val="32"/>
          <w:szCs w:val="32"/>
        </w:rPr>
        <w:t>资金的支付有完整的审批程序和手续符合制度要求；不存在截留、挤占、挪用、虚列支出等情况。</w:t>
      </w:r>
    </w:p>
    <w:p>
      <w:pPr>
        <w:keepNext w:val="0"/>
        <w:keepLines w:val="0"/>
        <w:pageBreakBefore w:val="0"/>
        <w:kinsoku/>
        <w:wordWrap/>
        <w:overflowPunct/>
        <w:topLinePunct w:val="0"/>
        <w:autoSpaceDE/>
        <w:autoSpaceDN/>
        <w:bidi w:val="0"/>
        <w:spacing w:line="560" w:lineRule="atLeast"/>
        <w:ind w:left="0" w:leftChars="0" w:right="0" w:rightChars="0" w:firstLine="640"/>
        <w:textAlignment w:val="auto"/>
        <w:rPr>
          <w:rStyle w:val="19"/>
          <w:rFonts w:hint="eastAsia" w:ascii="黑体" w:hAnsi="黑体" w:eastAsia="黑体" w:cs="黑体"/>
          <w:b w:val="0"/>
          <w:bCs/>
          <w:spacing w:val="-4"/>
          <w:sz w:val="32"/>
          <w:szCs w:val="32"/>
        </w:rPr>
      </w:pPr>
      <w:r>
        <w:rPr>
          <w:rStyle w:val="19"/>
          <w:rFonts w:hint="eastAsia" w:ascii="黑体" w:hAnsi="黑体" w:eastAsia="黑体" w:cs="黑体"/>
          <w:b w:val="0"/>
          <w:bCs/>
          <w:spacing w:val="-4"/>
          <w:sz w:val="32"/>
          <w:szCs w:val="32"/>
        </w:rPr>
        <w:t>三、项目组织实施情况</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（一）项目组织情况分析</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jc w:val="left"/>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为保证项目质量和成本控制</w:t>
      </w:r>
      <w:r>
        <w:rPr>
          <w:rFonts w:hint="eastAsia" w:ascii="仿宋_GB2312" w:hAnsi="仿宋_GB2312" w:eastAsia="仿宋_GB2312" w:cs="仿宋_GB2312"/>
          <w:b w:val="0"/>
          <w:bCs/>
          <w:sz w:val="32"/>
          <w:szCs w:val="32"/>
        </w:rPr>
        <w:t>，我单位积极对接，进行农贸市场建设项目工作，制定《农贸市场建设项目工作方案》，为保质保量完成提供了强有力的技术支撑，有效地推进了项目工作，</w:t>
      </w:r>
      <w:r>
        <w:rPr>
          <w:rStyle w:val="19"/>
          <w:rFonts w:hint="eastAsia" w:ascii="仿宋_GB2312" w:hAnsi="仿宋_GB2312" w:eastAsia="仿宋_GB2312" w:cs="仿宋_GB2312"/>
          <w:b w:val="0"/>
          <w:bCs/>
          <w:spacing w:val="-4"/>
          <w:sz w:val="32"/>
          <w:szCs w:val="32"/>
        </w:rPr>
        <w:t>项目实施完成后，由本项目相关人员于2018年11月23日完成检查验收，检查验收合格后按合同规定支付款项。</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jc w:val="left"/>
        <w:textAlignment w:val="auto"/>
        <w:rPr>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pacing w:val="-4"/>
          <w:sz w:val="32"/>
          <w:szCs w:val="32"/>
        </w:rPr>
        <w:t>本项目不存在调整情况。</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（二）项目管理情况分析</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项目实施过程中，我单位建立了《农贸市场项目制度》保障项目的顺利实施。项目的实施遵守相关法律法规和业务管理规定，项目资料齐全并及时装订、归档。已建立《农贸市场项目管理制度》，不定期对项目进度情况进行督导检查，对检查过程中发现的问题及时督促整改，确保了项目按时保质完成。</w:t>
      </w:r>
    </w:p>
    <w:p>
      <w:pPr>
        <w:keepNext w:val="0"/>
        <w:keepLines w:val="0"/>
        <w:pageBreakBefore w:val="0"/>
        <w:kinsoku/>
        <w:wordWrap/>
        <w:overflowPunct/>
        <w:topLinePunct w:val="0"/>
        <w:autoSpaceDE/>
        <w:autoSpaceDN/>
        <w:bidi w:val="0"/>
        <w:spacing w:line="560" w:lineRule="atLeast"/>
        <w:ind w:left="0" w:leftChars="0" w:right="0" w:rightChars="0" w:firstLine="640"/>
        <w:textAlignment w:val="auto"/>
        <w:rPr>
          <w:rStyle w:val="19"/>
          <w:rFonts w:hint="eastAsia" w:ascii="黑体" w:hAnsi="黑体" w:eastAsia="黑体" w:cs="黑体"/>
          <w:b w:val="0"/>
          <w:bCs/>
          <w:sz w:val="32"/>
          <w:szCs w:val="32"/>
        </w:rPr>
      </w:pPr>
      <w:r>
        <w:rPr>
          <w:rStyle w:val="19"/>
          <w:rFonts w:hint="eastAsia" w:ascii="黑体" w:hAnsi="黑体" w:eastAsia="黑体" w:cs="黑体"/>
          <w:b w:val="0"/>
          <w:bCs/>
          <w:spacing w:val="-4"/>
          <w:sz w:val="32"/>
          <w:szCs w:val="32"/>
        </w:rPr>
        <w:t>四、项目绩效情况</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（一）项目绩效目标完成情况分析</w:t>
      </w:r>
    </w:p>
    <w:p>
      <w:pPr>
        <w:keepNext w:val="0"/>
        <w:keepLines w:val="0"/>
        <w:pageBreakBefore w:val="0"/>
        <w:widowControl/>
        <w:kinsoku/>
        <w:wordWrap/>
        <w:overflowPunct/>
        <w:topLinePunct w:val="0"/>
        <w:autoSpaceDE/>
        <w:autoSpaceDN/>
        <w:bidi w:val="0"/>
        <w:spacing w:line="560" w:lineRule="atLeast"/>
        <w:ind w:left="0" w:leftChars="0" w:right="0" w:rightChars="0" w:firstLine="640" w:firstLineChars="200"/>
        <w:jc w:val="left"/>
        <w:textAlignment w:val="auto"/>
        <w:rPr>
          <w:rFonts w:hint="eastAsia" w:ascii="仿宋_GB2312" w:hAnsi="仿宋_GB2312" w:eastAsia="仿宋_GB2312" w:cs="仿宋_GB2312"/>
          <w:b w:val="0"/>
          <w:bCs/>
          <w:kern w:val="0"/>
          <w:sz w:val="32"/>
          <w:szCs w:val="32"/>
        </w:rPr>
      </w:pPr>
      <w:r>
        <w:rPr>
          <w:rFonts w:hint="eastAsia" w:ascii="仿宋_GB2312" w:hAnsi="仿宋_GB2312" w:eastAsia="仿宋_GB2312" w:cs="仿宋_GB2312"/>
          <w:b w:val="0"/>
          <w:bCs/>
          <w:kern w:val="0"/>
          <w:sz w:val="32"/>
          <w:szCs w:val="32"/>
        </w:rPr>
        <w:t>本项目共设置一级指标3个，二级指标</w:t>
      </w:r>
      <w:r>
        <w:rPr>
          <w:rFonts w:hint="eastAsia" w:ascii="仿宋_GB2312" w:hAnsi="仿宋_GB2312" w:eastAsia="仿宋_GB2312" w:cs="仿宋_GB2312"/>
          <w:b w:val="0"/>
          <w:bCs/>
          <w:kern w:val="0"/>
          <w:sz w:val="32"/>
          <w:szCs w:val="32"/>
          <w:lang w:val="en-US" w:eastAsia="zh-CN"/>
        </w:rPr>
        <w:t>8</w:t>
      </w:r>
      <w:r>
        <w:rPr>
          <w:rFonts w:hint="eastAsia" w:ascii="仿宋_GB2312" w:hAnsi="仿宋_GB2312" w:eastAsia="仿宋_GB2312" w:cs="仿宋_GB2312"/>
          <w:b w:val="0"/>
          <w:bCs/>
          <w:kern w:val="0"/>
          <w:sz w:val="32"/>
          <w:szCs w:val="32"/>
        </w:rPr>
        <w:t>个，三级指标</w:t>
      </w:r>
      <w:r>
        <w:rPr>
          <w:rFonts w:hint="eastAsia" w:ascii="仿宋_GB2312" w:hAnsi="仿宋_GB2312" w:eastAsia="仿宋_GB2312" w:cs="仿宋_GB2312"/>
          <w:b w:val="0"/>
          <w:bCs/>
          <w:kern w:val="0"/>
          <w:sz w:val="32"/>
          <w:szCs w:val="32"/>
          <w:lang w:val="en-US" w:eastAsia="zh-CN"/>
        </w:rPr>
        <w:t>9</w:t>
      </w:r>
      <w:r>
        <w:rPr>
          <w:rFonts w:hint="eastAsia" w:ascii="仿宋_GB2312" w:hAnsi="仿宋_GB2312" w:eastAsia="仿宋_GB2312" w:cs="仿宋_GB2312"/>
          <w:b w:val="0"/>
          <w:bCs/>
          <w:kern w:val="0"/>
          <w:sz w:val="32"/>
          <w:szCs w:val="32"/>
        </w:rPr>
        <w:t>个，其中已完成三级指标</w:t>
      </w:r>
      <w:r>
        <w:rPr>
          <w:rFonts w:hint="eastAsia" w:ascii="仿宋_GB2312" w:hAnsi="仿宋_GB2312" w:eastAsia="仿宋_GB2312" w:cs="仿宋_GB2312"/>
          <w:b w:val="0"/>
          <w:bCs/>
          <w:kern w:val="0"/>
          <w:sz w:val="32"/>
          <w:szCs w:val="32"/>
          <w:lang w:val="en-US" w:eastAsia="zh-CN"/>
        </w:rPr>
        <w:t>9</w:t>
      </w:r>
      <w:r>
        <w:rPr>
          <w:rFonts w:hint="eastAsia" w:ascii="仿宋_GB2312" w:hAnsi="仿宋_GB2312" w:eastAsia="仿宋_GB2312" w:cs="仿宋_GB2312"/>
          <w:b w:val="0"/>
          <w:bCs/>
          <w:kern w:val="0"/>
          <w:sz w:val="32"/>
          <w:szCs w:val="32"/>
        </w:rPr>
        <w:t>个，指标完成率为100.00%。根据年初设定的绩效目标，此项目自评得分为92分。</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1.产出指标完成情况分析</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（1）项目完成数量</w:t>
      </w:r>
    </w:p>
    <w:p>
      <w:pPr>
        <w:keepNext w:val="0"/>
        <w:keepLines w:val="0"/>
        <w:pageBreakBefore w:val="0"/>
        <w:kinsoku/>
        <w:wordWrap/>
        <w:overflowPunct/>
        <w:topLinePunct w:val="0"/>
        <w:autoSpaceDE/>
        <w:autoSpaceDN/>
        <w:bidi w:val="0"/>
        <w:spacing w:line="560" w:lineRule="atLeast"/>
        <w:ind w:left="0" w:leftChars="0" w:right="0" w:rightChars="0" w:firstLine="1092" w:firstLineChars="35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土地硬化及彩钢顶棚面积</w:t>
      </w:r>
      <w:r>
        <w:rPr>
          <w:rFonts w:hint="eastAsia" w:ascii="仿宋_GB2312" w:hAnsi="仿宋_GB2312" w:eastAsia="仿宋_GB2312" w:cs="仿宋_GB2312"/>
          <w:b w:val="0"/>
          <w:bCs/>
          <w:spacing w:val="-4"/>
          <w:sz w:val="32"/>
          <w:szCs w:val="32"/>
          <w:lang w:val="en-US" w:eastAsia="zh-CN"/>
        </w:rPr>
        <w:t>2284.84</w:t>
      </w:r>
      <w:r>
        <w:rPr>
          <w:rFonts w:hint="eastAsia" w:ascii="仿宋_GB2312" w:hAnsi="仿宋_GB2312" w:eastAsia="仿宋_GB2312" w:cs="仿宋_GB2312"/>
          <w:b w:val="0"/>
          <w:bCs/>
          <w:spacing w:val="-4"/>
          <w:sz w:val="32"/>
          <w:szCs w:val="32"/>
        </w:rPr>
        <w:t>平方米</w:t>
      </w:r>
      <w:r>
        <w:rPr>
          <w:rFonts w:hint="eastAsia" w:ascii="仿宋_GB2312" w:hAnsi="仿宋_GB2312" w:eastAsia="仿宋_GB2312" w:cs="仿宋_GB2312"/>
          <w:b w:val="0"/>
          <w:bCs/>
          <w:spacing w:val="-4"/>
          <w:sz w:val="32"/>
          <w:szCs w:val="32"/>
          <w:lang w:eastAsia="zh-CN"/>
        </w:rPr>
        <w:t>，</w:t>
      </w:r>
      <w:r>
        <w:rPr>
          <w:rFonts w:hint="eastAsia" w:ascii="仿宋_GB2312" w:hAnsi="仿宋_GB2312" w:eastAsia="仿宋_GB2312" w:cs="仿宋_GB2312"/>
          <w:b w:val="0"/>
          <w:bCs/>
          <w:spacing w:val="-4"/>
          <w:sz w:val="32"/>
          <w:szCs w:val="32"/>
          <w:lang w:val="en-US" w:eastAsia="zh-CN"/>
        </w:rPr>
        <w:t>截至2018年项目完成时，已完成</w:t>
      </w:r>
      <w:r>
        <w:rPr>
          <w:rFonts w:hint="eastAsia" w:ascii="仿宋_GB2312" w:hAnsi="仿宋_GB2312" w:eastAsia="仿宋_GB2312" w:cs="仿宋_GB2312"/>
          <w:b w:val="0"/>
          <w:bCs/>
          <w:spacing w:val="-4"/>
          <w:sz w:val="32"/>
          <w:szCs w:val="32"/>
        </w:rPr>
        <w:t>土地硬化及彩钢顶棚面积</w:t>
      </w:r>
      <w:r>
        <w:rPr>
          <w:rFonts w:hint="eastAsia" w:ascii="仿宋_GB2312" w:hAnsi="仿宋_GB2312" w:eastAsia="仿宋_GB2312" w:cs="仿宋_GB2312"/>
          <w:b w:val="0"/>
          <w:bCs/>
          <w:spacing w:val="-4"/>
          <w:sz w:val="32"/>
          <w:szCs w:val="32"/>
          <w:lang w:val="en-US" w:eastAsia="zh-CN"/>
        </w:rPr>
        <w:t>2284.84</w:t>
      </w:r>
      <w:r>
        <w:rPr>
          <w:rFonts w:hint="eastAsia" w:ascii="仿宋_GB2312" w:hAnsi="仿宋_GB2312" w:eastAsia="仿宋_GB2312" w:cs="仿宋_GB2312"/>
          <w:b w:val="0"/>
          <w:bCs/>
          <w:spacing w:val="-4"/>
          <w:sz w:val="32"/>
          <w:szCs w:val="32"/>
        </w:rPr>
        <w:t>平方米</w:t>
      </w:r>
      <w:r>
        <w:rPr>
          <w:rFonts w:hint="eastAsia" w:ascii="仿宋_GB2312" w:hAnsi="仿宋_GB2312" w:eastAsia="仿宋_GB2312" w:cs="仿宋_GB2312"/>
          <w:b w:val="0"/>
          <w:bCs/>
          <w:spacing w:val="-4"/>
          <w:sz w:val="32"/>
          <w:szCs w:val="32"/>
          <w:lang w:val="en-US" w:eastAsia="zh-CN"/>
        </w:rPr>
        <w:t>，完成率为100%。</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（2）项目完成质量</w:t>
      </w:r>
    </w:p>
    <w:p>
      <w:pPr>
        <w:keepNext w:val="0"/>
        <w:keepLines w:val="0"/>
        <w:pageBreakBefore w:val="0"/>
        <w:kinsoku/>
        <w:wordWrap/>
        <w:overflowPunct/>
        <w:topLinePunct w:val="0"/>
        <w:autoSpaceDE/>
        <w:autoSpaceDN/>
        <w:bidi w:val="0"/>
        <w:spacing w:line="560" w:lineRule="atLeast"/>
        <w:ind w:left="0" w:leftChars="0" w:right="0" w:rightChars="0" w:firstLine="936" w:firstLineChars="3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地面硬化</w:t>
      </w:r>
      <w:r>
        <w:rPr>
          <w:rFonts w:hint="eastAsia" w:ascii="仿宋_GB2312" w:hAnsi="仿宋_GB2312" w:eastAsia="仿宋_GB2312" w:cs="仿宋_GB2312"/>
          <w:b w:val="0"/>
          <w:bCs/>
          <w:spacing w:val="-4"/>
          <w:sz w:val="32"/>
          <w:szCs w:val="32"/>
          <w:lang w:val="en-US" w:eastAsia="zh-CN"/>
        </w:rPr>
        <w:t>及彩钢顶棚</w:t>
      </w:r>
      <w:r>
        <w:rPr>
          <w:rFonts w:hint="eastAsia" w:ascii="仿宋_GB2312" w:hAnsi="仿宋_GB2312" w:eastAsia="仿宋_GB2312" w:cs="仿宋_GB2312"/>
          <w:b w:val="0"/>
          <w:bCs/>
          <w:spacing w:val="-4"/>
          <w:sz w:val="32"/>
          <w:szCs w:val="32"/>
        </w:rPr>
        <w:t>质量合格率100%</w:t>
      </w:r>
      <w:r>
        <w:rPr>
          <w:rFonts w:hint="eastAsia" w:ascii="仿宋_GB2312" w:hAnsi="仿宋_GB2312" w:eastAsia="仿宋_GB2312" w:cs="仿宋_GB2312"/>
          <w:b w:val="0"/>
          <w:bCs/>
          <w:spacing w:val="-4"/>
          <w:sz w:val="32"/>
          <w:szCs w:val="32"/>
          <w:lang w:eastAsia="zh-CN"/>
        </w:rPr>
        <w:t>，</w:t>
      </w:r>
      <w:r>
        <w:rPr>
          <w:rFonts w:hint="eastAsia" w:ascii="仿宋_GB2312" w:hAnsi="仿宋_GB2312" w:eastAsia="仿宋_GB2312" w:cs="仿宋_GB2312"/>
          <w:b w:val="0"/>
          <w:bCs/>
          <w:spacing w:val="-4"/>
          <w:sz w:val="32"/>
          <w:szCs w:val="32"/>
          <w:lang w:val="en-US" w:eastAsia="zh-CN"/>
        </w:rPr>
        <w:t>经检测，质量合格。</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（3）项目实施进度</w:t>
      </w:r>
    </w:p>
    <w:p>
      <w:pPr>
        <w:keepNext w:val="0"/>
        <w:keepLines w:val="0"/>
        <w:pageBreakBefore w:val="0"/>
        <w:kinsoku/>
        <w:wordWrap/>
        <w:overflowPunct/>
        <w:topLinePunct w:val="0"/>
        <w:autoSpaceDE/>
        <w:autoSpaceDN/>
        <w:bidi w:val="0"/>
        <w:spacing w:line="560" w:lineRule="atLeast"/>
        <w:ind w:left="0" w:leftChars="0" w:right="0" w:rightChars="0" w:firstLine="936" w:firstLineChars="3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项目完成及时率</w:t>
      </w:r>
      <w:r>
        <w:rPr>
          <w:rFonts w:hint="eastAsia" w:ascii="仿宋_GB2312" w:hAnsi="仿宋_GB2312" w:eastAsia="仿宋_GB2312" w:cs="仿宋_GB2312"/>
          <w:b w:val="0"/>
          <w:bCs/>
          <w:spacing w:val="-4"/>
          <w:sz w:val="32"/>
          <w:szCs w:val="32"/>
          <w:lang w:val="en-US" w:eastAsia="zh-CN"/>
        </w:rPr>
        <w:t>100%</w:t>
      </w:r>
      <w:r>
        <w:rPr>
          <w:rFonts w:hint="eastAsia" w:ascii="仿宋_GB2312" w:hAnsi="仿宋_GB2312" w:eastAsia="仿宋_GB2312" w:cs="仿宋_GB2312"/>
          <w:b w:val="0"/>
          <w:bCs/>
          <w:spacing w:val="-4"/>
          <w:sz w:val="32"/>
          <w:szCs w:val="32"/>
          <w:lang w:eastAsia="zh-CN"/>
        </w:rPr>
        <w:t>，</w:t>
      </w:r>
      <w:r>
        <w:rPr>
          <w:rFonts w:hint="eastAsia" w:ascii="仿宋_GB2312" w:hAnsi="仿宋_GB2312" w:eastAsia="仿宋_GB2312" w:cs="仿宋_GB2312"/>
          <w:b w:val="0"/>
          <w:bCs/>
          <w:spacing w:val="-4"/>
          <w:sz w:val="32"/>
          <w:szCs w:val="32"/>
          <w:lang w:val="en-US" w:eastAsia="zh-CN"/>
        </w:rPr>
        <w:t>所建设施已经投入使用。</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（4）项目成本节约情况</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 xml:space="preserve">   土地硬化及彩钢顶棚单价</w:t>
      </w:r>
      <w:r>
        <w:rPr>
          <w:rFonts w:hint="eastAsia" w:ascii="仿宋_GB2312" w:hAnsi="仿宋_GB2312" w:eastAsia="仿宋_GB2312" w:cs="仿宋_GB2312"/>
          <w:b w:val="0"/>
          <w:bCs/>
          <w:spacing w:val="-4"/>
          <w:sz w:val="32"/>
          <w:szCs w:val="32"/>
          <w:lang w:val="en-US" w:eastAsia="zh-CN"/>
        </w:rPr>
        <w:t>277</w:t>
      </w:r>
      <w:r>
        <w:rPr>
          <w:rFonts w:hint="eastAsia" w:ascii="仿宋_GB2312" w:hAnsi="仿宋_GB2312" w:eastAsia="仿宋_GB2312" w:cs="仿宋_GB2312"/>
          <w:b w:val="0"/>
          <w:bCs/>
          <w:spacing w:val="-4"/>
          <w:sz w:val="32"/>
          <w:szCs w:val="32"/>
        </w:rPr>
        <w:t>元/平方米</w:t>
      </w:r>
      <w:r>
        <w:rPr>
          <w:rFonts w:hint="eastAsia" w:ascii="仿宋_GB2312" w:hAnsi="仿宋_GB2312" w:eastAsia="仿宋_GB2312" w:cs="仿宋_GB2312"/>
          <w:b w:val="0"/>
          <w:bCs/>
          <w:spacing w:val="-4"/>
          <w:sz w:val="32"/>
          <w:szCs w:val="32"/>
          <w:lang w:eastAsia="zh-CN"/>
        </w:rPr>
        <w:t>，</w:t>
      </w:r>
      <w:r>
        <w:rPr>
          <w:rFonts w:hint="eastAsia" w:ascii="仿宋_GB2312" w:hAnsi="仿宋_GB2312" w:eastAsia="仿宋_GB2312" w:cs="仿宋_GB2312"/>
          <w:b w:val="0"/>
          <w:bCs/>
          <w:spacing w:val="-4"/>
          <w:sz w:val="32"/>
          <w:szCs w:val="32"/>
          <w:lang w:val="en-US" w:eastAsia="zh-CN"/>
        </w:rPr>
        <w:t>没有超预算</w:t>
      </w:r>
      <w:r>
        <w:rPr>
          <w:rFonts w:hint="eastAsia" w:ascii="仿宋_GB2312" w:hAnsi="仿宋_GB2312" w:eastAsia="仿宋_GB2312" w:cs="仿宋_GB2312"/>
          <w:b w:val="0"/>
          <w:bCs/>
          <w:spacing w:val="-4"/>
          <w:sz w:val="32"/>
          <w:szCs w:val="32"/>
          <w:lang w:eastAsia="zh-CN"/>
        </w:rPr>
        <w:t>。</w:t>
      </w:r>
    </w:p>
    <w:p>
      <w:pPr>
        <w:keepNext w:val="0"/>
        <w:keepLines w:val="0"/>
        <w:pageBreakBefore w:val="0"/>
        <w:kinsoku/>
        <w:wordWrap/>
        <w:overflowPunct/>
        <w:topLinePunct w:val="0"/>
        <w:autoSpaceDE/>
        <w:autoSpaceDN/>
        <w:bidi w:val="0"/>
        <w:spacing w:line="560" w:lineRule="atLeast"/>
        <w:ind w:left="0" w:leftChars="0" w:right="0" w:rightChars="0" w:firstLine="780" w:firstLineChars="25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2.效益指标完成情况分析</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（1）项目实施的经济效益分析</w:t>
      </w:r>
    </w:p>
    <w:p>
      <w:pPr>
        <w:keepNext w:val="0"/>
        <w:keepLines w:val="0"/>
        <w:pageBreakBefore w:val="0"/>
        <w:kinsoku/>
        <w:wordWrap/>
        <w:overflowPunct/>
        <w:topLinePunct w:val="0"/>
        <w:autoSpaceDE/>
        <w:autoSpaceDN/>
        <w:bidi w:val="0"/>
        <w:spacing w:line="560" w:lineRule="atLeast"/>
        <w:ind w:left="0" w:leftChars="0" w:right="0" w:rightChars="0" w:firstLine="780" w:firstLineChars="25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增加村集体收入</w:t>
      </w:r>
      <w:r>
        <w:rPr>
          <w:rFonts w:hint="eastAsia" w:ascii="仿宋_GB2312" w:hAnsi="仿宋_GB2312" w:eastAsia="仿宋_GB2312" w:cs="仿宋_GB2312"/>
          <w:b w:val="0"/>
          <w:bCs/>
          <w:spacing w:val="-4"/>
          <w:sz w:val="32"/>
          <w:szCs w:val="32"/>
          <w:lang w:val="en-US" w:eastAsia="zh-CN"/>
        </w:rPr>
        <w:t>0.2</w:t>
      </w:r>
      <w:r>
        <w:rPr>
          <w:rFonts w:hint="eastAsia" w:ascii="仿宋_GB2312" w:hAnsi="仿宋_GB2312" w:eastAsia="仿宋_GB2312" w:cs="仿宋_GB2312"/>
          <w:b w:val="0"/>
          <w:bCs/>
          <w:spacing w:val="-4"/>
          <w:sz w:val="32"/>
          <w:szCs w:val="32"/>
        </w:rPr>
        <w:t>万元/年，</w:t>
      </w:r>
      <w:r>
        <w:rPr>
          <w:rFonts w:hint="eastAsia" w:ascii="仿宋_GB2312" w:hAnsi="仿宋_GB2312" w:eastAsia="仿宋_GB2312" w:cs="仿宋_GB2312"/>
          <w:b w:val="0"/>
          <w:bCs/>
          <w:spacing w:val="-4"/>
          <w:sz w:val="32"/>
          <w:szCs w:val="32"/>
          <w:lang w:eastAsia="zh-CN"/>
        </w:rPr>
        <w:t>让农民在市场上交易，增加家庭收入，早日脱贫致富，为脱贫攻坚战打下坚实基础。</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（2）项目实施的社会效益分析</w:t>
      </w:r>
    </w:p>
    <w:p>
      <w:pPr>
        <w:keepNext w:val="0"/>
        <w:keepLines w:val="0"/>
        <w:pageBreakBefore w:val="0"/>
        <w:kinsoku/>
        <w:wordWrap/>
        <w:overflowPunct/>
        <w:topLinePunct w:val="0"/>
        <w:autoSpaceDE/>
        <w:autoSpaceDN/>
        <w:bidi w:val="0"/>
        <w:spacing w:line="560" w:lineRule="atLeast"/>
        <w:ind w:left="0" w:leftChars="0" w:right="0" w:rightChars="0" w:firstLine="780" w:firstLineChars="25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群众贫困户脱贫能力</w:t>
      </w:r>
      <w:r>
        <w:rPr>
          <w:rFonts w:hint="eastAsia" w:ascii="仿宋_GB2312" w:hAnsi="仿宋_GB2312" w:eastAsia="仿宋_GB2312" w:cs="仿宋_GB2312"/>
          <w:b w:val="0"/>
          <w:bCs/>
          <w:spacing w:val="-4"/>
          <w:sz w:val="32"/>
          <w:szCs w:val="32"/>
          <w:lang w:val="en-US" w:eastAsia="zh-CN"/>
        </w:rPr>
        <w:t>有效提高</w:t>
      </w:r>
      <w:r>
        <w:rPr>
          <w:rFonts w:hint="eastAsia" w:ascii="仿宋_GB2312" w:hAnsi="仿宋_GB2312" w:eastAsia="仿宋_GB2312" w:cs="仿宋_GB2312"/>
          <w:b w:val="0"/>
          <w:bCs/>
          <w:spacing w:val="-4"/>
          <w:sz w:val="32"/>
          <w:szCs w:val="32"/>
        </w:rPr>
        <w:t>，</w:t>
      </w:r>
      <w:r>
        <w:rPr>
          <w:rFonts w:hint="eastAsia" w:ascii="仿宋_GB2312" w:hAnsi="仿宋_GB2312" w:eastAsia="仿宋_GB2312" w:cs="仿宋_GB2312"/>
          <w:b w:val="0"/>
          <w:bCs/>
          <w:spacing w:val="-4"/>
          <w:sz w:val="32"/>
          <w:szCs w:val="32"/>
          <w:lang w:val="en-US" w:eastAsia="zh-CN"/>
        </w:rPr>
        <w:t>农民有了跟好的交易场地，可以及时将多余的农副产品出售，</w:t>
      </w:r>
      <w:r>
        <w:rPr>
          <w:rFonts w:hint="eastAsia" w:ascii="仿宋_GB2312" w:hAnsi="仿宋_GB2312" w:eastAsia="仿宋_GB2312" w:cs="仿宋_GB2312"/>
          <w:b w:val="0"/>
          <w:bCs/>
          <w:spacing w:val="-4"/>
          <w:sz w:val="32"/>
          <w:szCs w:val="32"/>
        </w:rPr>
        <w:t>社会效益指标已完成</w:t>
      </w:r>
      <w:r>
        <w:rPr>
          <w:rFonts w:hint="eastAsia" w:ascii="仿宋_GB2312" w:hAnsi="仿宋_GB2312" w:eastAsia="仿宋_GB2312" w:cs="仿宋_GB2312"/>
          <w:b w:val="0"/>
          <w:bCs/>
          <w:spacing w:val="-4"/>
          <w:sz w:val="32"/>
          <w:szCs w:val="32"/>
          <w:lang w:eastAsia="zh-CN"/>
        </w:rPr>
        <w:t>。</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（3）项目实施的生态效益分析</w:t>
      </w:r>
    </w:p>
    <w:p>
      <w:pPr>
        <w:keepNext w:val="0"/>
        <w:keepLines w:val="0"/>
        <w:pageBreakBefore w:val="0"/>
        <w:kinsoku/>
        <w:wordWrap/>
        <w:overflowPunct/>
        <w:topLinePunct w:val="0"/>
        <w:autoSpaceDE/>
        <w:autoSpaceDN/>
        <w:bidi w:val="0"/>
        <w:spacing w:line="560" w:lineRule="atLeast"/>
        <w:ind w:left="0" w:leftChars="0" w:right="0" w:rightChars="0" w:firstLine="1248" w:firstLineChars="400"/>
        <w:textAlignment w:val="auto"/>
        <w:rPr>
          <w:rFonts w:hint="eastAsia" w:ascii="仿宋_GB2312" w:hAnsi="仿宋_GB2312" w:eastAsia="仿宋_GB2312" w:cs="仿宋_GB2312"/>
          <w:b w:val="0"/>
          <w:bCs/>
          <w:spacing w:val="-4"/>
          <w:sz w:val="32"/>
          <w:szCs w:val="32"/>
          <w:lang w:val="en-US" w:eastAsia="zh-CN"/>
        </w:rPr>
      </w:pPr>
      <w:r>
        <w:rPr>
          <w:rFonts w:hint="eastAsia" w:ascii="仿宋_GB2312" w:hAnsi="仿宋_GB2312" w:eastAsia="仿宋_GB2312" w:cs="仿宋_GB2312"/>
          <w:b w:val="0"/>
          <w:bCs/>
          <w:spacing w:val="-4"/>
          <w:sz w:val="32"/>
          <w:szCs w:val="32"/>
          <w:lang w:val="en-US" w:eastAsia="zh-CN"/>
        </w:rPr>
        <w:t>无</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（4）项目实施的可持续影响分析</w:t>
      </w:r>
    </w:p>
    <w:p>
      <w:pPr>
        <w:keepNext w:val="0"/>
        <w:keepLines w:val="0"/>
        <w:pageBreakBefore w:val="0"/>
        <w:kinsoku/>
        <w:wordWrap/>
        <w:overflowPunct/>
        <w:topLinePunct w:val="0"/>
        <w:autoSpaceDE/>
        <w:autoSpaceDN/>
        <w:bidi w:val="0"/>
        <w:spacing w:line="560" w:lineRule="atLeast"/>
        <w:ind w:left="0" w:leftChars="0" w:right="0" w:rightChars="0" w:firstLine="936" w:firstLineChars="3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满足农产品交易率</w:t>
      </w:r>
      <w:r>
        <w:rPr>
          <w:rFonts w:hint="eastAsia" w:ascii="仿宋_GB2312" w:hAnsi="仿宋_GB2312" w:eastAsia="仿宋_GB2312" w:cs="仿宋_GB2312"/>
          <w:b w:val="0"/>
          <w:bCs/>
          <w:spacing w:val="-4"/>
          <w:sz w:val="32"/>
          <w:szCs w:val="32"/>
          <w:lang w:val="en-US" w:eastAsia="zh-CN"/>
        </w:rPr>
        <w:t>100</w:t>
      </w:r>
      <w:r>
        <w:rPr>
          <w:rFonts w:hint="eastAsia" w:ascii="仿宋_GB2312" w:hAnsi="仿宋_GB2312" w:eastAsia="仿宋_GB2312" w:cs="仿宋_GB2312"/>
          <w:b w:val="0"/>
          <w:bCs/>
          <w:spacing w:val="-4"/>
          <w:sz w:val="32"/>
          <w:szCs w:val="32"/>
        </w:rPr>
        <w:t>%</w:t>
      </w:r>
      <w:r>
        <w:rPr>
          <w:rFonts w:hint="eastAsia" w:ascii="仿宋_GB2312" w:hAnsi="仿宋_GB2312" w:eastAsia="仿宋_GB2312" w:cs="仿宋_GB2312"/>
          <w:b w:val="0"/>
          <w:bCs/>
          <w:spacing w:val="-4"/>
          <w:sz w:val="32"/>
          <w:szCs w:val="32"/>
          <w:lang w:eastAsia="zh-CN"/>
        </w:rPr>
        <w:t>，</w:t>
      </w:r>
      <w:r>
        <w:rPr>
          <w:rFonts w:hint="eastAsia" w:ascii="仿宋_GB2312" w:hAnsi="仿宋_GB2312" w:eastAsia="仿宋_GB2312" w:cs="仿宋_GB2312"/>
          <w:b w:val="0"/>
          <w:bCs/>
          <w:spacing w:val="-4"/>
          <w:sz w:val="32"/>
          <w:szCs w:val="32"/>
          <w:lang w:val="en-US" w:eastAsia="zh-CN"/>
        </w:rPr>
        <w:t>持续提高农民收入。</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3.满意度指标完成情况分析</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pacing w:val="-4"/>
          <w:sz w:val="32"/>
          <w:szCs w:val="32"/>
        </w:rPr>
        <w:t>按计划完成项目实施，已做满意度调查问卷，群众满意率达98%，服务对象满意度指标完成。</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（二）项目绩效目标未完成原因分析</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2019年本项目绩效目标全部达成，不存在未完成原因分析。</w:t>
      </w:r>
    </w:p>
    <w:p>
      <w:pPr>
        <w:keepNext w:val="0"/>
        <w:keepLines w:val="0"/>
        <w:pageBreakBefore w:val="0"/>
        <w:kinsoku/>
        <w:wordWrap/>
        <w:overflowPunct/>
        <w:topLinePunct w:val="0"/>
        <w:autoSpaceDE/>
        <w:autoSpaceDN/>
        <w:bidi w:val="0"/>
        <w:spacing w:line="560" w:lineRule="atLeast"/>
        <w:ind w:left="0" w:leftChars="0" w:right="0" w:rightChars="0" w:firstLine="640"/>
        <w:textAlignment w:val="auto"/>
        <w:rPr>
          <w:rStyle w:val="19"/>
          <w:rFonts w:hint="eastAsia" w:ascii="黑体" w:hAnsi="黑体" w:eastAsia="黑体" w:cs="黑体"/>
          <w:b w:val="0"/>
          <w:bCs/>
          <w:spacing w:val="-4"/>
          <w:sz w:val="32"/>
          <w:szCs w:val="32"/>
        </w:rPr>
      </w:pPr>
      <w:r>
        <w:rPr>
          <w:rStyle w:val="19"/>
          <w:rFonts w:hint="eastAsia" w:ascii="黑体" w:hAnsi="黑体" w:eastAsia="黑体" w:cs="黑体"/>
          <w:b w:val="0"/>
          <w:bCs/>
          <w:spacing w:val="-4"/>
          <w:sz w:val="32"/>
          <w:szCs w:val="32"/>
        </w:rPr>
        <w:t>五、其他需要说明的问题</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（一）后续工作计划</w:t>
      </w:r>
    </w:p>
    <w:p>
      <w:pPr>
        <w:keepNext w:val="0"/>
        <w:keepLines w:val="0"/>
        <w:pageBreakBefore w:val="0"/>
        <w:kinsoku/>
        <w:wordWrap/>
        <w:overflowPunct/>
        <w:topLinePunct w:val="0"/>
        <w:autoSpaceDE/>
        <w:autoSpaceDN/>
        <w:bidi w:val="0"/>
        <w:spacing w:line="560" w:lineRule="atLeast"/>
        <w:ind w:left="0" w:leftChars="0" w:right="0" w:rightChars="0" w:firstLine="579" w:firstLineChars="181"/>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lang w:eastAsia="zh-CN"/>
        </w:rPr>
        <w:t>截至</w:t>
      </w:r>
      <w:r>
        <w:rPr>
          <w:rFonts w:hint="eastAsia" w:ascii="仿宋_GB2312" w:hAnsi="仿宋_GB2312" w:eastAsia="仿宋_GB2312" w:cs="仿宋_GB2312"/>
          <w:b w:val="0"/>
          <w:bCs/>
          <w:sz w:val="32"/>
          <w:szCs w:val="32"/>
        </w:rPr>
        <w:t>目前，该项目已全部实施完毕，达到了项目预定绩效各项年度指标值。</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（二）主要经验及做法、存在问题和建议</w:t>
      </w:r>
    </w:p>
    <w:p>
      <w:pPr>
        <w:keepNext w:val="0"/>
        <w:keepLines w:val="0"/>
        <w:pageBreakBefore w:val="0"/>
        <w:numPr>
          <w:ilvl w:val="0"/>
          <w:numId w:val="1"/>
        </w:numPr>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主要经验及做法</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本次评价通过文件研读、实地调研、数据分析等方式，全面了解农贸市场建设项目资金的使用效率和效果，项目管理过程符合相关项目管理制度，完成了预期绩效目标及社会综合效益等。</w:t>
      </w:r>
    </w:p>
    <w:p>
      <w:pPr>
        <w:keepNext w:val="0"/>
        <w:keepLines w:val="0"/>
        <w:pageBreakBefore w:val="0"/>
        <w:numPr>
          <w:ilvl w:val="0"/>
          <w:numId w:val="1"/>
        </w:numPr>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存在的问题</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通过预算绩效管理，发现了工作中存在的不足，如前期资金使用因报账材料不完整原因未按期支付，导致了资金滞缓，影响了项目的进度，造成了部分资金的浪费。</w:t>
      </w:r>
    </w:p>
    <w:p>
      <w:pPr>
        <w:keepNext w:val="0"/>
        <w:keepLines w:val="0"/>
        <w:pageBreakBefore w:val="0"/>
        <w:numPr>
          <w:ilvl w:val="0"/>
          <w:numId w:val="1"/>
        </w:numPr>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建议</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年初做好资金计划，按照项目进度及时拨付资金，使资金使用效益最大化，减少不必要的浪费，节约成本。</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（三）其他</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无其他说明内容。</w:t>
      </w:r>
    </w:p>
    <w:p>
      <w:pPr>
        <w:keepNext w:val="0"/>
        <w:keepLines w:val="0"/>
        <w:pageBreakBefore w:val="0"/>
        <w:kinsoku/>
        <w:wordWrap/>
        <w:overflowPunct/>
        <w:topLinePunct w:val="0"/>
        <w:autoSpaceDE/>
        <w:autoSpaceDN/>
        <w:bidi w:val="0"/>
        <w:spacing w:line="560" w:lineRule="atLeast"/>
        <w:ind w:left="0" w:leftChars="0" w:right="0" w:rightChars="0" w:firstLine="640"/>
        <w:textAlignment w:val="auto"/>
        <w:rPr>
          <w:rStyle w:val="19"/>
          <w:rFonts w:hint="eastAsia" w:ascii="黑体" w:hAnsi="黑体" w:eastAsia="黑体" w:cs="黑体"/>
          <w:b w:val="0"/>
          <w:bCs/>
          <w:spacing w:val="-4"/>
          <w:sz w:val="32"/>
          <w:szCs w:val="32"/>
        </w:rPr>
      </w:pPr>
      <w:r>
        <w:rPr>
          <w:rStyle w:val="19"/>
          <w:rFonts w:hint="eastAsia" w:ascii="黑体" w:hAnsi="黑体" w:eastAsia="黑体" w:cs="黑体"/>
          <w:b w:val="0"/>
          <w:bCs/>
          <w:spacing w:val="-4"/>
          <w:sz w:val="32"/>
          <w:szCs w:val="32"/>
        </w:rPr>
        <w:t>六、项目评价工作情况</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pacing w:val="-4"/>
          <w:sz w:val="32"/>
          <w:szCs w:val="32"/>
        </w:rPr>
        <w:t>本次评价通过文件研读、实地调研、数据分析等方式，全面了解农贸市场建设项目资金的使用效率和效果，项目管理过程是否规范，是否完成了预期绩效目标等。同时，通过开展自我评价来总结经验和教训，为我乡农贸市场项目今后的开展提供参考建议。</w:t>
      </w:r>
    </w:p>
    <w:p>
      <w:pPr>
        <w:keepNext w:val="0"/>
        <w:keepLines w:val="0"/>
        <w:pageBreakBefore w:val="0"/>
        <w:kinsoku/>
        <w:wordWrap/>
        <w:overflowPunct/>
        <w:topLinePunct w:val="0"/>
        <w:autoSpaceDE/>
        <w:autoSpaceDN/>
        <w:bidi w:val="0"/>
        <w:spacing w:line="560" w:lineRule="atLeast"/>
        <w:ind w:left="0" w:leftChars="0" w:right="0" w:rightChars="0" w:firstLine="640"/>
        <w:textAlignment w:val="auto"/>
        <w:rPr>
          <w:rStyle w:val="19"/>
          <w:rFonts w:hint="eastAsia" w:ascii="黑体" w:hAnsi="黑体" w:eastAsia="黑体" w:cs="黑体"/>
          <w:b w:val="0"/>
          <w:bCs/>
          <w:spacing w:val="-4"/>
          <w:sz w:val="32"/>
          <w:szCs w:val="32"/>
        </w:rPr>
      </w:pPr>
      <w:r>
        <w:rPr>
          <w:rStyle w:val="19"/>
          <w:rFonts w:hint="eastAsia" w:ascii="黑体" w:hAnsi="黑体" w:eastAsia="黑体" w:cs="黑体"/>
          <w:b w:val="0"/>
          <w:bCs/>
          <w:spacing w:val="-4"/>
          <w:sz w:val="32"/>
          <w:szCs w:val="32"/>
        </w:rPr>
        <w:t>七、附表</w:t>
      </w:r>
    </w:p>
    <w:p>
      <w:pPr>
        <w:keepNext w:val="0"/>
        <w:keepLines w:val="0"/>
        <w:pageBreakBefore w:val="0"/>
        <w:kinsoku/>
        <w:wordWrap/>
        <w:overflowPunct/>
        <w:topLinePunct w:val="0"/>
        <w:autoSpaceDE/>
        <w:autoSpaceDN/>
        <w:bidi w:val="0"/>
        <w:spacing w:line="560" w:lineRule="atLeast"/>
        <w:ind w:left="0" w:leftChars="0" w:right="0" w:rightChars="0" w:firstLine="567"/>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《喀什地区财政项目支出绩效自评表》</w:t>
      </w:r>
      <w:r>
        <w:rPr>
          <w:rStyle w:val="19"/>
          <w:rFonts w:hint="eastAsia" w:ascii="仿宋_GB2312" w:hAnsi="仿宋_GB2312" w:eastAsia="仿宋_GB2312" w:cs="仿宋_GB2312"/>
          <w:b w:val="0"/>
          <w:bCs/>
          <w:spacing w:val="-4"/>
          <w:sz w:val="32"/>
          <w:szCs w:val="32"/>
          <w:lang w:eastAsia="zh-CN"/>
        </w:rPr>
        <w:t>。</w:t>
      </w:r>
    </w:p>
    <w:p>
      <w:pPr>
        <w:keepNext w:val="0"/>
        <w:keepLines w:val="0"/>
        <w:pageBreakBefore w:val="0"/>
        <w:kinsoku/>
        <w:wordWrap/>
        <w:overflowPunct/>
        <w:topLinePunct w:val="0"/>
        <w:autoSpaceDE/>
        <w:autoSpaceDN/>
        <w:bidi w:val="0"/>
        <w:spacing w:line="560" w:lineRule="atLeast"/>
        <w:ind w:left="0" w:leftChars="0" w:right="0" w:rightChars="0" w:firstLine="567"/>
        <w:textAlignment w:val="auto"/>
        <w:rPr>
          <w:rStyle w:val="19"/>
          <w:rFonts w:hint="eastAsia" w:ascii="仿宋_GB2312" w:hAnsi="仿宋_GB2312" w:eastAsia="仿宋_GB2312" w:cs="仿宋_GB2312"/>
          <w:b w:val="0"/>
          <w:bCs/>
          <w:spacing w:val="-4"/>
          <w:sz w:val="32"/>
          <w:szCs w:val="32"/>
        </w:rPr>
      </w:pPr>
    </w:p>
    <w:p>
      <w:pPr>
        <w:keepNext w:val="0"/>
        <w:keepLines w:val="0"/>
        <w:pageBreakBefore w:val="0"/>
        <w:kinsoku/>
        <w:wordWrap/>
        <w:overflowPunct/>
        <w:topLinePunct w:val="0"/>
        <w:autoSpaceDE/>
        <w:autoSpaceDN/>
        <w:bidi w:val="0"/>
        <w:spacing w:line="560" w:lineRule="atLeast"/>
        <w:ind w:left="0" w:leftChars="0" w:right="0" w:rightChars="0"/>
        <w:textAlignment w:val="auto"/>
        <w:rPr>
          <w:rStyle w:val="19"/>
          <w:rFonts w:ascii="仿宋" w:hAnsi="仿宋" w:eastAsia="仿宋"/>
          <w:b w:val="0"/>
          <w:spacing w:val="-4"/>
          <w:sz w:val="32"/>
          <w:szCs w:val="32"/>
        </w:rPr>
      </w:pPr>
    </w:p>
    <w:p>
      <w:pPr>
        <w:keepNext w:val="0"/>
        <w:keepLines w:val="0"/>
        <w:pageBreakBefore w:val="0"/>
        <w:kinsoku/>
        <w:wordWrap/>
        <w:overflowPunct/>
        <w:topLinePunct w:val="0"/>
        <w:autoSpaceDE/>
        <w:autoSpaceDN/>
        <w:bidi w:val="0"/>
        <w:spacing w:line="560" w:lineRule="atLeast"/>
        <w:ind w:left="0" w:leftChars="0" w:right="0" w:rightChars="0"/>
        <w:textAlignment w:val="auto"/>
        <w:rPr>
          <w:rStyle w:val="19"/>
          <w:rFonts w:ascii="仿宋" w:hAnsi="仿宋" w:eastAsia="仿宋"/>
          <w:b w:val="0"/>
          <w:spacing w:val="-4"/>
          <w:sz w:val="32"/>
          <w:szCs w:val="32"/>
        </w:rPr>
      </w:pPr>
    </w:p>
    <w:p>
      <w:pPr>
        <w:keepNext w:val="0"/>
        <w:keepLines w:val="0"/>
        <w:pageBreakBefore w:val="0"/>
        <w:kinsoku/>
        <w:wordWrap/>
        <w:overflowPunct/>
        <w:topLinePunct w:val="0"/>
        <w:autoSpaceDE/>
        <w:autoSpaceDN/>
        <w:bidi w:val="0"/>
        <w:spacing w:line="560" w:lineRule="atLeast"/>
        <w:ind w:left="0" w:leftChars="0" w:right="0" w:rightChars="0"/>
        <w:textAlignment w:val="auto"/>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6</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632DF"/>
    <w:rsid w:val="000A3ADF"/>
    <w:rsid w:val="000F1A24"/>
    <w:rsid w:val="000F5634"/>
    <w:rsid w:val="000F592C"/>
    <w:rsid w:val="00121AE4"/>
    <w:rsid w:val="00136BCC"/>
    <w:rsid w:val="00146AAD"/>
    <w:rsid w:val="00150D83"/>
    <w:rsid w:val="001A5061"/>
    <w:rsid w:val="001B23F1"/>
    <w:rsid w:val="001B3A40"/>
    <w:rsid w:val="00220617"/>
    <w:rsid w:val="00235CEA"/>
    <w:rsid w:val="00287F8A"/>
    <w:rsid w:val="002B320F"/>
    <w:rsid w:val="002F0346"/>
    <w:rsid w:val="00311626"/>
    <w:rsid w:val="00321CBD"/>
    <w:rsid w:val="00347D87"/>
    <w:rsid w:val="0036186A"/>
    <w:rsid w:val="00365279"/>
    <w:rsid w:val="003C2CF9"/>
    <w:rsid w:val="003D67CE"/>
    <w:rsid w:val="003E1B51"/>
    <w:rsid w:val="004366A8"/>
    <w:rsid w:val="00460554"/>
    <w:rsid w:val="00474314"/>
    <w:rsid w:val="004E1235"/>
    <w:rsid w:val="004E67A6"/>
    <w:rsid w:val="004E7C7C"/>
    <w:rsid w:val="00502BA7"/>
    <w:rsid w:val="00505828"/>
    <w:rsid w:val="005162F1"/>
    <w:rsid w:val="00535153"/>
    <w:rsid w:val="0054296A"/>
    <w:rsid w:val="00554F82"/>
    <w:rsid w:val="0056390D"/>
    <w:rsid w:val="005719B0"/>
    <w:rsid w:val="005B089D"/>
    <w:rsid w:val="005D10D6"/>
    <w:rsid w:val="005D2CD5"/>
    <w:rsid w:val="0063597F"/>
    <w:rsid w:val="00656E69"/>
    <w:rsid w:val="006F100C"/>
    <w:rsid w:val="00762BDF"/>
    <w:rsid w:val="00796278"/>
    <w:rsid w:val="007A593B"/>
    <w:rsid w:val="007D32F0"/>
    <w:rsid w:val="007D576E"/>
    <w:rsid w:val="007E6716"/>
    <w:rsid w:val="00834FFC"/>
    <w:rsid w:val="00855E3A"/>
    <w:rsid w:val="00886A10"/>
    <w:rsid w:val="008D3AE7"/>
    <w:rsid w:val="008E6B23"/>
    <w:rsid w:val="008F2612"/>
    <w:rsid w:val="00922CB9"/>
    <w:rsid w:val="0093436F"/>
    <w:rsid w:val="00940A92"/>
    <w:rsid w:val="00951B74"/>
    <w:rsid w:val="0099379F"/>
    <w:rsid w:val="009E5CD9"/>
    <w:rsid w:val="00A11D5F"/>
    <w:rsid w:val="00A26421"/>
    <w:rsid w:val="00A4293B"/>
    <w:rsid w:val="00A528D0"/>
    <w:rsid w:val="00A67D50"/>
    <w:rsid w:val="00A8691A"/>
    <w:rsid w:val="00AA78D4"/>
    <w:rsid w:val="00AC1946"/>
    <w:rsid w:val="00B40063"/>
    <w:rsid w:val="00B41F61"/>
    <w:rsid w:val="00B82481"/>
    <w:rsid w:val="00B850A7"/>
    <w:rsid w:val="00BA2447"/>
    <w:rsid w:val="00BA46E6"/>
    <w:rsid w:val="00BF7355"/>
    <w:rsid w:val="00C21A75"/>
    <w:rsid w:val="00C45931"/>
    <w:rsid w:val="00C56C72"/>
    <w:rsid w:val="00C87A8E"/>
    <w:rsid w:val="00C95952"/>
    <w:rsid w:val="00CA189B"/>
    <w:rsid w:val="00CA6457"/>
    <w:rsid w:val="00CB0722"/>
    <w:rsid w:val="00D17F2E"/>
    <w:rsid w:val="00D30354"/>
    <w:rsid w:val="00D35A5E"/>
    <w:rsid w:val="00DC0C3C"/>
    <w:rsid w:val="00DC363A"/>
    <w:rsid w:val="00DD1016"/>
    <w:rsid w:val="00DD1F77"/>
    <w:rsid w:val="00DE1B0D"/>
    <w:rsid w:val="00DF42A0"/>
    <w:rsid w:val="00E32AE0"/>
    <w:rsid w:val="00E564B5"/>
    <w:rsid w:val="00E769FE"/>
    <w:rsid w:val="00EA2CBE"/>
    <w:rsid w:val="00F32FEE"/>
    <w:rsid w:val="00F43622"/>
    <w:rsid w:val="00F63B4B"/>
    <w:rsid w:val="00FB10BB"/>
    <w:rsid w:val="00FC3B55"/>
    <w:rsid w:val="00FE11B9"/>
    <w:rsid w:val="02E37DE9"/>
    <w:rsid w:val="0D5D5A45"/>
    <w:rsid w:val="17E421EC"/>
    <w:rsid w:val="181D63F0"/>
    <w:rsid w:val="198D0D66"/>
    <w:rsid w:val="1EC00CA7"/>
    <w:rsid w:val="21D36F2F"/>
    <w:rsid w:val="26596BC9"/>
    <w:rsid w:val="272F1AE6"/>
    <w:rsid w:val="347362C2"/>
    <w:rsid w:val="42022581"/>
    <w:rsid w:val="44595A7C"/>
    <w:rsid w:val="48E3168D"/>
    <w:rsid w:val="53FA2C52"/>
    <w:rsid w:val="558628F4"/>
    <w:rsid w:val="5716267D"/>
    <w:rsid w:val="5E8A2B24"/>
    <w:rsid w:val="66E15C34"/>
    <w:rsid w:val="6C9702B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customStyle="1"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paragraph" w:customStyle="1" w:styleId="47">
    <w:name w:val="notice_title"/>
    <w:basedOn w:val="1"/>
    <w:qFormat/>
    <w:uiPriority w:val="0"/>
    <w:pPr>
      <w:widowControl/>
      <w:spacing w:after="225"/>
      <w:jc w:val="center"/>
    </w:pPr>
    <w:rPr>
      <w:rFonts w:ascii="宋体" w:hAnsi="宋体" w:cs="宋体"/>
      <w:b/>
      <w:bCs/>
      <w:color w:val="771325"/>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364</Words>
  <Characters>2080</Characters>
  <Lines>17</Lines>
  <Paragraphs>4</Paragraphs>
  <TotalTime>0</TotalTime>
  <ScaleCrop>false</ScaleCrop>
  <LinksUpToDate>false</LinksUpToDate>
  <CharactersWithSpaces>2440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2023-12-12T10:37:53Z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