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黑体" w:hAnsi="黑体" w:eastAsia="黑体" w:cs="黑体"/>
          <w:b/>
          <w:kern w:val="0"/>
          <w:sz w:val="44"/>
          <w:szCs w:val="44"/>
          <w:lang w:val="en-US" w:eastAsia="zh-CN"/>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val="en-US" w:eastAsia="zh-CN"/>
        </w:rPr>
        <w:t>自治区财政</w:t>
      </w:r>
      <w:bookmarkStart w:id="0" w:name="_GoBack"/>
      <w:bookmarkEnd w:id="0"/>
      <w:r>
        <w:rPr>
          <w:rFonts w:hint="eastAsia" w:ascii="方正小标宋简体" w:hAnsi="方正小标宋简体" w:eastAsia="方正小标宋简体" w:cs="方正小标宋简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项目名称：县级专项工作经费项目　</w:t>
      </w:r>
    </w:p>
    <w:p>
      <w:pPr>
        <w:spacing w:line="700" w:lineRule="exact"/>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实施单位（公章）：叶城县</w:t>
      </w:r>
      <w:r>
        <w:rPr>
          <w:rFonts w:hint="eastAsia" w:ascii="仿宋_GB2312" w:hAnsi="仿宋_GB2312" w:eastAsia="仿宋_GB2312" w:cs="仿宋_GB2312"/>
          <w:kern w:val="0"/>
          <w:sz w:val="36"/>
          <w:szCs w:val="36"/>
          <w:lang w:eastAsia="zh-CN"/>
        </w:rPr>
        <w:t>柯克亚</w:t>
      </w:r>
      <w:r>
        <w:rPr>
          <w:rFonts w:hint="eastAsia" w:ascii="仿宋_GB2312" w:hAnsi="仿宋_GB2312" w:eastAsia="仿宋_GB2312" w:cs="仿宋_GB2312"/>
          <w:kern w:val="0"/>
          <w:sz w:val="36"/>
          <w:szCs w:val="36"/>
        </w:rPr>
        <w:t>乡人民政府</w:t>
      </w:r>
    </w:p>
    <w:p>
      <w:pPr>
        <w:spacing w:line="700" w:lineRule="exact"/>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主管部门（公章）：叶城县</w:t>
      </w:r>
      <w:r>
        <w:rPr>
          <w:rFonts w:hint="eastAsia" w:ascii="仿宋_GB2312" w:hAnsi="仿宋_GB2312" w:eastAsia="仿宋_GB2312" w:cs="仿宋_GB2312"/>
          <w:kern w:val="0"/>
          <w:sz w:val="36"/>
          <w:szCs w:val="36"/>
          <w:lang w:eastAsia="zh-CN"/>
        </w:rPr>
        <w:t>柯克亚</w:t>
      </w:r>
      <w:r>
        <w:rPr>
          <w:rFonts w:hint="eastAsia" w:ascii="仿宋_GB2312" w:hAnsi="仿宋_GB2312" w:eastAsia="仿宋_GB2312" w:cs="仿宋_GB2312"/>
          <w:kern w:val="0"/>
          <w:sz w:val="36"/>
          <w:szCs w:val="36"/>
        </w:rPr>
        <w:t>乡人民政府</w:t>
      </w:r>
    </w:p>
    <w:p>
      <w:pPr>
        <w:spacing w:line="700" w:lineRule="exact"/>
        <w:jc w:val="left"/>
        <w:rPr>
          <w:rFonts w:hint="eastAsia" w:ascii="仿宋_GB2312" w:hAnsi="仿宋_GB2312" w:eastAsia="仿宋_GB2312" w:cs="仿宋_GB2312"/>
          <w:kern w:val="0"/>
          <w:sz w:val="36"/>
          <w:szCs w:val="36"/>
          <w:lang w:val="en-US" w:eastAsia="zh-CN"/>
        </w:rPr>
      </w:pPr>
      <w:r>
        <w:rPr>
          <w:rFonts w:hint="eastAsia" w:ascii="仿宋_GB2312" w:hAnsi="仿宋_GB2312" w:eastAsia="仿宋_GB2312" w:cs="仿宋_GB2312"/>
          <w:kern w:val="0"/>
          <w:sz w:val="36"/>
          <w:szCs w:val="36"/>
        </w:rPr>
        <w:t>项目负责人（签章）：</w:t>
      </w:r>
      <w:r>
        <w:rPr>
          <w:rFonts w:hint="eastAsia" w:ascii="仿宋_GB2312" w:hAnsi="仿宋_GB2312" w:eastAsia="仿宋_GB2312" w:cs="仿宋_GB2312"/>
          <w:kern w:val="0"/>
          <w:sz w:val="36"/>
          <w:szCs w:val="36"/>
          <w:lang w:val="en-US" w:eastAsia="zh-CN"/>
        </w:rPr>
        <w:t>郑吉英</w:t>
      </w:r>
    </w:p>
    <w:p>
      <w:pPr>
        <w:spacing w:line="700" w:lineRule="exact"/>
        <w:jc w:val="left"/>
        <w:rPr>
          <w:rFonts w:hAnsi="宋体" w:eastAsia="仿宋_GB2312" w:cs="宋体"/>
          <w:kern w:val="0"/>
          <w:sz w:val="36"/>
          <w:szCs w:val="36"/>
        </w:rPr>
      </w:pPr>
      <w:r>
        <w:rPr>
          <w:rFonts w:hint="eastAsia" w:ascii="仿宋_GB2312" w:hAnsi="仿宋_GB2312" w:eastAsia="仿宋_GB2312" w:cs="仿宋_GB2312"/>
          <w:kern w:val="0"/>
          <w:sz w:val="36"/>
          <w:szCs w:val="36"/>
        </w:rPr>
        <w:t>填报时间：2018年11月23日</w:t>
      </w:r>
    </w:p>
    <w:p>
      <w:pPr>
        <w:spacing w:line="540" w:lineRule="exact"/>
        <w:jc w:val="center"/>
        <w:rPr>
          <w:rFonts w:hAnsi="宋体" w:eastAsia="仿宋_GB2312" w:cs="宋体"/>
          <w:kern w:val="0"/>
          <w:sz w:val="30"/>
          <w:szCs w:val="30"/>
        </w:rPr>
      </w:pPr>
    </w:p>
    <w:p>
      <w:pPr>
        <w:keepNext w:val="0"/>
        <w:keepLines w:val="0"/>
        <w:pageBreakBefore w:val="0"/>
        <w:kinsoku/>
        <w:wordWrap/>
        <w:overflowPunct/>
        <w:topLinePunct w:val="0"/>
        <w:autoSpaceDE/>
        <w:autoSpaceDN/>
        <w:bidi w:val="0"/>
        <w:spacing w:line="560" w:lineRule="atLeast"/>
        <w:ind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一、项目概况</w:t>
      </w:r>
    </w:p>
    <w:p>
      <w:pPr>
        <w:keepNext w:val="0"/>
        <w:keepLines w:val="0"/>
        <w:pageBreakBefore w:val="0"/>
        <w:kinsoku/>
        <w:wordWrap/>
        <w:overflowPunct/>
        <w:topLinePunct w:val="0"/>
        <w:autoSpaceDE/>
        <w:autoSpaceDN/>
        <w:bidi w:val="0"/>
        <w:spacing w:line="560" w:lineRule="atLeast"/>
        <w:ind w:right="0" w:rightChars="0" w:firstLine="567"/>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rightChars="0" w:firstLine="640" w:firstLineChars="200"/>
        <w:jc w:val="both"/>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叶城县柯克亚乡属党政机关行政部门，乡科级行政单位，辖14个行政村，1个普萨牧场；全乡有维、塔吉克等种族农牧民20602多人，农户5520户，全乡维吾尔族占95%，主要种植小麦、玉米及放牧牛羊，是叶城县的边远贫困乡镇之一。</w:t>
      </w:r>
      <w:r>
        <w:rPr>
          <w:rFonts w:hint="eastAsia" w:ascii="仿宋_GB2312" w:hAnsi="仿宋_GB2312" w:eastAsia="仿宋_GB2312" w:cs="仿宋_GB2312"/>
          <w:b w:val="0"/>
          <w:bCs/>
          <w:color w:val="000000"/>
          <w:sz w:val="32"/>
          <w:szCs w:val="32"/>
          <w:lang w:val="en-US" w:eastAsia="zh-CN"/>
        </w:rPr>
        <w:t xml:space="preserve">                                                柯克亚</w:t>
      </w:r>
      <w:r>
        <w:rPr>
          <w:rFonts w:hint="eastAsia" w:ascii="仿宋_GB2312" w:hAnsi="仿宋_GB2312" w:eastAsia="仿宋_GB2312" w:cs="仿宋_GB2312"/>
          <w:b w:val="0"/>
          <w:bCs/>
          <w:color w:val="000000"/>
          <w:sz w:val="32"/>
          <w:szCs w:val="32"/>
        </w:rPr>
        <w:t>乡人民政府为乡科级党政机关。下设：党政办、社会事务办、群众工作办、党建办四个部门。</w:t>
      </w:r>
    </w:p>
    <w:p>
      <w:pPr>
        <w:keepNext w:val="0"/>
        <w:keepLines w:val="0"/>
        <w:pageBreakBefore w:val="0"/>
        <w:kinsoku/>
        <w:wordWrap/>
        <w:overflowPunct/>
        <w:topLinePunct w:val="0"/>
        <w:autoSpaceDE/>
        <w:autoSpaceDN/>
        <w:bidi w:val="0"/>
        <w:spacing w:line="560" w:lineRule="atLeast"/>
        <w:ind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编制人数79人，其中：行政人员编制57人，参照公务员管理的事业单位人员编制1人，全额拨款事业单位人员编制19人，经费自理事业单位人员编制2人，工勤编制0人。</w:t>
      </w:r>
    </w:p>
    <w:p>
      <w:pPr>
        <w:keepNext w:val="0"/>
        <w:keepLines w:val="0"/>
        <w:pageBreakBefore w:val="0"/>
        <w:kinsoku/>
        <w:wordWrap/>
        <w:overflowPunct/>
        <w:topLinePunct w:val="0"/>
        <w:autoSpaceDE/>
        <w:autoSpaceDN/>
        <w:bidi w:val="0"/>
        <w:spacing w:line="560" w:lineRule="atLeast"/>
        <w:ind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eastAsia="zh-CN"/>
        </w:rPr>
        <w:t>截至</w:t>
      </w:r>
      <w:r>
        <w:rPr>
          <w:rFonts w:hint="eastAsia" w:ascii="仿宋_GB2312" w:hAnsi="仿宋_GB2312" w:eastAsia="仿宋_GB2312" w:cs="仿宋_GB2312"/>
          <w:b w:val="0"/>
          <w:bCs/>
          <w:color w:val="000000"/>
          <w:sz w:val="32"/>
          <w:szCs w:val="32"/>
        </w:rPr>
        <w:t>2018年12月末，乡机关实有在职人数98人，行政在职82人，事业在职16人，退休人员0人、遗属供养人员0人。</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（二）项目预算绩效目标设定情况</w:t>
      </w:r>
    </w:p>
    <w:p>
      <w:pPr>
        <w:keepNext w:val="0"/>
        <w:keepLines w:val="0"/>
        <w:pageBreakBefore w:val="0"/>
        <w:kinsoku/>
        <w:wordWrap/>
        <w:overflowPunct/>
        <w:topLinePunct w:val="0"/>
        <w:autoSpaceDE/>
        <w:autoSpaceDN/>
        <w:bidi w:val="0"/>
        <w:spacing w:line="560" w:lineRule="atLeast"/>
        <w:ind w:right="0" w:rightChars="0" w:firstLine="64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项目资金</w:t>
      </w:r>
      <w:r>
        <w:rPr>
          <w:rFonts w:hint="eastAsia" w:ascii="仿宋_GB2312" w:hAnsi="仿宋_GB2312" w:eastAsia="仿宋_GB2312" w:cs="仿宋_GB2312"/>
          <w:b w:val="0"/>
          <w:bCs/>
          <w:sz w:val="32"/>
          <w:szCs w:val="32"/>
          <w:lang w:val="en-US" w:eastAsia="zh-CN"/>
        </w:rPr>
        <w:t>44.75</w:t>
      </w:r>
      <w:r>
        <w:rPr>
          <w:rFonts w:hint="eastAsia" w:ascii="仿宋_GB2312" w:hAnsi="仿宋_GB2312" w:eastAsia="仿宋_GB2312" w:cs="仿宋_GB2312"/>
          <w:b w:val="0"/>
          <w:bCs/>
          <w:sz w:val="32"/>
          <w:szCs w:val="32"/>
        </w:rPr>
        <w:t>万元，保证乡机关</w:t>
      </w:r>
      <w:r>
        <w:rPr>
          <w:rFonts w:hint="eastAsia" w:ascii="仿宋_GB2312" w:hAnsi="仿宋_GB2312" w:eastAsia="仿宋_GB2312" w:cs="仿宋_GB2312"/>
          <w:b w:val="0"/>
          <w:bCs/>
          <w:sz w:val="32"/>
          <w:szCs w:val="32"/>
          <w:lang w:val="en-US" w:eastAsia="zh-CN"/>
        </w:rPr>
        <w:t>79</w:t>
      </w:r>
      <w:r>
        <w:rPr>
          <w:rFonts w:hint="eastAsia" w:ascii="仿宋_GB2312" w:hAnsi="仿宋_GB2312" w:eastAsia="仿宋_GB2312" w:cs="仿宋_GB2312"/>
          <w:b w:val="0"/>
          <w:bCs/>
          <w:sz w:val="32"/>
          <w:szCs w:val="32"/>
        </w:rPr>
        <w:t>名领导干部全年的平稳运行，达到专款专用的效果，并且严格按照会计制度的要求支出，规范化使用公用经费，将每一分钱花在刀刃上，保证日常各项工作正常运转，提高为民办实事的效率。</w:t>
      </w:r>
    </w:p>
    <w:p>
      <w:pPr>
        <w:keepNext w:val="0"/>
        <w:keepLines w:val="0"/>
        <w:pageBreakBefore w:val="0"/>
        <w:kinsoku/>
        <w:wordWrap/>
        <w:overflowPunct/>
        <w:topLinePunct w:val="0"/>
        <w:autoSpaceDE/>
        <w:autoSpaceDN/>
        <w:bidi w:val="0"/>
        <w:spacing w:line="560" w:lineRule="atLeast"/>
        <w:ind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二、项目资金使用及管理情况</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（一）项目资金安排落实、总投入等情况分析</w:t>
      </w:r>
    </w:p>
    <w:p>
      <w:pPr>
        <w:keepNext w:val="0"/>
        <w:keepLines w:val="0"/>
        <w:pageBreakBefore w:val="0"/>
        <w:kinsoku/>
        <w:wordWrap/>
        <w:overflowPunct/>
        <w:topLinePunct w:val="0"/>
        <w:autoSpaceDE/>
        <w:autoSpaceDN/>
        <w:bidi w:val="0"/>
        <w:adjustRightInd w:val="0"/>
        <w:snapToGrid w:val="0"/>
        <w:spacing w:line="560" w:lineRule="atLeast"/>
        <w:ind w:right="0" w:rightChars="0" w:firstLine="480" w:firstLineChars="150"/>
        <w:textAlignment w:val="auto"/>
        <w:outlineLvl w:val="0"/>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z w:val="32"/>
          <w:szCs w:val="32"/>
        </w:rPr>
        <w:t>根据文件要求，本项目资金</w:t>
      </w:r>
      <w:r>
        <w:rPr>
          <w:rFonts w:hint="eastAsia" w:ascii="仿宋_GB2312" w:hAnsi="仿宋_GB2312" w:eastAsia="仿宋_GB2312" w:cs="仿宋_GB2312"/>
          <w:b w:val="0"/>
          <w:bCs/>
          <w:sz w:val="32"/>
          <w:szCs w:val="32"/>
          <w:lang w:val="en-US" w:eastAsia="zh-CN"/>
        </w:rPr>
        <w:t>44.75</w:t>
      </w:r>
      <w:r>
        <w:rPr>
          <w:rFonts w:hint="eastAsia" w:ascii="仿宋_GB2312" w:hAnsi="仿宋_GB2312" w:eastAsia="仿宋_GB2312" w:cs="仿宋_GB2312"/>
          <w:b w:val="0"/>
          <w:bCs/>
          <w:sz w:val="32"/>
          <w:szCs w:val="32"/>
        </w:rPr>
        <w:t>万元，其中财政资金</w:t>
      </w:r>
      <w:r>
        <w:rPr>
          <w:rFonts w:hint="eastAsia" w:ascii="仿宋_GB2312" w:hAnsi="仿宋_GB2312" w:eastAsia="仿宋_GB2312" w:cs="仿宋_GB2312"/>
          <w:b w:val="0"/>
          <w:bCs/>
          <w:sz w:val="32"/>
          <w:szCs w:val="32"/>
          <w:lang w:val="en-US" w:eastAsia="zh-CN"/>
        </w:rPr>
        <w:t>44.75</w:t>
      </w:r>
      <w:r>
        <w:rPr>
          <w:rFonts w:hint="eastAsia" w:ascii="仿宋_GB2312" w:hAnsi="仿宋_GB2312" w:eastAsia="仿宋_GB2312" w:cs="仿宋_GB2312"/>
          <w:b w:val="0"/>
          <w:bCs/>
          <w:sz w:val="32"/>
          <w:szCs w:val="32"/>
        </w:rPr>
        <w:t>万元，其他资金0万元，</w:t>
      </w:r>
      <w:r>
        <w:rPr>
          <w:rFonts w:hint="eastAsia" w:ascii="仿宋_GB2312" w:hAnsi="仿宋_GB2312" w:eastAsia="仿宋_GB2312" w:cs="仿宋_GB2312"/>
          <w:b w:val="0"/>
          <w:bCs/>
          <w:spacing w:val="-4"/>
          <w:sz w:val="32"/>
          <w:szCs w:val="32"/>
        </w:rPr>
        <w:t>资金到位</w:t>
      </w:r>
      <w:r>
        <w:rPr>
          <w:rFonts w:hint="eastAsia" w:ascii="仿宋_GB2312" w:hAnsi="仿宋_GB2312" w:eastAsia="仿宋_GB2312" w:cs="仿宋_GB2312"/>
          <w:b w:val="0"/>
          <w:bCs/>
          <w:sz w:val="32"/>
          <w:szCs w:val="32"/>
          <w:lang w:val="en-US" w:eastAsia="zh-CN"/>
        </w:rPr>
        <w:t>44.75</w:t>
      </w:r>
      <w:r>
        <w:rPr>
          <w:rFonts w:hint="eastAsia" w:ascii="仿宋_GB2312" w:hAnsi="仿宋_GB2312" w:eastAsia="仿宋_GB2312" w:cs="仿宋_GB2312"/>
          <w:b w:val="0"/>
          <w:bCs/>
          <w:spacing w:val="-4"/>
          <w:sz w:val="32"/>
          <w:szCs w:val="32"/>
        </w:rPr>
        <w:t>万元；资金到位率100.00%。</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Style w:val="19"/>
          <w:rFonts w:hint="eastAsia" w:ascii="仿宋_GB2312" w:hAnsi="仿宋_GB2312" w:eastAsia="仿宋_GB2312" w:cs="仿宋_GB2312"/>
          <w:b w:val="0"/>
          <w:bCs/>
          <w:color w:val="0000FF"/>
          <w:spacing w:val="-4"/>
          <w:sz w:val="32"/>
          <w:szCs w:val="32"/>
        </w:rPr>
      </w:pPr>
      <w:r>
        <w:rPr>
          <w:rStyle w:val="19"/>
          <w:rFonts w:hint="eastAsia" w:ascii="仿宋_GB2312" w:hAnsi="仿宋_GB2312" w:eastAsia="仿宋_GB2312" w:cs="仿宋_GB2312"/>
          <w:b w:val="0"/>
          <w:bCs/>
          <w:spacing w:val="-4"/>
          <w:sz w:val="32"/>
          <w:szCs w:val="32"/>
        </w:rPr>
        <w:t>（二）项目资金实际使用情况分析</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根据本年关于下达县级专项工作经费项目资金的文件，到位资金</w:t>
      </w:r>
      <w:r>
        <w:rPr>
          <w:rFonts w:hint="eastAsia" w:ascii="仿宋_GB2312" w:hAnsi="仿宋_GB2312" w:eastAsia="仿宋_GB2312" w:cs="仿宋_GB2312"/>
          <w:b w:val="0"/>
          <w:bCs/>
          <w:sz w:val="32"/>
          <w:szCs w:val="32"/>
          <w:lang w:val="en-US" w:eastAsia="zh-CN"/>
        </w:rPr>
        <w:t>44.75</w:t>
      </w:r>
      <w:r>
        <w:rPr>
          <w:rFonts w:hint="eastAsia" w:ascii="仿宋_GB2312" w:hAnsi="仿宋_GB2312" w:eastAsia="仿宋_GB2312" w:cs="仿宋_GB2312"/>
          <w:b w:val="0"/>
          <w:bCs/>
          <w:spacing w:val="-4"/>
          <w:sz w:val="32"/>
          <w:szCs w:val="32"/>
        </w:rPr>
        <w:t>万元，本项目实际支付资金</w:t>
      </w:r>
      <w:r>
        <w:rPr>
          <w:rFonts w:hint="eastAsia" w:ascii="仿宋_GB2312" w:hAnsi="仿宋_GB2312" w:eastAsia="仿宋_GB2312" w:cs="仿宋_GB2312"/>
          <w:b w:val="0"/>
          <w:bCs/>
          <w:sz w:val="32"/>
          <w:szCs w:val="32"/>
          <w:lang w:val="en-US" w:eastAsia="zh-CN"/>
        </w:rPr>
        <w:t>44.75</w:t>
      </w:r>
      <w:r>
        <w:rPr>
          <w:rFonts w:hint="eastAsia" w:ascii="仿宋_GB2312" w:hAnsi="仿宋_GB2312" w:eastAsia="仿宋_GB2312" w:cs="仿宋_GB2312"/>
          <w:b w:val="0"/>
          <w:bCs/>
          <w:spacing w:val="-4"/>
          <w:sz w:val="32"/>
          <w:szCs w:val="32"/>
        </w:rPr>
        <w:t>万元，预算执行率100.00%项目资金主要用于支付县级专项工作经费项目费用</w:t>
      </w:r>
      <w:r>
        <w:rPr>
          <w:rFonts w:hint="eastAsia" w:ascii="仿宋_GB2312" w:hAnsi="仿宋_GB2312" w:eastAsia="仿宋_GB2312" w:cs="仿宋_GB2312"/>
          <w:b w:val="0"/>
          <w:bCs/>
          <w:spacing w:val="-4"/>
          <w:sz w:val="32"/>
          <w:szCs w:val="32"/>
          <w:lang w:val="en-US" w:eastAsia="zh-CN"/>
        </w:rPr>
        <w:t>44.75</w:t>
      </w:r>
      <w:r>
        <w:rPr>
          <w:rFonts w:hint="eastAsia" w:ascii="仿宋_GB2312" w:hAnsi="仿宋_GB2312" w:eastAsia="仿宋_GB2312" w:cs="仿宋_GB2312"/>
          <w:b w:val="0"/>
          <w:bCs/>
          <w:spacing w:val="-4"/>
          <w:sz w:val="32"/>
          <w:szCs w:val="32"/>
        </w:rPr>
        <w:t>万元，结余0万元。</w:t>
      </w:r>
      <w:r>
        <w:rPr>
          <w:rFonts w:hint="eastAsia" w:ascii="仿宋_GB2312" w:hAnsi="仿宋_GB2312" w:eastAsia="仿宋_GB2312" w:cs="仿宋_GB2312"/>
          <w:b w:val="0"/>
          <w:bCs/>
          <w:spacing w:val="-4"/>
          <w:sz w:val="32"/>
          <w:szCs w:val="32"/>
          <w:lang w:val="en-US" w:eastAsia="zh-CN"/>
        </w:rPr>
        <w:t>用于日常工作经费支出。确保日常工作正常开展。</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（三）项目资金管理情况分析</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本项目资金严格按照县级专项工作经费项目资金管理办法和地区财政资金管理制度支付资金；</w:t>
      </w:r>
      <w:r>
        <w:rPr>
          <w:rFonts w:hint="eastAsia" w:ascii="仿宋_GB2312" w:hAnsi="仿宋_GB2312" w:eastAsia="仿宋_GB2312" w:cs="仿宋_GB2312"/>
          <w:b w:val="0"/>
          <w:bCs/>
          <w:spacing w:val="-4"/>
          <w:sz w:val="32"/>
          <w:szCs w:val="32"/>
          <w:lang w:val="en-US" w:eastAsia="zh-CN"/>
        </w:rPr>
        <w:t>根据</w:t>
      </w:r>
      <w:r>
        <w:rPr>
          <w:rStyle w:val="19"/>
          <w:rFonts w:hint="eastAsia" w:ascii="仿宋_GB2312" w:hAnsi="仿宋_GB2312" w:eastAsia="仿宋_GB2312" w:cs="仿宋_GB2312"/>
          <w:b w:val="0"/>
          <w:bCs/>
          <w:spacing w:val="-4"/>
          <w:sz w:val="32"/>
          <w:szCs w:val="32"/>
        </w:rPr>
        <w:t>《</w:t>
      </w:r>
      <w:r>
        <w:rPr>
          <w:rFonts w:hint="eastAsia" w:ascii="仿宋_GB2312" w:hAnsi="仿宋_GB2312" w:eastAsia="仿宋_GB2312" w:cs="仿宋_GB2312"/>
          <w:b w:val="0"/>
          <w:bCs/>
          <w:spacing w:val="-4"/>
          <w:sz w:val="32"/>
          <w:szCs w:val="32"/>
        </w:rPr>
        <w:t>县级专项工作经费</w:t>
      </w:r>
      <w:r>
        <w:rPr>
          <w:rStyle w:val="19"/>
          <w:rFonts w:hint="eastAsia" w:ascii="仿宋_GB2312" w:hAnsi="仿宋_GB2312" w:eastAsia="仿宋_GB2312" w:cs="仿宋_GB2312"/>
          <w:b w:val="0"/>
          <w:bCs/>
          <w:spacing w:val="-4"/>
          <w:sz w:val="32"/>
          <w:szCs w:val="32"/>
        </w:rPr>
        <w:t>项目管理制度</w:t>
      </w:r>
      <w:r>
        <w:rPr>
          <w:rStyle w:val="19"/>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rPr>
        <w:t>通知对该类资金规范使用</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rPr>
        <w:t>资金支付由本单位分管地区领导、主管财务领导、地区财政局等各级部门审批审核；资金的支付有完整的审批程序和手续符合制度要求；不存在截留、挤占、挪用、虚列支出等情况。</w:t>
      </w:r>
    </w:p>
    <w:p>
      <w:pPr>
        <w:keepNext w:val="0"/>
        <w:keepLines w:val="0"/>
        <w:pageBreakBefore w:val="0"/>
        <w:kinsoku/>
        <w:wordWrap/>
        <w:overflowPunct/>
        <w:topLinePunct w:val="0"/>
        <w:autoSpaceDE/>
        <w:autoSpaceDN/>
        <w:bidi w:val="0"/>
        <w:spacing w:line="560" w:lineRule="atLeast"/>
        <w:ind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三、项目组织实施情况</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（一）项目组织情况分析</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为保证项目质量和成本控制</w:t>
      </w:r>
      <w:r>
        <w:rPr>
          <w:rFonts w:hint="eastAsia" w:ascii="仿宋_GB2312" w:hAnsi="仿宋_GB2312" w:eastAsia="仿宋_GB2312" w:cs="仿宋_GB2312"/>
          <w:b w:val="0"/>
          <w:bCs/>
          <w:sz w:val="32"/>
          <w:szCs w:val="32"/>
        </w:rPr>
        <w:t>，我单位积极对接，进行了公用经费项目工作，制定《</w:t>
      </w:r>
      <w:r>
        <w:rPr>
          <w:rFonts w:hint="eastAsia" w:ascii="仿宋_GB2312" w:hAnsi="仿宋_GB2312" w:eastAsia="仿宋_GB2312" w:cs="仿宋_GB2312"/>
          <w:b w:val="0"/>
          <w:bCs/>
          <w:spacing w:val="-4"/>
          <w:sz w:val="32"/>
          <w:szCs w:val="32"/>
        </w:rPr>
        <w:t>县级专项工作经费</w:t>
      </w:r>
      <w:r>
        <w:rPr>
          <w:rFonts w:hint="eastAsia" w:ascii="仿宋_GB2312" w:hAnsi="仿宋_GB2312" w:eastAsia="仿宋_GB2312" w:cs="仿宋_GB2312"/>
          <w:b w:val="0"/>
          <w:bCs/>
          <w:sz w:val="32"/>
          <w:szCs w:val="32"/>
        </w:rPr>
        <w:t>项目工作方案》，为保质保量完成提供了强有力的技术支撑，有效地推进了项目工作，</w:t>
      </w:r>
      <w:r>
        <w:rPr>
          <w:rStyle w:val="19"/>
          <w:rFonts w:hint="eastAsia" w:ascii="仿宋_GB2312" w:hAnsi="仿宋_GB2312" w:eastAsia="仿宋_GB2312" w:cs="仿宋_GB2312"/>
          <w:b w:val="0"/>
          <w:bCs/>
          <w:spacing w:val="-4"/>
          <w:sz w:val="32"/>
          <w:szCs w:val="32"/>
        </w:rPr>
        <w:t>项目实施完成后，由本项目相关人员于2018年11月23日完成检查验收，检查验收合格后按合同规定支付款项。</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pacing w:val="-4"/>
          <w:sz w:val="32"/>
          <w:szCs w:val="32"/>
        </w:rPr>
        <w:t>本项目不存在调整情况。</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（二）项目管理情况分析</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项目实施过程中，我单位建立了《</w:t>
      </w:r>
      <w:r>
        <w:rPr>
          <w:rFonts w:hint="eastAsia" w:ascii="仿宋_GB2312" w:hAnsi="仿宋_GB2312" w:eastAsia="仿宋_GB2312" w:cs="仿宋_GB2312"/>
          <w:b w:val="0"/>
          <w:bCs/>
          <w:spacing w:val="-4"/>
          <w:sz w:val="32"/>
          <w:szCs w:val="32"/>
        </w:rPr>
        <w:t>县级专项工作经费</w:t>
      </w:r>
      <w:r>
        <w:rPr>
          <w:rStyle w:val="19"/>
          <w:rFonts w:hint="eastAsia" w:ascii="仿宋_GB2312" w:hAnsi="仿宋_GB2312" w:eastAsia="仿宋_GB2312" w:cs="仿宋_GB2312"/>
          <w:b w:val="0"/>
          <w:bCs/>
          <w:spacing w:val="-4"/>
          <w:sz w:val="32"/>
          <w:szCs w:val="32"/>
        </w:rPr>
        <w:t>项目制度》保障项目的顺利实施。项目的实施遵守相关法律法规和业务管理规定，项目资料齐全并及时装订、归档。已建立《</w:t>
      </w:r>
      <w:r>
        <w:rPr>
          <w:rFonts w:hint="eastAsia" w:ascii="仿宋_GB2312" w:hAnsi="仿宋_GB2312" w:eastAsia="仿宋_GB2312" w:cs="仿宋_GB2312"/>
          <w:b w:val="0"/>
          <w:bCs/>
          <w:spacing w:val="-4"/>
          <w:sz w:val="32"/>
          <w:szCs w:val="32"/>
        </w:rPr>
        <w:t>县级专项工作经费</w:t>
      </w:r>
      <w:r>
        <w:rPr>
          <w:rStyle w:val="19"/>
          <w:rFonts w:hint="eastAsia" w:ascii="仿宋_GB2312" w:hAnsi="仿宋_GB2312" w:eastAsia="仿宋_GB2312" w:cs="仿宋_GB2312"/>
          <w:b w:val="0"/>
          <w:bCs/>
          <w:spacing w:val="-4"/>
          <w:sz w:val="32"/>
          <w:szCs w:val="32"/>
        </w:rPr>
        <w:t>项目管理制度》，不定期对项目进度情况进行督导检查，对检查过程中发现的问题及时督促整改，确保了项目按时保质完成。</w:t>
      </w:r>
    </w:p>
    <w:p>
      <w:pPr>
        <w:keepNext w:val="0"/>
        <w:keepLines w:val="0"/>
        <w:pageBreakBefore w:val="0"/>
        <w:kinsoku/>
        <w:wordWrap/>
        <w:overflowPunct/>
        <w:topLinePunct w:val="0"/>
        <w:autoSpaceDE/>
        <w:autoSpaceDN/>
        <w:bidi w:val="0"/>
        <w:spacing w:line="560" w:lineRule="atLeast"/>
        <w:ind w:right="0" w:rightChars="0" w:firstLine="640"/>
        <w:textAlignment w:val="auto"/>
        <w:rPr>
          <w:rStyle w:val="19"/>
          <w:rFonts w:hint="eastAsia" w:ascii="黑体" w:hAnsi="黑体" w:eastAsia="黑体" w:cs="黑体"/>
          <w:b w:val="0"/>
          <w:bCs/>
          <w:sz w:val="32"/>
          <w:szCs w:val="32"/>
        </w:rPr>
      </w:pPr>
      <w:r>
        <w:rPr>
          <w:rStyle w:val="19"/>
          <w:rFonts w:hint="eastAsia" w:ascii="黑体" w:hAnsi="黑体" w:eastAsia="黑体" w:cs="黑体"/>
          <w:b w:val="0"/>
          <w:bCs/>
          <w:spacing w:val="-4"/>
          <w:sz w:val="32"/>
          <w:szCs w:val="32"/>
        </w:rPr>
        <w:t>四、项目绩效情况</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（一）项目绩效目标完成情况分析</w:t>
      </w:r>
    </w:p>
    <w:p>
      <w:pPr>
        <w:keepNext w:val="0"/>
        <w:keepLines w:val="0"/>
        <w:pageBreakBefore w:val="0"/>
        <w:widowControl/>
        <w:kinsoku/>
        <w:wordWrap/>
        <w:overflowPunct/>
        <w:topLinePunct w:val="0"/>
        <w:autoSpaceDE/>
        <w:autoSpaceDN/>
        <w:bidi w:val="0"/>
        <w:spacing w:line="560" w:lineRule="atLeast"/>
        <w:ind w:right="0" w:rightChars="0" w:firstLine="640" w:firstLineChars="200"/>
        <w:jc w:val="left"/>
        <w:textAlignment w:val="auto"/>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本项目共设置一级指标3个，二级指标8个，三级指标</w:t>
      </w:r>
      <w:r>
        <w:rPr>
          <w:rFonts w:hint="eastAsia" w:ascii="仿宋_GB2312" w:hAnsi="仿宋_GB2312" w:eastAsia="仿宋_GB2312" w:cs="仿宋_GB2312"/>
          <w:b w:val="0"/>
          <w:bCs/>
          <w:kern w:val="0"/>
          <w:sz w:val="32"/>
          <w:szCs w:val="32"/>
          <w:lang w:val="en-US" w:eastAsia="zh-CN"/>
        </w:rPr>
        <w:t>17</w:t>
      </w:r>
      <w:r>
        <w:rPr>
          <w:rFonts w:hint="eastAsia" w:ascii="仿宋_GB2312" w:hAnsi="仿宋_GB2312" w:eastAsia="仿宋_GB2312" w:cs="仿宋_GB2312"/>
          <w:b w:val="0"/>
          <w:bCs/>
          <w:kern w:val="0"/>
          <w:sz w:val="32"/>
          <w:szCs w:val="32"/>
        </w:rPr>
        <w:t>个，其中已完成三级指标</w:t>
      </w:r>
      <w:r>
        <w:rPr>
          <w:rFonts w:hint="eastAsia" w:ascii="仿宋_GB2312" w:hAnsi="仿宋_GB2312" w:eastAsia="仿宋_GB2312" w:cs="仿宋_GB2312"/>
          <w:b w:val="0"/>
          <w:bCs/>
          <w:kern w:val="0"/>
          <w:sz w:val="32"/>
          <w:szCs w:val="32"/>
          <w:lang w:val="en-US" w:eastAsia="zh-CN"/>
        </w:rPr>
        <w:t>17</w:t>
      </w:r>
      <w:r>
        <w:rPr>
          <w:rFonts w:hint="eastAsia" w:ascii="仿宋_GB2312" w:hAnsi="仿宋_GB2312" w:eastAsia="仿宋_GB2312" w:cs="仿宋_GB2312"/>
          <w:b w:val="0"/>
          <w:bCs/>
          <w:kern w:val="0"/>
          <w:sz w:val="32"/>
          <w:szCs w:val="32"/>
        </w:rPr>
        <w:t>个，指标完成率为100.00%。根据年初设定的绩效目标，此项目自评得分为92分。</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1.产出指标完成情况分析</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（1）项目完成数量</w:t>
      </w:r>
    </w:p>
    <w:p>
      <w:pPr>
        <w:keepNext w:val="0"/>
        <w:keepLines w:val="0"/>
        <w:pageBreakBefore w:val="0"/>
        <w:kinsoku/>
        <w:wordWrap/>
        <w:overflowPunct/>
        <w:topLinePunct w:val="0"/>
        <w:autoSpaceDE/>
        <w:autoSpaceDN/>
        <w:bidi w:val="0"/>
        <w:spacing w:line="560" w:lineRule="atLeast"/>
        <w:ind w:right="0" w:rightChars="0" w:firstLine="640"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kern w:val="0"/>
          <w:sz w:val="32"/>
          <w:szCs w:val="32"/>
          <w:lang w:val="en-US" w:eastAsia="zh-CN"/>
        </w:rPr>
        <w:t>保障办公人数79人，保障范围涉及的村数量18人，纪检谈话室购置设备数量1套，</w:t>
      </w:r>
      <w:r>
        <w:rPr>
          <w:rFonts w:hint="eastAsia" w:ascii="仿宋_GB2312" w:hAnsi="仿宋_GB2312" w:eastAsia="仿宋_GB2312" w:cs="仿宋_GB2312"/>
          <w:b w:val="0"/>
          <w:bCs/>
          <w:spacing w:val="-4"/>
          <w:sz w:val="32"/>
          <w:szCs w:val="32"/>
          <w:lang w:val="en-US" w:eastAsia="zh-CN"/>
        </w:rPr>
        <w:t>截至2018年项目完成时，已完成</w:t>
      </w:r>
      <w:r>
        <w:rPr>
          <w:rFonts w:hint="eastAsia" w:ascii="仿宋_GB2312" w:hAnsi="仿宋_GB2312" w:eastAsia="仿宋_GB2312" w:cs="仿宋_GB2312"/>
          <w:b w:val="0"/>
          <w:bCs/>
          <w:kern w:val="0"/>
          <w:sz w:val="32"/>
          <w:szCs w:val="32"/>
          <w:lang w:val="en-US" w:eastAsia="zh-CN"/>
        </w:rPr>
        <w:t>保障办公人数79人，保障范围涉及的村数量18人，纪检谈话室购置设备数量1套，</w:t>
      </w:r>
      <w:r>
        <w:rPr>
          <w:rFonts w:hint="eastAsia" w:ascii="仿宋_GB2312" w:hAnsi="仿宋_GB2312" w:eastAsia="仿宋_GB2312" w:cs="仿宋_GB2312"/>
          <w:b w:val="0"/>
          <w:bCs/>
          <w:spacing w:val="-4"/>
          <w:sz w:val="32"/>
          <w:szCs w:val="32"/>
          <w:lang w:val="en-US" w:eastAsia="zh-CN"/>
        </w:rPr>
        <w:t>完成率为100%。</w:t>
      </w:r>
    </w:p>
    <w:p>
      <w:pPr>
        <w:keepNext w:val="0"/>
        <w:keepLines w:val="0"/>
        <w:pageBreakBefore w:val="0"/>
        <w:numPr>
          <w:ilvl w:val="0"/>
          <w:numId w:val="1"/>
        </w:numPr>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项目完成质量</w:t>
      </w:r>
    </w:p>
    <w:p>
      <w:pPr>
        <w:keepNext w:val="0"/>
        <w:keepLines w:val="0"/>
        <w:pageBreakBefore w:val="0"/>
        <w:numPr>
          <w:ilvl w:val="0"/>
          <w:numId w:val="0"/>
        </w:numPr>
        <w:kinsoku/>
        <w:wordWrap/>
        <w:overflowPunct/>
        <w:topLinePunct w:val="0"/>
        <w:autoSpaceDE/>
        <w:autoSpaceDN/>
        <w:bidi w:val="0"/>
        <w:spacing w:line="560" w:lineRule="atLeast"/>
        <w:ind w:right="0" w:rightChars="0"/>
        <w:textAlignment w:val="auto"/>
        <w:rPr>
          <w:rFonts w:hint="eastAsia" w:ascii="仿宋_GB2312" w:hAnsi="仿宋_GB2312" w:eastAsia="仿宋_GB2312" w:cs="仿宋_GB2312"/>
          <w:b w:val="0"/>
          <w:bCs/>
          <w:kern w:val="0"/>
          <w:sz w:val="32"/>
          <w:szCs w:val="32"/>
          <w:lang w:val="en-US" w:eastAsia="zh-CN"/>
        </w:rPr>
      </w:pPr>
      <w:r>
        <w:rPr>
          <w:rFonts w:hint="eastAsia" w:ascii="仿宋_GB2312" w:hAnsi="仿宋_GB2312" w:eastAsia="仿宋_GB2312" w:cs="仿宋_GB2312"/>
          <w:b w:val="0"/>
          <w:bCs/>
          <w:spacing w:val="-4"/>
          <w:sz w:val="32"/>
          <w:szCs w:val="32"/>
          <w:lang w:val="en-US" w:eastAsia="zh-CN"/>
        </w:rPr>
        <w:t xml:space="preserve">       </w:t>
      </w:r>
      <w:r>
        <w:rPr>
          <w:rFonts w:hint="eastAsia" w:ascii="仿宋_GB2312" w:hAnsi="仿宋_GB2312" w:eastAsia="仿宋_GB2312" w:cs="仿宋_GB2312"/>
          <w:b w:val="0"/>
          <w:bCs/>
          <w:kern w:val="0"/>
          <w:sz w:val="32"/>
          <w:szCs w:val="32"/>
          <w:lang w:val="en-US" w:eastAsia="zh-CN"/>
        </w:rPr>
        <w:t>贫困户每户覆盖次数4次，经过检查，设备质量合格率100%。</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（3）项目实施进度</w:t>
      </w:r>
    </w:p>
    <w:p>
      <w:pPr>
        <w:keepNext w:val="0"/>
        <w:keepLines w:val="0"/>
        <w:pageBreakBefore w:val="0"/>
        <w:kinsoku/>
        <w:wordWrap/>
        <w:overflowPunct/>
        <w:topLinePunct w:val="0"/>
        <w:autoSpaceDE/>
        <w:autoSpaceDN/>
        <w:bidi w:val="0"/>
        <w:spacing w:line="560" w:lineRule="atLeast"/>
        <w:ind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val="en-US" w:eastAsia="zh-CN"/>
        </w:rPr>
        <w:t>截至到2018年底，专项公用经费使用及时率100%，开展群众工作及时率100%，项目完成及时率100%，</w:t>
      </w:r>
      <w:r>
        <w:rPr>
          <w:rFonts w:hint="eastAsia" w:ascii="仿宋_GB2312" w:hAnsi="仿宋_GB2312" w:eastAsia="仿宋_GB2312" w:cs="仿宋_GB2312"/>
          <w:b w:val="0"/>
          <w:bCs/>
          <w:spacing w:val="-4"/>
          <w:sz w:val="32"/>
          <w:szCs w:val="32"/>
        </w:rPr>
        <w:t>项目按照项目进度现已</w:t>
      </w:r>
      <w:r>
        <w:rPr>
          <w:rFonts w:hint="eastAsia" w:ascii="仿宋_GB2312" w:hAnsi="仿宋_GB2312" w:eastAsia="仿宋_GB2312" w:cs="仿宋_GB2312"/>
          <w:b w:val="0"/>
          <w:bCs/>
          <w:spacing w:val="-4"/>
          <w:sz w:val="32"/>
          <w:szCs w:val="32"/>
          <w:lang w:val="en-US" w:eastAsia="zh-CN"/>
        </w:rPr>
        <w:t>全部</w:t>
      </w:r>
      <w:r>
        <w:rPr>
          <w:rFonts w:hint="eastAsia" w:ascii="仿宋_GB2312" w:hAnsi="仿宋_GB2312" w:eastAsia="仿宋_GB2312" w:cs="仿宋_GB2312"/>
          <w:b w:val="0"/>
          <w:bCs/>
          <w:spacing w:val="-4"/>
          <w:sz w:val="32"/>
          <w:szCs w:val="32"/>
        </w:rPr>
        <w:t>完成</w:t>
      </w:r>
      <w:r>
        <w:rPr>
          <w:rFonts w:hint="eastAsia" w:ascii="仿宋_GB2312" w:hAnsi="仿宋_GB2312" w:eastAsia="仿宋_GB2312" w:cs="仿宋_GB2312"/>
          <w:b w:val="0"/>
          <w:bCs/>
          <w:spacing w:val="-4"/>
          <w:sz w:val="32"/>
          <w:szCs w:val="32"/>
          <w:lang w:val="en-US" w:eastAsia="zh-CN"/>
        </w:rPr>
        <w:t>。</w:t>
      </w:r>
    </w:p>
    <w:p>
      <w:pPr>
        <w:keepNext w:val="0"/>
        <w:keepLines w:val="0"/>
        <w:pageBreakBefore w:val="0"/>
        <w:numPr>
          <w:ilvl w:val="0"/>
          <w:numId w:val="1"/>
        </w:numPr>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项目成本节约情况</w:t>
      </w:r>
    </w:p>
    <w:p>
      <w:pPr>
        <w:keepNext w:val="0"/>
        <w:keepLines w:val="0"/>
        <w:pageBreakBefore w:val="0"/>
        <w:numPr>
          <w:ilvl w:val="0"/>
          <w:numId w:val="0"/>
        </w:numPr>
        <w:kinsoku/>
        <w:wordWrap/>
        <w:overflowPunct/>
        <w:topLinePunct w:val="0"/>
        <w:autoSpaceDE/>
        <w:autoSpaceDN/>
        <w:bidi w:val="0"/>
        <w:spacing w:line="560" w:lineRule="atLeast"/>
        <w:ind w:leftChars="200" w:right="0" w:rightChars="0"/>
        <w:textAlignment w:val="auto"/>
        <w:rPr>
          <w:rFonts w:hint="eastAsia" w:ascii="仿宋_GB2312" w:hAnsi="仿宋_GB2312" w:eastAsia="仿宋_GB2312" w:cs="仿宋_GB2312"/>
          <w:b w:val="0"/>
          <w:bCs/>
          <w:kern w:val="0"/>
          <w:sz w:val="32"/>
          <w:szCs w:val="32"/>
          <w:lang w:val="en-US" w:eastAsia="zh-CN"/>
        </w:rPr>
      </w:pPr>
      <w:r>
        <w:rPr>
          <w:rFonts w:hint="eastAsia" w:ascii="仿宋_GB2312" w:hAnsi="仿宋_GB2312" w:eastAsia="仿宋_GB2312" w:cs="仿宋_GB2312"/>
          <w:b w:val="0"/>
          <w:bCs/>
          <w:spacing w:val="-4"/>
          <w:sz w:val="32"/>
          <w:szCs w:val="32"/>
          <w:lang w:val="en-US" w:eastAsia="zh-CN"/>
        </w:rPr>
        <w:t xml:space="preserve">    商品服</w:t>
      </w:r>
      <w:r>
        <w:rPr>
          <w:rFonts w:hint="eastAsia" w:ascii="仿宋_GB2312" w:hAnsi="仿宋_GB2312" w:eastAsia="仿宋_GB2312" w:cs="仿宋_GB2312"/>
          <w:b w:val="0"/>
          <w:bCs/>
          <w:kern w:val="0"/>
          <w:sz w:val="32"/>
          <w:szCs w:val="32"/>
          <w:lang w:val="en-US" w:eastAsia="zh-CN"/>
        </w:rPr>
        <w:t>务支出</w:t>
      </w:r>
      <w:r>
        <w:rPr>
          <w:rFonts w:hint="eastAsia" w:ascii="仿宋_GB2312" w:hAnsi="仿宋_GB2312" w:eastAsia="仿宋_GB2312" w:cs="仿宋_GB2312"/>
          <w:b w:val="0"/>
          <w:bCs/>
          <w:spacing w:val="-4"/>
          <w:sz w:val="32"/>
          <w:szCs w:val="32"/>
          <w:lang w:val="en-US" w:eastAsia="zh-CN"/>
        </w:rPr>
        <w:t>数2201.26元</w:t>
      </w:r>
      <w:r>
        <w:rPr>
          <w:rFonts w:hint="eastAsia" w:ascii="仿宋_GB2312" w:hAnsi="仿宋_GB2312" w:eastAsia="仿宋_GB2312" w:cs="仿宋_GB2312"/>
          <w:b w:val="0"/>
          <w:bCs/>
          <w:kern w:val="0"/>
          <w:sz w:val="32"/>
          <w:szCs w:val="32"/>
          <w:lang w:val="en-US" w:eastAsia="zh-CN"/>
        </w:rPr>
        <w:t>/人，工作每户支出金额30元/次，录音及录像设备7.36万元/套。</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2.效益指标完成情况分析</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（1）项目实施的经济效益分析</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lang w:val="en-US" w:eastAsia="zh-CN"/>
        </w:rPr>
      </w:pPr>
      <w:r>
        <w:rPr>
          <w:rFonts w:hint="eastAsia" w:ascii="仿宋_GB2312" w:hAnsi="仿宋_GB2312" w:eastAsia="仿宋_GB2312" w:cs="仿宋_GB2312"/>
          <w:b w:val="0"/>
          <w:bCs/>
          <w:spacing w:val="-4"/>
          <w:sz w:val="32"/>
          <w:szCs w:val="32"/>
          <w:lang w:val="en-US" w:eastAsia="zh-CN"/>
        </w:rPr>
        <w:t>截至2018年自评时资金保障率及增加贫困户收入100%</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（2）项目实施的社会效益分析</w:t>
      </w:r>
    </w:p>
    <w:p>
      <w:pPr>
        <w:keepNext w:val="0"/>
        <w:keepLines w:val="0"/>
        <w:pageBreakBefore w:val="0"/>
        <w:kinsoku/>
        <w:wordWrap/>
        <w:overflowPunct/>
        <w:topLinePunct w:val="0"/>
        <w:autoSpaceDE/>
        <w:autoSpaceDN/>
        <w:bidi w:val="0"/>
        <w:spacing w:line="560" w:lineRule="atLeast"/>
        <w:ind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val="en-US" w:eastAsia="zh-CN"/>
        </w:rPr>
        <w:t>该项目实施</w:t>
      </w:r>
      <w:r>
        <w:rPr>
          <w:rFonts w:hint="eastAsia" w:ascii="仿宋_GB2312" w:hAnsi="仿宋_GB2312" w:eastAsia="仿宋_GB2312" w:cs="仿宋_GB2312"/>
          <w:b w:val="0"/>
          <w:bCs/>
          <w:spacing w:val="-4"/>
          <w:sz w:val="32"/>
          <w:szCs w:val="32"/>
        </w:rPr>
        <w:t>提高为民服务办事效率</w:t>
      </w:r>
      <w:r>
        <w:rPr>
          <w:rFonts w:hint="eastAsia" w:ascii="仿宋_GB2312" w:hAnsi="仿宋_GB2312" w:eastAsia="仿宋_GB2312" w:cs="仿宋_GB2312"/>
          <w:b w:val="0"/>
          <w:bCs/>
          <w:spacing w:val="-4"/>
          <w:sz w:val="32"/>
          <w:szCs w:val="32"/>
          <w:lang w:val="en-US" w:eastAsia="zh-CN"/>
        </w:rPr>
        <w:t>80%</w:t>
      </w:r>
      <w:r>
        <w:rPr>
          <w:rFonts w:hint="eastAsia" w:ascii="仿宋_GB2312" w:hAnsi="仿宋_GB2312" w:eastAsia="仿宋_GB2312" w:cs="仿宋_GB2312"/>
          <w:b w:val="0"/>
          <w:bCs/>
          <w:spacing w:val="-4"/>
          <w:sz w:val="32"/>
          <w:szCs w:val="32"/>
        </w:rPr>
        <w:t>，社会效益指标已完成</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（3）项目实施的生态效益分析</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lang w:val="en-US" w:eastAsia="zh-CN"/>
        </w:rPr>
      </w:pPr>
      <w:r>
        <w:rPr>
          <w:rFonts w:hint="eastAsia" w:ascii="仿宋_GB2312" w:hAnsi="仿宋_GB2312" w:eastAsia="仿宋_GB2312" w:cs="仿宋_GB2312"/>
          <w:b w:val="0"/>
          <w:bCs/>
          <w:spacing w:val="-4"/>
          <w:sz w:val="32"/>
          <w:szCs w:val="32"/>
          <w:lang w:val="en-US" w:eastAsia="zh-CN"/>
        </w:rPr>
        <w:t>无</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（4）项目实施的可持续影响分析</w:t>
      </w:r>
    </w:p>
    <w:p>
      <w:pPr>
        <w:keepNext w:val="0"/>
        <w:keepLines w:val="0"/>
        <w:pageBreakBefore w:val="0"/>
        <w:kinsoku/>
        <w:wordWrap/>
        <w:overflowPunct/>
        <w:topLinePunct w:val="0"/>
        <w:autoSpaceDE/>
        <w:autoSpaceDN/>
        <w:bidi w:val="0"/>
        <w:spacing w:line="560" w:lineRule="atLeast"/>
        <w:ind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设备使用年限</w:t>
      </w:r>
      <w:r>
        <w:rPr>
          <w:rFonts w:hint="eastAsia" w:ascii="仿宋_GB2312" w:hAnsi="仿宋_GB2312" w:eastAsia="仿宋_GB2312" w:cs="仿宋_GB2312"/>
          <w:b w:val="0"/>
          <w:bCs/>
          <w:spacing w:val="-4"/>
          <w:sz w:val="32"/>
          <w:szCs w:val="32"/>
          <w:lang w:val="en-US" w:eastAsia="zh-CN"/>
        </w:rPr>
        <w:t>1</w:t>
      </w:r>
      <w:r>
        <w:rPr>
          <w:rFonts w:hint="eastAsia" w:ascii="仿宋_GB2312" w:hAnsi="仿宋_GB2312" w:eastAsia="仿宋_GB2312" w:cs="仿宋_GB2312"/>
          <w:b w:val="0"/>
          <w:bCs/>
          <w:spacing w:val="-4"/>
          <w:sz w:val="32"/>
          <w:szCs w:val="32"/>
        </w:rPr>
        <w:t>年，可持续影响指标已完成</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3.满意度指标完成情况分析</w:t>
      </w:r>
    </w:p>
    <w:p>
      <w:pPr>
        <w:keepNext w:val="0"/>
        <w:keepLines w:val="0"/>
        <w:pageBreakBefore w:val="0"/>
        <w:kinsoku/>
        <w:wordWrap/>
        <w:overflowPunct/>
        <w:topLinePunct w:val="0"/>
        <w:autoSpaceDE/>
        <w:autoSpaceDN/>
        <w:bidi w:val="0"/>
        <w:spacing w:line="560" w:lineRule="atLeast"/>
        <w:ind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pacing w:val="-4"/>
          <w:sz w:val="32"/>
          <w:szCs w:val="32"/>
        </w:rPr>
        <w:t>按计划完成项目实施，已做满意度调查问卷，干部满意率达</w:t>
      </w:r>
      <w:r>
        <w:rPr>
          <w:rFonts w:hint="eastAsia" w:ascii="仿宋_GB2312" w:hAnsi="仿宋_GB2312" w:eastAsia="仿宋_GB2312" w:cs="仿宋_GB2312"/>
          <w:b w:val="0"/>
          <w:bCs/>
          <w:spacing w:val="-4"/>
          <w:sz w:val="32"/>
          <w:szCs w:val="32"/>
          <w:lang w:val="en-US" w:eastAsia="zh-CN"/>
        </w:rPr>
        <w:t>95</w:t>
      </w:r>
      <w:r>
        <w:rPr>
          <w:rFonts w:hint="eastAsia" w:ascii="仿宋_GB2312" w:hAnsi="仿宋_GB2312" w:eastAsia="仿宋_GB2312" w:cs="仿宋_GB2312"/>
          <w:b w:val="0"/>
          <w:bCs/>
          <w:spacing w:val="-4"/>
          <w:sz w:val="32"/>
          <w:szCs w:val="32"/>
        </w:rPr>
        <w:t>%，服务对象满意度指标完成。</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（二）项目绩效目标未完成原因分析</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2019年本项目绩效目标全部达成，不存在未完成原因分析。</w:t>
      </w:r>
    </w:p>
    <w:p>
      <w:pPr>
        <w:keepNext w:val="0"/>
        <w:keepLines w:val="0"/>
        <w:pageBreakBefore w:val="0"/>
        <w:kinsoku/>
        <w:wordWrap/>
        <w:overflowPunct/>
        <w:topLinePunct w:val="0"/>
        <w:autoSpaceDE/>
        <w:autoSpaceDN/>
        <w:bidi w:val="0"/>
        <w:spacing w:line="560" w:lineRule="atLeast"/>
        <w:ind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五、其他需要说明的问题</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（一）后续工作计划</w:t>
      </w:r>
    </w:p>
    <w:p>
      <w:pPr>
        <w:keepNext w:val="0"/>
        <w:keepLines w:val="0"/>
        <w:pageBreakBefore w:val="0"/>
        <w:kinsoku/>
        <w:wordWrap/>
        <w:overflowPunct/>
        <w:topLinePunct w:val="0"/>
        <w:autoSpaceDE/>
        <w:autoSpaceDN/>
        <w:bidi w:val="0"/>
        <w:spacing w:line="560" w:lineRule="atLeast"/>
        <w:ind w:right="0" w:rightChars="0" w:firstLine="579" w:firstLineChars="181"/>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截至</w:t>
      </w:r>
      <w:r>
        <w:rPr>
          <w:rFonts w:hint="eastAsia" w:ascii="仿宋_GB2312" w:hAnsi="仿宋_GB2312" w:eastAsia="仿宋_GB2312" w:cs="仿宋_GB2312"/>
          <w:b w:val="0"/>
          <w:bCs/>
          <w:sz w:val="32"/>
          <w:szCs w:val="32"/>
        </w:rPr>
        <w:t>目前，该项目已全部实施完毕，达到了项目预定绩效各项年度指标值。</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（二）主要经验及做法、存在问题和建议</w:t>
      </w:r>
    </w:p>
    <w:p>
      <w:pPr>
        <w:keepNext w:val="0"/>
        <w:keepLines w:val="0"/>
        <w:pageBreakBefore w:val="0"/>
        <w:numPr>
          <w:ilvl w:val="0"/>
          <w:numId w:val="2"/>
        </w:numPr>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主要经验及做法</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本次评价通过文件研读、实地调研、数据分析等方式，全面了解公用经费项目资金的使用效率和效果，项目管理过程符合相关项目管理制度，完成了预期绩效目标及社会综合效益等。</w:t>
      </w:r>
    </w:p>
    <w:p>
      <w:pPr>
        <w:keepNext w:val="0"/>
        <w:keepLines w:val="0"/>
        <w:pageBreakBefore w:val="0"/>
        <w:numPr>
          <w:ilvl w:val="0"/>
          <w:numId w:val="2"/>
        </w:numPr>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存在的问题</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通过预算绩效管理，发现了工作中存在的不足，如前期资金使用因报账材料不完整原因未按期支付，导致了资金滞缓，影响了项目的进度，造成了部分资金的浪费。</w:t>
      </w:r>
    </w:p>
    <w:p>
      <w:pPr>
        <w:keepNext w:val="0"/>
        <w:keepLines w:val="0"/>
        <w:pageBreakBefore w:val="0"/>
        <w:numPr>
          <w:ilvl w:val="0"/>
          <w:numId w:val="2"/>
        </w:numPr>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建议</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年初做好资金计划，按照项目进度及时拨付资金，使资金使用效益最大化，减少不必要的浪费，节约成本。</w:t>
      </w:r>
    </w:p>
    <w:p>
      <w:pPr>
        <w:keepNext w:val="0"/>
        <w:keepLines w:val="0"/>
        <w:pageBreakBefore w:val="0"/>
        <w:kinsoku/>
        <w:wordWrap/>
        <w:overflowPunct/>
        <w:topLinePunct w:val="0"/>
        <w:autoSpaceDE/>
        <w:autoSpaceDN/>
        <w:bidi w:val="0"/>
        <w:spacing w:line="560" w:lineRule="atLeast"/>
        <w:ind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（三）其他</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无其他说明内容。</w:t>
      </w:r>
    </w:p>
    <w:p>
      <w:pPr>
        <w:keepNext w:val="0"/>
        <w:keepLines w:val="0"/>
        <w:pageBreakBefore w:val="0"/>
        <w:kinsoku/>
        <w:wordWrap/>
        <w:overflowPunct/>
        <w:topLinePunct w:val="0"/>
        <w:autoSpaceDE/>
        <w:autoSpaceDN/>
        <w:bidi w:val="0"/>
        <w:spacing w:line="560" w:lineRule="atLeast"/>
        <w:ind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六、项目评价工作情况</w:t>
      </w:r>
    </w:p>
    <w:p>
      <w:pPr>
        <w:keepNext w:val="0"/>
        <w:keepLines w:val="0"/>
        <w:pageBreakBefore w:val="0"/>
        <w:kinsoku/>
        <w:wordWrap/>
        <w:overflowPunct/>
        <w:topLinePunct w:val="0"/>
        <w:autoSpaceDE/>
        <w:autoSpaceDN/>
        <w:bidi w:val="0"/>
        <w:adjustRightInd w:val="0"/>
        <w:snapToGrid w:val="0"/>
        <w:spacing w:line="560" w:lineRule="atLeast"/>
        <w:ind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w:t>
      </w:r>
      <w:r>
        <w:rPr>
          <w:rFonts w:hint="eastAsia" w:ascii="仿宋_GB2312" w:hAnsi="仿宋_GB2312" w:eastAsia="仿宋_GB2312" w:cs="仿宋_GB2312"/>
          <w:b w:val="0"/>
          <w:bCs/>
          <w:kern w:val="0"/>
          <w:sz w:val="32"/>
          <w:szCs w:val="32"/>
        </w:rPr>
        <w:t>县级专项工作经费</w:t>
      </w:r>
      <w:r>
        <w:rPr>
          <w:rFonts w:hint="eastAsia" w:ascii="仿宋_GB2312" w:hAnsi="仿宋_GB2312" w:eastAsia="仿宋_GB2312" w:cs="仿宋_GB2312"/>
          <w:b w:val="0"/>
          <w:bCs/>
          <w:spacing w:val="-4"/>
          <w:sz w:val="32"/>
          <w:szCs w:val="32"/>
        </w:rPr>
        <w:t>项目资金的使用效率和效果，项目管理过程是否规范，是否完成了预期绩效目标等。同时，通过开展自我评价来总结经验和教训，为我乡</w:t>
      </w:r>
      <w:r>
        <w:rPr>
          <w:rFonts w:hint="eastAsia" w:ascii="仿宋_GB2312" w:hAnsi="仿宋_GB2312" w:eastAsia="仿宋_GB2312" w:cs="仿宋_GB2312"/>
          <w:b w:val="0"/>
          <w:bCs/>
          <w:spacing w:val="-4"/>
          <w:sz w:val="32"/>
          <w:szCs w:val="32"/>
          <w:lang w:val="en-US" w:eastAsia="zh-CN"/>
        </w:rPr>
        <w:t>县级公</w:t>
      </w:r>
      <w:r>
        <w:rPr>
          <w:rFonts w:hint="eastAsia" w:ascii="仿宋_GB2312" w:hAnsi="仿宋_GB2312" w:eastAsia="仿宋_GB2312" w:cs="仿宋_GB2312"/>
          <w:b w:val="0"/>
          <w:bCs/>
          <w:spacing w:val="-4"/>
          <w:sz w:val="32"/>
          <w:szCs w:val="32"/>
        </w:rPr>
        <w:t>用经费项目今后的开展提供参考建议。</w:t>
      </w:r>
    </w:p>
    <w:p>
      <w:pPr>
        <w:keepNext w:val="0"/>
        <w:keepLines w:val="0"/>
        <w:pageBreakBefore w:val="0"/>
        <w:kinsoku/>
        <w:wordWrap/>
        <w:overflowPunct/>
        <w:topLinePunct w:val="0"/>
        <w:autoSpaceDE/>
        <w:autoSpaceDN/>
        <w:bidi w:val="0"/>
        <w:spacing w:line="560" w:lineRule="atLeast"/>
        <w:ind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七、附表</w:t>
      </w:r>
    </w:p>
    <w:p>
      <w:pPr>
        <w:keepNext w:val="0"/>
        <w:keepLines w:val="0"/>
        <w:pageBreakBefore w:val="0"/>
        <w:kinsoku/>
        <w:wordWrap/>
        <w:overflowPunct/>
        <w:topLinePunct w:val="0"/>
        <w:autoSpaceDE/>
        <w:autoSpaceDN/>
        <w:bidi w:val="0"/>
        <w:spacing w:line="560" w:lineRule="atLeast"/>
        <w:ind w:right="0" w:rightChars="0" w:firstLine="567"/>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《喀什地区财政项目支出绩效自评表》</w:t>
      </w:r>
    </w:p>
    <w:p>
      <w:pPr>
        <w:keepNext w:val="0"/>
        <w:keepLines w:val="0"/>
        <w:pageBreakBefore w:val="0"/>
        <w:kinsoku/>
        <w:wordWrap/>
        <w:overflowPunct/>
        <w:topLinePunct w:val="0"/>
        <w:autoSpaceDE/>
        <w:autoSpaceDN/>
        <w:bidi w:val="0"/>
        <w:spacing w:line="560" w:lineRule="atLeast"/>
        <w:ind w:right="0" w:rightChars="0" w:firstLine="567"/>
        <w:textAlignment w:val="auto"/>
        <w:rPr>
          <w:rStyle w:val="19"/>
          <w:rFonts w:hint="eastAsia" w:ascii="仿宋_GB2312" w:hAnsi="仿宋_GB2312" w:eastAsia="仿宋_GB2312" w:cs="仿宋_GB2312"/>
          <w:b w:val="0"/>
          <w:bCs/>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5</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abstractNum w:abstractNumId="1">
    <w:nsid w:val="5D5AED4C"/>
    <w:multiLevelType w:val="singleLevel"/>
    <w:tmpl w:val="5D5AED4C"/>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347C0"/>
    <w:rsid w:val="00056465"/>
    <w:rsid w:val="000F1A24"/>
    <w:rsid w:val="000F5634"/>
    <w:rsid w:val="000F592C"/>
    <w:rsid w:val="00121AE4"/>
    <w:rsid w:val="00136BCC"/>
    <w:rsid w:val="00146AAD"/>
    <w:rsid w:val="00150D83"/>
    <w:rsid w:val="001A5061"/>
    <w:rsid w:val="001B23F1"/>
    <w:rsid w:val="001B3A40"/>
    <w:rsid w:val="00220617"/>
    <w:rsid w:val="00235CEA"/>
    <w:rsid w:val="00287F8A"/>
    <w:rsid w:val="002B320F"/>
    <w:rsid w:val="00311626"/>
    <w:rsid w:val="00321CBD"/>
    <w:rsid w:val="00347D87"/>
    <w:rsid w:val="0036186A"/>
    <w:rsid w:val="00365279"/>
    <w:rsid w:val="00365E9E"/>
    <w:rsid w:val="003C2CF9"/>
    <w:rsid w:val="003D67CE"/>
    <w:rsid w:val="003E1B51"/>
    <w:rsid w:val="004366A8"/>
    <w:rsid w:val="00460554"/>
    <w:rsid w:val="00466139"/>
    <w:rsid w:val="00474314"/>
    <w:rsid w:val="004E1235"/>
    <w:rsid w:val="004E67A6"/>
    <w:rsid w:val="004E7C7C"/>
    <w:rsid w:val="00502BA7"/>
    <w:rsid w:val="00505828"/>
    <w:rsid w:val="005162F1"/>
    <w:rsid w:val="00535153"/>
    <w:rsid w:val="0054296A"/>
    <w:rsid w:val="00554F82"/>
    <w:rsid w:val="0056390D"/>
    <w:rsid w:val="005719B0"/>
    <w:rsid w:val="005B089D"/>
    <w:rsid w:val="005D10D6"/>
    <w:rsid w:val="0063597F"/>
    <w:rsid w:val="00656E69"/>
    <w:rsid w:val="00762BDF"/>
    <w:rsid w:val="00796278"/>
    <w:rsid w:val="007A593B"/>
    <w:rsid w:val="007D32F0"/>
    <w:rsid w:val="007D576E"/>
    <w:rsid w:val="007E6716"/>
    <w:rsid w:val="00834FFC"/>
    <w:rsid w:val="00855E3A"/>
    <w:rsid w:val="00886A10"/>
    <w:rsid w:val="008A6A09"/>
    <w:rsid w:val="008E6B23"/>
    <w:rsid w:val="008F2612"/>
    <w:rsid w:val="00922CB9"/>
    <w:rsid w:val="0093436F"/>
    <w:rsid w:val="00940A92"/>
    <w:rsid w:val="00951B74"/>
    <w:rsid w:val="0099379F"/>
    <w:rsid w:val="009E5CD9"/>
    <w:rsid w:val="00A26421"/>
    <w:rsid w:val="00A4293B"/>
    <w:rsid w:val="00A528D0"/>
    <w:rsid w:val="00A67D50"/>
    <w:rsid w:val="00A8691A"/>
    <w:rsid w:val="00AA78D4"/>
    <w:rsid w:val="00AC1946"/>
    <w:rsid w:val="00B40063"/>
    <w:rsid w:val="00B41F61"/>
    <w:rsid w:val="00B82481"/>
    <w:rsid w:val="00BA2447"/>
    <w:rsid w:val="00BA46E6"/>
    <w:rsid w:val="00BF7355"/>
    <w:rsid w:val="00C21A75"/>
    <w:rsid w:val="00C45931"/>
    <w:rsid w:val="00C56C72"/>
    <w:rsid w:val="00C74C51"/>
    <w:rsid w:val="00C87A8E"/>
    <w:rsid w:val="00C95952"/>
    <w:rsid w:val="00CA189B"/>
    <w:rsid w:val="00CA6457"/>
    <w:rsid w:val="00CB0722"/>
    <w:rsid w:val="00D17F2E"/>
    <w:rsid w:val="00D30354"/>
    <w:rsid w:val="00D35A5E"/>
    <w:rsid w:val="00DA617B"/>
    <w:rsid w:val="00DC0C3C"/>
    <w:rsid w:val="00DC363A"/>
    <w:rsid w:val="00DD1016"/>
    <w:rsid w:val="00DD1F77"/>
    <w:rsid w:val="00DF42A0"/>
    <w:rsid w:val="00E32AE0"/>
    <w:rsid w:val="00E564B5"/>
    <w:rsid w:val="00E769FE"/>
    <w:rsid w:val="00EA2CBE"/>
    <w:rsid w:val="00F32FEE"/>
    <w:rsid w:val="00F43622"/>
    <w:rsid w:val="00FB10BB"/>
    <w:rsid w:val="00FC3B55"/>
    <w:rsid w:val="00FE11B9"/>
    <w:rsid w:val="02E37DE9"/>
    <w:rsid w:val="0D5D5A45"/>
    <w:rsid w:val="14776BBB"/>
    <w:rsid w:val="16CC3CA7"/>
    <w:rsid w:val="17E421EC"/>
    <w:rsid w:val="1FA77A8B"/>
    <w:rsid w:val="2E2A086E"/>
    <w:rsid w:val="305D4166"/>
    <w:rsid w:val="347362C2"/>
    <w:rsid w:val="40527890"/>
    <w:rsid w:val="46773B25"/>
    <w:rsid w:val="4CC53AAA"/>
    <w:rsid w:val="4E2F51E2"/>
    <w:rsid w:val="54C938F0"/>
    <w:rsid w:val="55B52228"/>
    <w:rsid w:val="5C184D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notice_title"/>
    <w:basedOn w:val="1"/>
    <w:qFormat/>
    <w:uiPriority w:val="0"/>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353</Words>
  <Characters>2017</Characters>
  <Lines>16</Lines>
  <Paragraphs>4</Paragraphs>
  <TotalTime>0</TotalTime>
  <ScaleCrop>false</ScaleCrop>
  <LinksUpToDate>false</LinksUpToDate>
  <CharactersWithSpaces>2366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2023-12-12T10:36:39Z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