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widowControl/>
        <w:jc w:val="center"/>
        <w:rPr>
          <w:rFonts w:ascii="黑体" w:hAnsi="黑体" w:eastAsia="黑体" w:cs="黑体"/>
          <w:bCs/>
          <w:sz w:val="44"/>
          <w:szCs w:val="44"/>
        </w:rPr>
      </w:pPr>
      <w:r>
        <w:rPr>
          <w:rFonts w:hint="eastAsia" w:ascii="黑体" w:hAnsi="黑体" w:eastAsia="黑体" w:cs="黑体"/>
          <w:bCs/>
          <w:sz w:val="44"/>
          <w:szCs w:val="44"/>
        </w:rPr>
        <w:t>自治区财政项目支出绩效自评报告</w:t>
      </w:r>
    </w:p>
    <w:p>
      <w:pPr>
        <w:widowControl/>
        <w:jc w:val="center"/>
        <w:rPr>
          <w:rFonts w:ascii="黑体" w:hAnsi="黑体" w:eastAsia="黑体" w:cs="黑体"/>
          <w:bCs/>
          <w:sz w:val="44"/>
          <w:szCs w:val="44"/>
        </w:rPr>
      </w:pPr>
    </w:p>
    <w:p>
      <w:pPr>
        <w:widowControl/>
        <w:jc w:val="center"/>
        <w:rPr>
          <w:rFonts w:ascii="黑体" w:hAnsi="黑体" w:eastAsia="黑体" w:cs="黑体"/>
          <w:bCs/>
          <w:sz w:val="44"/>
          <w:szCs w:val="44"/>
        </w:rPr>
      </w:pPr>
      <w:r>
        <w:rPr>
          <w:rFonts w:hint="eastAsia" w:ascii="黑体" w:hAnsi="黑体" w:eastAsia="黑体" w:cs="黑体"/>
          <w:bCs/>
          <w:sz w:val="44"/>
          <w:szCs w:val="44"/>
        </w:rPr>
        <w:t>（2018年度）</w:t>
      </w:r>
    </w:p>
    <w:p>
      <w:pPr>
        <w:spacing w:line="540" w:lineRule="exact"/>
        <w:jc w:val="center"/>
        <w:rPr>
          <w:rFonts w:hAnsi="宋体" w:eastAsia="仿宋_GB2312"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ascii="黑体" w:hAnsi="黑体" w:eastAsia="黑体" w:cs="黑体"/>
          <w:bCs/>
          <w:kern w:val="0"/>
          <w:sz w:val="32"/>
          <w:szCs w:val="32"/>
        </w:rPr>
      </w:pPr>
      <w:r>
        <w:rPr>
          <w:rFonts w:hint="eastAsia" w:ascii="黑体" w:hAnsi="黑体" w:eastAsia="黑体" w:cs="黑体"/>
          <w:bCs/>
          <w:kern w:val="0"/>
          <w:sz w:val="32"/>
          <w:szCs w:val="32"/>
        </w:rPr>
        <w:t>项目名称：棋盘乡民政资金项目</w:t>
      </w:r>
    </w:p>
    <w:p>
      <w:pPr>
        <w:spacing w:line="700" w:lineRule="exact"/>
        <w:jc w:val="left"/>
        <w:rPr>
          <w:rFonts w:ascii="黑体" w:hAnsi="黑体" w:eastAsia="黑体" w:cs="黑体"/>
          <w:bCs/>
          <w:kern w:val="0"/>
          <w:sz w:val="32"/>
          <w:szCs w:val="32"/>
        </w:rPr>
      </w:pPr>
      <w:r>
        <w:rPr>
          <w:rFonts w:hint="eastAsia" w:ascii="黑体" w:hAnsi="黑体" w:eastAsia="黑体" w:cs="黑体"/>
          <w:bCs/>
          <w:kern w:val="0"/>
          <w:sz w:val="32"/>
          <w:szCs w:val="32"/>
        </w:rPr>
        <w:t>实施单位（公章）：棋盘乡人民政府</w:t>
      </w:r>
    </w:p>
    <w:p>
      <w:pPr>
        <w:spacing w:line="700" w:lineRule="exact"/>
        <w:jc w:val="left"/>
        <w:rPr>
          <w:rFonts w:ascii="黑体" w:hAnsi="黑体" w:eastAsia="黑体" w:cs="黑体"/>
          <w:bCs/>
          <w:kern w:val="0"/>
          <w:sz w:val="32"/>
          <w:szCs w:val="32"/>
        </w:rPr>
      </w:pPr>
      <w:r>
        <w:rPr>
          <w:rFonts w:hint="eastAsia" w:ascii="黑体" w:hAnsi="黑体" w:eastAsia="黑体" w:cs="黑体"/>
          <w:bCs/>
          <w:kern w:val="0"/>
          <w:sz w:val="32"/>
          <w:szCs w:val="32"/>
        </w:rPr>
        <w:t>主管部门（公章）：棋盘乡人民政府</w:t>
      </w:r>
    </w:p>
    <w:p>
      <w:pPr>
        <w:spacing w:line="700" w:lineRule="exact"/>
        <w:jc w:val="left"/>
        <w:rPr>
          <w:rFonts w:ascii="黑体" w:hAnsi="黑体" w:eastAsia="黑体" w:cs="黑体"/>
          <w:bCs/>
          <w:kern w:val="0"/>
          <w:sz w:val="32"/>
          <w:szCs w:val="32"/>
        </w:rPr>
      </w:pPr>
      <w:r>
        <w:rPr>
          <w:rFonts w:hint="eastAsia" w:ascii="黑体" w:hAnsi="黑体" w:eastAsia="黑体" w:cs="黑体"/>
          <w:bCs/>
          <w:kern w:val="0"/>
          <w:sz w:val="32"/>
          <w:szCs w:val="32"/>
        </w:rPr>
        <w:t>项目负责人（签章）：李智</w:t>
      </w:r>
    </w:p>
    <w:p>
      <w:pPr>
        <w:spacing w:line="700" w:lineRule="exact"/>
        <w:jc w:val="left"/>
        <w:rPr>
          <w:rFonts w:hAnsi="宋体" w:eastAsia="仿宋_GB2312" w:cs="宋体"/>
          <w:kern w:val="0"/>
          <w:sz w:val="36"/>
          <w:szCs w:val="36"/>
        </w:rPr>
      </w:pPr>
      <w:r>
        <w:rPr>
          <w:rFonts w:hint="eastAsia" w:ascii="黑体" w:hAnsi="黑体" w:eastAsia="黑体" w:cs="黑体"/>
          <w:bCs/>
          <w:kern w:val="0"/>
          <w:sz w:val="32"/>
          <w:szCs w:val="32"/>
        </w:rPr>
        <w:t>填报时间：2018年11月25日</w:t>
      </w:r>
    </w:p>
    <w:p>
      <w:pPr>
        <w:spacing w:line="540" w:lineRule="exact"/>
        <w:jc w:val="center"/>
        <w:rPr>
          <w:rFonts w:hAnsi="宋体" w:eastAsia="仿宋_GB2312" w:cs="宋体"/>
          <w:kern w:val="0"/>
          <w:sz w:val="30"/>
          <w:szCs w:val="30"/>
        </w:rPr>
      </w:pP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460" w:firstLineChars="147"/>
        <w:rPr>
          <w:rStyle w:val="19"/>
          <w:rFonts w:ascii="仿宋_GB2312" w:hAnsi="仿宋_GB2312" w:eastAsia="仿宋_GB2312" w:cs="仿宋_GB2312"/>
          <w:bCs w:val="0"/>
          <w:spacing w:val="-4"/>
          <w:sz w:val="32"/>
          <w:szCs w:val="32"/>
        </w:rPr>
      </w:pPr>
      <w:r>
        <w:rPr>
          <w:rStyle w:val="19"/>
          <w:rFonts w:hint="eastAsia" w:ascii="仿宋_GB2312" w:hAnsi="仿宋_GB2312" w:eastAsia="仿宋_GB2312" w:cs="仿宋_GB2312"/>
          <w:bCs w:val="0"/>
          <w:spacing w:val="-4"/>
          <w:sz w:val="32"/>
          <w:szCs w:val="32"/>
        </w:rPr>
        <w:t>（一）项目单位基本情况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sz w:val="32"/>
          <w:szCs w:val="32"/>
        </w:rPr>
        <w:t>叶城县棋盘乡属党政机关行政部门，乡科级行政乡，辖14个行政村，全乡总人口3944户，18526人，主要以维吾尔族为主。全乡总耕地面积1.85万亩，农业人均占有耕地不足1亩，主要从事粮食生产、林果业、畜牧业，属于叶城县以林果业、畜牧业为主的山区乡之一。</w:t>
      </w:r>
      <w:r>
        <w:rPr>
          <w:rFonts w:hint="eastAsia" w:ascii="仿宋_GB2312" w:hAnsi="仿宋_GB2312" w:eastAsia="仿宋_GB2312" w:cs="仿宋_GB2312"/>
          <w:bCs/>
          <w:spacing w:val="-4"/>
          <w:sz w:val="32"/>
          <w:szCs w:val="32"/>
        </w:rPr>
        <w:t>编制情况：</w:t>
      </w:r>
      <w:r>
        <w:rPr>
          <w:rFonts w:hint="eastAsia" w:ascii="仿宋_GB2312" w:hAnsi="仿宋_GB2312" w:eastAsia="仿宋_GB2312" w:cs="仿宋_GB2312"/>
          <w:bCs/>
          <w:sz w:val="32"/>
          <w:szCs w:val="32"/>
        </w:rPr>
        <w:t>棋盘乡人</w:t>
      </w:r>
      <w:r>
        <w:rPr>
          <w:rFonts w:hint="eastAsia" w:ascii="仿宋_GB2312" w:hAnsi="仿宋_GB2312" w:eastAsia="仿宋_GB2312" w:cs="仿宋_GB2312"/>
          <w:bCs/>
          <w:sz w:val="32"/>
          <w:szCs w:val="32"/>
          <w:lang w:eastAsia="zh-CN"/>
        </w:rPr>
        <w:t>民</w:t>
      </w:r>
      <w:r>
        <w:rPr>
          <w:rFonts w:hint="eastAsia" w:ascii="仿宋_GB2312" w:hAnsi="仿宋_GB2312" w:eastAsia="仿宋_GB2312" w:cs="仿宋_GB2312"/>
          <w:bCs/>
          <w:sz w:val="32"/>
          <w:szCs w:val="32"/>
        </w:rPr>
        <w:t>政府行政编制55人，其中：党委编制13人，政府编制38人，政法编制2人，工勤编制2人，共计55人。事业编制为26人，参照编制1人,全额事业编制共计21人, 自收自支编制4人。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rPr>
        <w:t>主要职能：作为乡镇党政机关主要职能为：负责全乡党政行政管理事务，坚决贯彻执行党中央、国务院、自治区、地区及县委、县人民政府的有关</w:t>
      </w:r>
      <w:r>
        <w:rPr>
          <w:rFonts w:hint="eastAsia" w:ascii="仿宋_GB2312" w:hAnsi="仿宋_GB2312" w:eastAsia="仿宋_GB2312" w:cs="仿宋_GB2312"/>
          <w:bCs/>
          <w:sz w:val="32"/>
          <w:szCs w:val="32"/>
          <w:lang w:eastAsia="zh-CN"/>
        </w:rPr>
        <w:t>方针</w:t>
      </w:r>
      <w:r>
        <w:rPr>
          <w:rFonts w:hint="eastAsia" w:ascii="仿宋_GB2312" w:hAnsi="仿宋_GB2312" w:eastAsia="仿宋_GB2312" w:cs="仿宋_GB2312"/>
          <w:bCs/>
          <w:sz w:val="32"/>
          <w:szCs w:val="32"/>
        </w:rPr>
        <w:t>政策指示，把党的各项优惠政策落实到实处，负责全乡经济社会发展、社会事务管理、基层组织建设等全面工作。以全面建设社会主义新农村为根本出发点，不断深化美丽乡、村建设，脱贫攻坚，不断铸牢全乡经济社会发展基础，为全乡各族群众提供社会服务。</w:t>
      </w:r>
    </w:p>
    <w:p>
      <w:pPr>
        <w:spacing w:line="560" w:lineRule="exact"/>
        <w:rPr>
          <w:rStyle w:val="19"/>
          <w:rFonts w:ascii="仿宋_GB2312" w:hAnsi="仿宋_GB2312" w:eastAsia="仿宋_GB2312" w:cs="仿宋_GB2312"/>
          <w:bCs w:val="0"/>
          <w:spacing w:val="-4"/>
          <w:sz w:val="32"/>
          <w:szCs w:val="32"/>
        </w:rPr>
      </w:pPr>
      <w:r>
        <w:rPr>
          <w:rStyle w:val="19"/>
          <w:rFonts w:hint="eastAsia" w:ascii="仿宋_GB2312" w:hAnsi="仿宋_GB2312" w:eastAsia="仿宋_GB2312" w:cs="仿宋_GB2312"/>
          <w:bCs w:val="0"/>
          <w:spacing w:val="-4"/>
          <w:sz w:val="32"/>
          <w:szCs w:val="32"/>
        </w:rPr>
        <w:t>（二）项目预算绩效目标设定情况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叶城县民政局下达叶城县棋盘乡</w:t>
      </w:r>
      <w:bookmarkStart w:id="0" w:name="_GoBack"/>
      <w:bookmarkEnd w:id="0"/>
      <w:r>
        <w:rPr>
          <w:rFonts w:hint="eastAsia" w:ascii="仿宋_GB2312" w:hAnsi="仿宋_GB2312" w:eastAsia="仿宋_GB2312" w:cs="仿宋_GB2312"/>
          <w:bCs/>
          <w:sz w:val="32"/>
          <w:szCs w:val="32"/>
        </w:rPr>
        <w:t>2018年民政资金项目资金1812.42万元，其中包括农村低保1148.72万元，城市低保34.94万元，80岁以上老人补贴0.67万元，临时金25.87万元，残疾人补助45.98万元以及补助318.98万元,困难农户补贴237.26万元，确保资金按时发放到农民手中，保障农民的最低生活标准。</w:t>
      </w:r>
    </w:p>
    <w:p>
      <w:pPr>
        <w:spacing w:line="560" w:lineRule="exact"/>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rPr>
          <w:rStyle w:val="19"/>
          <w:rFonts w:ascii="仿宋_GB2312" w:hAnsi="仿宋_GB2312" w:eastAsia="仿宋_GB2312" w:cs="仿宋_GB2312"/>
          <w:bCs w:val="0"/>
          <w:spacing w:val="-4"/>
          <w:sz w:val="32"/>
          <w:szCs w:val="32"/>
        </w:rPr>
      </w:pPr>
      <w:r>
        <w:rPr>
          <w:rStyle w:val="19"/>
          <w:rFonts w:hint="eastAsia" w:ascii="仿宋_GB2312" w:hAnsi="仿宋_GB2312" w:eastAsia="仿宋_GB2312" w:cs="仿宋_GB2312"/>
          <w:bCs w:val="0"/>
          <w:spacing w:val="-4"/>
          <w:sz w:val="32"/>
          <w:szCs w:val="32"/>
        </w:rPr>
        <w:t>（一）项目资金安排落实、总投入等情况分析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根据新财社（2018）183号、喀地财社（2018）97号文件要求，本项目资金1812.42万元，其中财政资金1812.42万元，其他资金0万元，资金到位1812.42万元；资金到位率100%。</w:t>
      </w:r>
    </w:p>
    <w:p>
      <w:pPr>
        <w:spacing w:line="560" w:lineRule="exact"/>
        <w:rPr>
          <w:rStyle w:val="19"/>
          <w:rFonts w:ascii="仿宋_GB2312" w:hAnsi="仿宋_GB2312" w:eastAsia="仿宋_GB2312" w:cs="仿宋_GB2312"/>
          <w:bCs w:val="0"/>
          <w:spacing w:val="-4"/>
          <w:sz w:val="32"/>
          <w:szCs w:val="32"/>
        </w:rPr>
      </w:pPr>
      <w:r>
        <w:rPr>
          <w:rStyle w:val="19"/>
          <w:rFonts w:hint="eastAsia" w:ascii="仿宋_GB2312" w:hAnsi="仿宋_GB2312" w:eastAsia="仿宋_GB2312" w:cs="仿宋_GB2312"/>
          <w:bCs w:val="0"/>
          <w:spacing w:val="-4"/>
          <w:sz w:val="32"/>
          <w:szCs w:val="32"/>
        </w:rPr>
        <w:t>（二）项目资金实际使用情况分析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根据新财社（2018）183号、喀地财社（2018）97号关于下达2018年中央财政困难农户补助补助资金的文件，到位资金1812.42万元，本项目实际支付资金1812.42万元，预算执行率100%。项目资金主要用于支付农村城市最低生活保障费、困难农户补助、残疾人补助等费用已支付1812.42万元，结余0万元。”</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根据中央和自治区项目资金管理办法的要求，我乡严格按照项目资金规定的专项资金支持的项目条件和范围要求，严格按照有关规定使用管理项目资金。</w:t>
      </w:r>
    </w:p>
    <w:p>
      <w:pPr>
        <w:spacing w:line="560" w:lineRule="exact"/>
        <w:rPr>
          <w:rStyle w:val="19"/>
          <w:rFonts w:ascii="仿宋_GB2312" w:hAnsi="仿宋_GB2312" w:eastAsia="仿宋_GB2312" w:cs="仿宋_GB2312"/>
          <w:bCs w:val="0"/>
          <w:spacing w:val="-4"/>
          <w:sz w:val="32"/>
          <w:szCs w:val="32"/>
        </w:rPr>
      </w:pPr>
      <w:r>
        <w:rPr>
          <w:rStyle w:val="19"/>
          <w:rFonts w:hint="eastAsia" w:ascii="仿宋_GB2312" w:hAnsi="仿宋_GB2312" w:eastAsia="仿宋_GB2312" w:cs="仿宋_GB2312"/>
          <w:bCs w:val="0"/>
          <w:spacing w:val="-4"/>
          <w:sz w:val="32"/>
          <w:szCs w:val="32"/>
        </w:rPr>
        <w:t>（三）项目资金管理情况分析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该项目资金1812.42万元，本项目资金符合《行政单位财务管理制度及办法》，做到专款专用，该资金采用直接支付和授权支付两种方式，将资金安全地发放至各村农民手中，并确保村民的最低生活标准，资金拨付有完整的审批程序和手续均符合财务管理制度，不存在截留、挤占、挪用、虚假支出等现象。</w:t>
      </w:r>
    </w:p>
    <w:p>
      <w:pPr>
        <w:spacing w:line="560" w:lineRule="exact"/>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rPr>
          <w:rStyle w:val="19"/>
          <w:rFonts w:ascii="仿宋_GB2312" w:hAnsi="仿宋_GB2312" w:eastAsia="仿宋_GB2312" w:cs="仿宋_GB2312"/>
          <w:bCs w:val="0"/>
          <w:spacing w:val="-4"/>
          <w:sz w:val="32"/>
          <w:szCs w:val="32"/>
        </w:rPr>
      </w:pPr>
      <w:r>
        <w:rPr>
          <w:rStyle w:val="19"/>
          <w:rFonts w:hint="eastAsia" w:ascii="仿宋_GB2312" w:hAnsi="仿宋_GB2312" w:eastAsia="仿宋_GB2312" w:cs="仿宋_GB2312"/>
          <w:bCs w:val="0"/>
          <w:spacing w:val="-4"/>
          <w:sz w:val="32"/>
          <w:szCs w:val="32"/>
        </w:rPr>
        <w:t>（一）项目组织情况分析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是项目单位自查。由棋盘乡各村对资金使用、管理和效益情况进行自查，认真填报有关数据和文字报告。二是乡人民政府对上报情况进行了认真的审查，在检查无误的基础上对基础数据进行了汇总分析，进行绩效自评。</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本项目不存在调整情况。</w:t>
      </w:r>
    </w:p>
    <w:p>
      <w:pPr>
        <w:spacing w:line="560" w:lineRule="exact"/>
        <w:rPr>
          <w:rStyle w:val="19"/>
          <w:rFonts w:ascii="仿宋_GB2312" w:hAnsi="仿宋_GB2312" w:eastAsia="仿宋_GB2312" w:cs="仿宋_GB2312"/>
          <w:bCs w:val="0"/>
          <w:spacing w:val="-4"/>
          <w:sz w:val="32"/>
          <w:szCs w:val="32"/>
        </w:rPr>
      </w:pPr>
      <w:r>
        <w:rPr>
          <w:rStyle w:val="19"/>
          <w:rFonts w:hint="eastAsia" w:ascii="仿宋_GB2312" w:hAnsi="仿宋_GB2312" w:eastAsia="仿宋_GB2312" w:cs="仿宋_GB2312"/>
          <w:bCs w:val="0"/>
          <w:spacing w:val="-4"/>
          <w:sz w:val="32"/>
          <w:szCs w:val="32"/>
        </w:rPr>
        <w:t>（二）项目管理情况分析</w:t>
      </w:r>
    </w:p>
    <w:p>
      <w:pPr>
        <w:spacing w:line="560" w:lineRule="exact"/>
        <w:ind w:firstLine="640"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z w:val="32"/>
          <w:szCs w:val="32"/>
        </w:rPr>
        <w:t>项目实施过程中，我单位建立了《民政资金管理制度》保障项目的顺利实施。项目的实施遵守相关法律法规和业务管理规定，项目资料齐全并及时装订、归档。已建立《财政资金管理制度》，不定期对项目进度情况进行督导检查，对检查过程中发现的问题及时督促整改，确保了项目按时保质完成。</w:t>
      </w:r>
    </w:p>
    <w:p>
      <w:pPr>
        <w:spacing w:line="560" w:lineRule="exact"/>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四、项目绩效情况</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（一）项目绩效目标完成情况分析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本项目共设置一级指标3个，二级指标8个，三级指标20个，其中已完成三级指标20个，指标完成率为100%。根据年初设定的绩效目标，此项目自评得分为</w:t>
      </w:r>
      <w:r>
        <w:rPr>
          <w:rFonts w:hint="eastAsia" w:ascii="仿宋_GB2312" w:hAnsi="仿宋_GB2312" w:eastAsia="仿宋_GB2312" w:cs="仿宋_GB2312"/>
          <w:bCs/>
          <w:sz w:val="32"/>
          <w:szCs w:val="32"/>
          <w:lang w:val="en-US" w:eastAsia="zh-CN"/>
        </w:rPr>
        <w:t>8</w:t>
      </w:r>
      <w:r>
        <w:rPr>
          <w:rFonts w:hint="eastAsia" w:ascii="仿宋_GB2312" w:hAnsi="仿宋_GB2312" w:eastAsia="仿宋_GB2312" w:cs="仿宋_GB2312"/>
          <w:bCs/>
          <w:sz w:val="32"/>
          <w:szCs w:val="32"/>
        </w:rPr>
        <w:t>3分。</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产出指标完成情况分析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1.产出指标完成情况分析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（1）项目完成数量</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2018年农村低保保障人数9806人，平均每人1171元，城市低保保障人数263人，平均每人1328元，临时金保障人数231人，平均每人1120元，残疾人员补助保障人数299人，平均每人1537元，80岁以上老人补贴保障人数92人，平均每人73元，补助保障人数11318人，平均每人281元，困难农户补贴保障人员5238人，平均每人452元，各项资金按时发放，保证农民的最低日常开支。</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（2）项目完成质量</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棋盘乡民政资金项目资金保障完成率100%，该项目严格按照相关要求进行发放，已全部发放完毕，未发现漏发、少发、多发等质量问题。</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（3）项目实施进度</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该资金按照申报目标的进度进行，按月完成了支付,资金拨付及时率100%，该项目已经全部实施完毕。</w:t>
      </w:r>
    </w:p>
    <w:p>
      <w:pPr>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（4）项目成本节约情况</w:t>
      </w:r>
    </w:p>
    <w:p>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农村最低生活保障金1171元/人、城市最低生活保障金1328元/人、人员人均保障1120元/人，残疾人员人均保障1537元/人，80岁以上老人人均保障92元/人，补助人均保障281元/人，困难农户人均保障452元/人.使群众满意度持续提升，保障了群众更好的完成干部交于的基层任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2.效益指标完成情况分析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（1）项目实施的经济效益分析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因为该项目为资金直接保障类和补助类项目，从资金直观上，减轻农村低保、特困人员等困难群众生活负担854.42元。</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（2）项目实施的社会效益分析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2018年民政资金项目</w:t>
      </w:r>
      <w:r>
        <w:rPr>
          <w:rFonts w:hint="eastAsia" w:ascii="仿宋_GB2312" w:hAnsi="仿宋_GB2312" w:eastAsia="仿宋_GB2312" w:cs="仿宋_GB2312"/>
          <w:color w:val="000000"/>
          <w:spacing w:val="-4"/>
          <w:sz w:val="32"/>
          <w:szCs w:val="32"/>
        </w:rPr>
        <w:t>的顺利实施</w:t>
      </w:r>
      <w:r>
        <w:rPr>
          <w:rFonts w:hint="eastAsia" w:ascii="仿宋_GB2312" w:hAnsi="仿宋_GB2312" w:eastAsia="仿宋_GB2312" w:cs="仿宋_GB2312"/>
          <w:bCs/>
          <w:sz w:val="32"/>
          <w:szCs w:val="32"/>
        </w:rPr>
        <w:t>，逐年改善提高农户生活水平</w:t>
      </w:r>
      <w:r>
        <w:rPr>
          <w:rFonts w:hint="eastAsia" w:ascii="仿宋_GB2312" w:hAnsi="仿宋_GB2312" w:eastAsia="仿宋_GB2312" w:cs="仿宋_GB2312"/>
          <w:color w:val="000000"/>
          <w:spacing w:val="-4"/>
          <w:sz w:val="32"/>
          <w:szCs w:val="32"/>
        </w:rPr>
        <w:t>，均达到“两不愁”的目标。</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（3）项目实施的生态效益分析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无</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（4）项目实施的可持续影响分析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资金保障年限1年，能明显提升全乡困难群众的基本生活水平，增强群众的幸福指数，提升群众基础。</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3.满意度指标完成情况分析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通过该项目的实施，农户生活水平得到明显改善，赢得了各族农牧民认同，满意度达98%。</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（二）项目绩效目标未完成原因分析</w:t>
      </w:r>
    </w:p>
    <w:p>
      <w:pPr>
        <w:spacing w:line="560" w:lineRule="exact"/>
        <w:ind w:firstLine="579" w:firstLineChars="181"/>
        <w:rPr>
          <w:rFonts w:ascii="仿宋_GB2312" w:hAnsi="仿宋_GB2312" w:eastAsia="仿宋_GB2312" w:cs="仿宋_GB2312"/>
          <w:spacing w:val="-4"/>
          <w:sz w:val="32"/>
          <w:szCs w:val="32"/>
        </w:rPr>
      </w:pPr>
      <w:r>
        <w:rPr>
          <w:rFonts w:hint="eastAsia" w:ascii="仿宋_GB2312" w:hAnsi="仿宋_GB2312" w:eastAsia="仿宋_GB2312" w:cs="仿宋_GB2312"/>
          <w:bCs/>
          <w:sz w:val="32"/>
          <w:szCs w:val="32"/>
        </w:rPr>
        <w:t>2018年本项目绩效目标全部达成，不存在未完成原因分析。</w:t>
      </w:r>
    </w:p>
    <w:p>
      <w:pPr>
        <w:spacing w:line="560" w:lineRule="exact"/>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（一）后续工作计划</w:t>
      </w:r>
    </w:p>
    <w:p>
      <w:pPr>
        <w:spacing w:line="560" w:lineRule="exact"/>
        <w:ind w:firstLine="579" w:firstLineChars="18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2019年我们将一如既往将继续按照上级部门的统一部署和工作安排，认真做好惠民资金的拨付的工作。</w:t>
      </w:r>
    </w:p>
    <w:p>
      <w:pPr>
        <w:spacing w:line="560" w:lineRule="exact"/>
        <w:ind w:firstLine="579" w:firstLineChars="18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1、认真做好2019年惠民资金项目的申报。</w:t>
      </w:r>
    </w:p>
    <w:p>
      <w:pPr>
        <w:spacing w:line="560" w:lineRule="exact"/>
        <w:ind w:firstLine="579" w:firstLineChars="18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切实开展好惠民资金项目的实施。采取有力措施：一是及时发放民政补助资金；二是加快项目资金支付进度，确保当年的资金除全部支付完毕；三是做好项目档案收集与整理，当年的项目全部归档存档；四是做好项目绩效申报与自评，确保项目实施后达到取得的效果，是改善农村生产生活条件，解决农户急需解决的问题，给农牧民带来 “看得见、摸得着”的实惠。</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（二）主要经验及做法、存在问题和建议</w:t>
      </w:r>
    </w:p>
    <w:p>
      <w:pPr>
        <w:spacing w:line="560" w:lineRule="exact"/>
        <w:ind w:firstLine="579" w:firstLineChars="18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1、主要经验及做法</w:t>
      </w:r>
    </w:p>
    <w:p>
      <w:pPr>
        <w:spacing w:line="560" w:lineRule="exact"/>
        <w:ind w:firstLine="579" w:firstLineChars="18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通过对2018年棋盘乡14个村实施的民政资金项目绩效评价的结果看，该项工作取得了良好的社会效益，得到了广大农牧民农户的充分肯定和社会的广泛赞誉。</w:t>
      </w:r>
    </w:p>
    <w:p>
      <w:pPr>
        <w:spacing w:line="560" w:lineRule="exact"/>
        <w:ind w:firstLine="579" w:firstLineChars="18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2、存在的问题</w:t>
      </w:r>
    </w:p>
    <w:p>
      <w:pPr>
        <w:spacing w:line="560" w:lineRule="exact"/>
        <w:ind w:firstLine="579" w:firstLineChars="18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通过预算绩效管理，发现了工作中存在的不足，如本项目实施中，由于民政干事频繁调换以及不固定工作等原因导致资金发放不及时、资金长期滞留在账户上，影响了项目的支出进度等问题。</w:t>
      </w:r>
    </w:p>
    <w:p>
      <w:pPr>
        <w:spacing w:line="560" w:lineRule="exact"/>
        <w:ind w:firstLine="579" w:firstLineChars="18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3、建议</w:t>
      </w:r>
    </w:p>
    <w:p>
      <w:pPr>
        <w:spacing w:line="560" w:lineRule="exact"/>
        <w:ind w:firstLine="579" w:firstLineChars="18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年初做好资金计划，按照项目进度及时拨付资金。专门安排人员将民政资金补助经费整理及审核并制作花名册等工作有序合理开展。</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（三）其他</w:t>
      </w:r>
    </w:p>
    <w:p>
      <w:pPr>
        <w:adjustRightInd w:val="0"/>
        <w:snapToGrid w:val="0"/>
        <w:spacing w:line="560" w:lineRule="exact"/>
        <w:ind w:firstLine="640" w:firstLineChars="200"/>
        <w:rPr>
          <w:rFonts w:ascii="仿宋_GB2312" w:hAnsi="仿宋_GB2312" w:eastAsia="仿宋_GB2312" w:cs="仿宋_GB2312"/>
          <w:spacing w:val="-4"/>
          <w:sz w:val="32"/>
          <w:szCs w:val="32"/>
        </w:rPr>
      </w:pPr>
      <w:r>
        <w:rPr>
          <w:rFonts w:hint="eastAsia" w:ascii="仿宋_GB2312" w:hAnsi="仿宋_GB2312" w:eastAsia="仿宋_GB2312" w:cs="仿宋_GB2312"/>
          <w:bCs/>
          <w:sz w:val="32"/>
          <w:szCs w:val="32"/>
        </w:rPr>
        <w:t>无其他说明内容。</w:t>
      </w:r>
    </w:p>
    <w:p>
      <w:pPr>
        <w:spacing w:line="560" w:lineRule="exact"/>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查阅民政资金项目的报账手续等档案资料是否齐全，查看会计记账凭证项目资金是否使用正确和资金是否发放完毕，与受益农户进行座谈等方式了解项目实施的效果及带来的社会效益。</w:t>
      </w:r>
    </w:p>
    <w:p>
      <w:pPr>
        <w:spacing w:line="560" w:lineRule="exact"/>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《财政项目支出绩效自评表》</w:t>
      </w:r>
    </w:p>
    <w:p>
      <w:pPr>
        <w:adjustRightInd w:val="0"/>
        <w:snapToGrid w:val="0"/>
        <w:spacing w:line="560" w:lineRule="exact"/>
        <w:ind w:firstLine="640" w:firstLineChars="200"/>
        <w:rPr>
          <w:rFonts w:ascii="仿宋" w:hAnsi="仿宋" w:eastAsia="仿宋"/>
          <w:bCs/>
          <w:sz w:val="32"/>
          <w:szCs w:val="32"/>
        </w:rPr>
      </w:pPr>
    </w:p>
    <w:p>
      <w:pPr>
        <w:spacing w:line="540" w:lineRule="exact"/>
        <w:ind w:firstLine="567"/>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121AE4"/>
    <w:rsid w:val="00136BCC"/>
    <w:rsid w:val="00146AAD"/>
    <w:rsid w:val="001B23F1"/>
    <w:rsid w:val="001B3A40"/>
    <w:rsid w:val="001D49D9"/>
    <w:rsid w:val="00220617"/>
    <w:rsid w:val="00311626"/>
    <w:rsid w:val="00321CBD"/>
    <w:rsid w:val="00347D87"/>
    <w:rsid w:val="003C2CF9"/>
    <w:rsid w:val="004366A8"/>
    <w:rsid w:val="004630C2"/>
    <w:rsid w:val="004B6232"/>
    <w:rsid w:val="00502BA7"/>
    <w:rsid w:val="005162F1"/>
    <w:rsid w:val="00535153"/>
    <w:rsid w:val="00553DFA"/>
    <w:rsid w:val="00554F82"/>
    <w:rsid w:val="0056390D"/>
    <w:rsid w:val="005719B0"/>
    <w:rsid w:val="005D10D6"/>
    <w:rsid w:val="00625547"/>
    <w:rsid w:val="0063597F"/>
    <w:rsid w:val="00656E69"/>
    <w:rsid w:val="006A6986"/>
    <w:rsid w:val="007A593B"/>
    <w:rsid w:val="007D32F0"/>
    <w:rsid w:val="007E6716"/>
    <w:rsid w:val="00833255"/>
    <w:rsid w:val="00855E3A"/>
    <w:rsid w:val="008D198D"/>
    <w:rsid w:val="008E6B23"/>
    <w:rsid w:val="008F2612"/>
    <w:rsid w:val="00922CB9"/>
    <w:rsid w:val="0099379F"/>
    <w:rsid w:val="009E5CD9"/>
    <w:rsid w:val="00A26421"/>
    <w:rsid w:val="00A4293B"/>
    <w:rsid w:val="00A67D50"/>
    <w:rsid w:val="00A8691A"/>
    <w:rsid w:val="00AA78D4"/>
    <w:rsid w:val="00AC1946"/>
    <w:rsid w:val="00B40063"/>
    <w:rsid w:val="00B41F61"/>
    <w:rsid w:val="00B618BB"/>
    <w:rsid w:val="00BA2447"/>
    <w:rsid w:val="00BA46E6"/>
    <w:rsid w:val="00BB3277"/>
    <w:rsid w:val="00BF7355"/>
    <w:rsid w:val="00C56C72"/>
    <w:rsid w:val="00C87A8E"/>
    <w:rsid w:val="00C95952"/>
    <w:rsid w:val="00CA6457"/>
    <w:rsid w:val="00CB0722"/>
    <w:rsid w:val="00D17F2E"/>
    <w:rsid w:val="00D30354"/>
    <w:rsid w:val="00D35A5E"/>
    <w:rsid w:val="00DD1016"/>
    <w:rsid w:val="00DF42A0"/>
    <w:rsid w:val="00E32AE0"/>
    <w:rsid w:val="00E36BBE"/>
    <w:rsid w:val="00E45337"/>
    <w:rsid w:val="00E564B5"/>
    <w:rsid w:val="00E769FE"/>
    <w:rsid w:val="00EA2CBE"/>
    <w:rsid w:val="00F32FEE"/>
    <w:rsid w:val="00F61DC3"/>
    <w:rsid w:val="00F96014"/>
    <w:rsid w:val="00FB10BB"/>
    <w:rsid w:val="00FC3B55"/>
    <w:rsid w:val="00FE11B9"/>
    <w:rsid w:val="02360771"/>
    <w:rsid w:val="02E37DE9"/>
    <w:rsid w:val="04F90533"/>
    <w:rsid w:val="08DD6187"/>
    <w:rsid w:val="0D5D5A45"/>
    <w:rsid w:val="132F2373"/>
    <w:rsid w:val="17E421EC"/>
    <w:rsid w:val="1A8D1B88"/>
    <w:rsid w:val="1D6037D4"/>
    <w:rsid w:val="287410CF"/>
    <w:rsid w:val="2DFB6CD8"/>
    <w:rsid w:val="347362C2"/>
    <w:rsid w:val="383A0B21"/>
    <w:rsid w:val="459838EA"/>
    <w:rsid w:val="4FDC5629"/>
    <w:rsid w:val="587B752F"/>
    <w:rsid w:val="659C575A"/>
    <w:rsid w:val="681211F3"/>
    <w:rsid w:val="6DF07218"/>
    <w:rsid w:val="6E587AAD"/>
    <w:rsid w:val="70E85756"/>
    <w:rsid w:val="74913F59"/>
    <w:rsid w:val="7D9C004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customStyle="1" w:styleId="32">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引用1"/>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customStyle="1" w:styleId="36">
    <w:name w:val="明显引用1"/>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8</Pages>
  <Words>470</Words>
  <Characters>2684</Characters>
  <Lines>22</Lines>
  <Paragraphs>6</Paragraphs>
  <TotalTime>1</TotalTime>
  <ScaleCrop>false</ScaleCrop>
  <LinksUpToDate>false</LinksUpToDate>
  <CharactersWithSpaces>3148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2024-01-15T08:46:48Z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1507175C5D754C6396FF5852DBFF6C20</vt:lpwstr>
  </property>
</Properties>
</file>