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1920" w:firstLineChars="600"/>
        <w:rPr>
          <w:rFonts w:ascii="仿宋_GB2312" w:hAnsi="仿宋_GB2312" w:eastAsia="仿宋_GB2312" w:cs="仿宋_GB2312"/>
          <w:sz w:val="32"/>
        </w:rPr>
      </w:pPr>
      <w:r>
        <w:rPr>
          <w:rFonts w:hint="eastAsia" w:ascii="仿宋_GB2312" w:hAnsi="仿宋_GB2312" w:eastAsia="仿宋_GB2312" w:cs="仿宋_GB2312"/>
          <w:bCs/>
          <w:sz w:val="32"/>
          <w:szCs w:val="32"/>
        </w:rPr>
        <w:t>项目名称：</w:t>
      </w:r>
      <w:r>
        <w:rPr>
          <w:rFonts w:ascii="仿宋_GB2312" w:hAnsi="仿宋_GB2312" w:eastAsia="仿宋_GB2312" w:cs="仿宋_GB2312"/>
          <w:sz w:val="32"/>
        </w:rPr>
        <w:t>退耕还草补助项目</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实施单位（公章）：叶城县江格勒斯乡人民政府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主管部门（公章）：叶城县江格勒斯乡人民政府</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项目负责人（签章）：陈国疆</w:t>
      </w:r>
    </w:p>
    <w:p>
      <w:pPr>
        <w:spacing w:line="560" w:lineRule="exact"/>
        <w:ind w:firstLine="1920" w:firstLineChars="6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叶城县江格勒斯乡属党政机关行政部门，乡科级行政单位，辖15个行政村；全乡共有农牧民23816多人，农户5285户，主要以种植棉花、小麦、核桃为主，是叶城县人口及农业大乡。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主要职能：负责全乡党政行政管理事务。坚决贯彻执行上级各个部门有关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江格勒斯乡人民政府为乡科级党政机关。下设：党政办、社会事务办、扶贫办、党建办四个部门。行政编制49人，政法编制2人，工勤编制3人，共计54人。其中：政府行政编制41人，行政工勤3人，党委行政编制8人,政法机关编制2人。事业编制为44人，参照编制2人,全额事业编制共计35人， 自收自支编制7人。其中：劳保所6人，国土所2人，财政所0人，文化站3人，林业站2人，广播站1人，农机、畜牧、农经30人，水管站0人。截止2018年12月末，乡机关实有在职人数108人，行政在职54人，事业在职54人，退休人员0人、遗属供养人员6人。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退耕还草补助项目资金48.18万元，完成新一轮退耕还草1204.5亩，从保护和改善生态环境出发，将易造成水土流失的耕地有计划、有步骤地停止耕种，按照适地适草的原则，因地制宜地植树植草，恢复草原生态环境，改善我乡生态环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2、项目基本性质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江格勒斯乡退耕还草补助项目性质为延续性项目。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3、项目主要用途、范围以及主要内容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江格勒斯乡退耕还草补助项目资金48.18万元，用于保障退耕还草补助的发放，按照党中央、国务院的部署，扩大新一轮退耕还林还草规模，把生态承受能力弱、不适宜耕种的土地退下来，种上树和草，持续推进集中连片特困地区脱贫致富，实现经济社会生态可持续发展。按照年度预算，此项资金按时发放，很大程度上改善我乡生态环境。</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根据新财农〔2017〕139号、喀地财农（2018）3号文件要求，本项目资金48.18万元，其中财政资金48.18万元，其他资金0万元，资金到位48.18万元；资金到位率100%。共发放我单位2017年完成退耕还林面积1204.5亩，退耕还草补助标准400元/亩，共计48.18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根据新财农〔2017〕139号、喀地财农（2018）3号文件，到位资金</w:t>
      </w:r>
      <w:r>
        <w:rPr>
          <w:rFonts w:hint="eastAsia" w:ascii="仿宋_GB2312" w:hAnsi="仿宋_GB2312" w:eastAsia="仿宋_GB2312" w:cs="仿宋_GB2312"/>
          <w:bCs/>
          <w:sz w:val="32"/>
          <w:szCs w:val="32"/>
        </w:rPr>
        <w:t>48.18</w:t>
      </w:r>
      <w:r>
        <w:rPr>
          <w:rFonts w:hint="eastAsia" w:ascii="仿宋_GB2312" w:hAnsi="仿宋_GB2312" w:eastAsia="仿宋_GB2312" w:cs="仿宋_GB2312"/>
          <w:bCs/>
          <w:spacing w:val="-4"/>
          <w:sz w:val="32"/>
          <w:szCs w:val="32"/>
        </w:rPr>
        <w:t>万元，本项目实际支付资金</w:t>
      </w:r>
      <w:r>
        <w:rPr>
          <w:rFonts w:hint="eastAsia" w:ascii="仿宋_GB2312" w:hAnsi="仿宋_GB2312" w:eastAsia="仿宋_GB2312" w:cs="仿宋_GB2312"/>
          <w:bCs/>
          <w:sz w:val="32"/>
          <w:szCs w:val="32"/>
        </w:rPr>
        <w:t>48.18</w:t>
      </w:r>
      <w:r>
        <w:rPr>
          <w:rFonts w:hint="eastAsia" w:ascii="仿宋_GB2312" w:hAnsi="仿宋_GB2312" w:eastAsia="仿宋_GB2312" w:cs="仿宋_GB2312"/>
          <w:bCs/>
          <w:spacing w:val="-4"/>
          <w:sz w:val="32"/>
          <w:szCs w:val="32"/>
        </w:rPr>
        <w:t>万元，预算执行率100%。项目资金主要用于支付</w:t>
      </w:r>
      <w:r>
        <w:rPr>
          <w:rFonts w:hint="eastAsia" w:ascii="仿宋_GB2312" w:hAnsi="仿宋_GB2312" w:eastAsia="仿宋_GB2312" w:cs="仿宋_GB2312"/>
          <w:bCs/>
          <w:sz w:val="32"/>
          <w:szCs w:val="32"/>
        </w:rPr>
        <w:t>退耕还草补助项目资金48.18</w:t>
      </w:r>
      <w:r>
        <w:rPr>
          <w:rFonts w:hint="eastAsia" w:ascii="仿宋_GB2312" w:hAnsi="仿宋_GB2312" w:eastAsia="仿宋_GB2312" w:cs="仿宋_GB2312"/>
          <w:bCs/>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根据中央和自治区项目资金管理办法的要求，叶城县江格勒斯乡人民政府严格按照项目资金规定的专项资金支持的项目条件和范围要求，严格按照有关规定使用管理项目资金。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行政单位财务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w:t>
      </w:r>
      <w:r>
        <w:rPr>
          <w:rFonts w:hint="eastAsia" w:ascii="仿宋_GB2312" w:hAnsi="仿宋_GB2312" w:eastAsia="仿宋_GB2312" w:cs="仿宋_GB2312"/>
          <w:bCs/>
          <w:spacing w:val="-4"/>
          <w:sz w:val="32"/>
          <w:szCs w:val="32"/>
        </w:rPr>
        <w:t>退耕还草补助项目前期考察</w:t>
      </w:r>
      <w:r>
        <w:rPr>
          <w:rFonts w:hint="eastAsia" w:ascii="仿宋_GB2312" w:hAnsi="仿宋_GB2312" w:eastAsia="仿宋_GB2312" w:cs="仿宋_GB2312"/>
          <w:bCs/>
          <w:sz w:val="32"/>
          <w:szCs w:val="32"/>
        </w:rPr>
        <w:t>工作，制定《退耕还草补助项目前期考察工作方案》，组织乡财政所、农办、纪检委进行实地考察工作，为保质保量完成提供了强有力的技术支撑，有效地推进了项目工作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本项目不存在完成验收情况。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退耕还草补助项目资金执行制度》保障项目的顺利实施。项目的实施遵守相关法律法规和业务管理规定，项目资料齐全并及时装订、归档。已建立《退耕还草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本项目共设置一级指标3个，二级指标9个，三级指标9个，其中已完成三级指标9个，指标完成率为100%。根据年初设定的绩效目标，此项目自评得分为94分。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w:t>
      </w:r>
      <w:r>
        <w:rPr>
          <w:rFonts w:hint="eastAsia" w:ascii="仿宋_GB2312" w:hAnsi="仿宋_GB2312" w:eastAsia="仿宋_GB2312" w:cs="仿宋_GB2312"/>
          <w:kern w:val="0"/>
          <w:sz w:val="32"/>
          <w:szCs w:val="32"/>
        </w:rPr>
        <w:t>退耕还草补助项目共完成</w:t>
      </w:r>
      <w:r>
        <w:rPr>
          <w:rFonts w:hint="eastAsia" w:ascii="仿宋_GB2312" w:hAnsi="仿宋_GB2312" w:eastAsia="仿宋_GB2312" w:cs="仿宋_GB2312"/>
          <w:bCs/>
          <w:spacing w:val="-4"/>
          <w:sz w:val="32"/>
          <w:szCs w:val="32"/>
        </w:rPr>
        <w:t>退耕还林面积1204.5亩，已全部执行，完成年度设定的预期目标，完成率100%。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截止2018年年度自评工作，江格勒斯乡</w:t>
      </w:r>
      <w:r>
        <w:rPr>
          <w:rFonts w:hint="eastAsia" w:ascii="仿宋_GB2312" w:hAnsi="仿宋_GB2312" w:eastAsia="仿宋_GB2312" w:cs="仿宋_GB2312"/>
          <w:kern w:val="0"/>
          <w:sz w:val="32"/>
          <w:szCs w:val="32"/>
        </w:rPr>
        <w:t>退耕还草补助</w:t>
      </w:r>
      <w:r>
        <w:rPr>
          <w:rFonts w:hint="eastAsia" w:ascii="仿宋_GB2312" w:hAnsi="仿宋_GB2312" w:eastAsia="仿宋_GB2312" w:cs="仿宋_GB2312"/>
          <w:bCs/>
          <w:spacing w:val="-4"/>
          <w:sz w:val="32"/>
          <w:szCs w:val="32"/>
        </w:rPr>
        <w:t>项目验收合格率100%，已全部验收合格，我单位严格按照年度预期设定目标，为保证</w:t>
      </w:r>
      <w:r>
        <w:rPr>
          <w:rFonts w:hint="eastAsia" w:ascii="仿宋_GB2312" w:hAnsi="仿宋_GB2312" w:eastAsia="仿宋_GB2312" w:cs="仿宋_GB2312"/>
          <w:kern w:val="0"/>
          <w:sz w:val="32"/>
          <w:szCs w:val="32"/>
        </w:rPr>
        <w:t>退耕还草补助</w:t>
      </w:r>
      <w:r>
        <w:rPr>
          <w:rFonts w:hint="eastAsia" w:ascii="仿宋_GB2312" w:hAnsi="仿宋_GB2312" w:eastAsia="仿宋_GB2312" w:cs="仿宋_GB2312"/>
          <w:bCs/>
          <w:spacing w:val="-4"/>
          <w:sz w:val="32"/>
          <w:szCs w:val="32"/>
        </w:rPr>
        <w:t>项目验收合格率的提高，项目资金发放及时，项目完成质量良好，完成率100%。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截止2018年年度自评评价时，我单位严格按照前期制定的项目实施方案，为保证项目进度与资金支出进度相统一的原则，江格勒斯乡</w:t>
      </w:r>
      <w:r>
        <w:rPr>
          <w:rFonts w:hint="eastAsia" w:ascii="仿宋_GB2312" w:hAnsi="仿宋_GB2312" w:eastAsia="仿宋_GB2312" w:cs="仿宋_GB2312"/>
          <w:kern w:val="0"/>
          <w:sz w:val="32"/>
          <w:szCs w:val="32"/>
        </w:rPr>
        <w:t>退耕还草补助项目</w:t>
      </w:r>
      <w:r>
        <w:rPr>
          <w:rFonts w:hint="eastAsia" w:ascii="仿宋_GB2312" w:hAnsi="仿宋_GB2312" w:eastAsia="仿宋_GB2312" w:cs="仿宋_GB2312"/>
          <w:bCs/>
          <w:spacing w:val="-4"/>
          <w:sz w:val="32"/>
          <w:szCs w:val="32"/>
        </w:rPr>
        <w:t>补贴发放及时率100%，已全部及时发放，完成率100%。</w:t>
      </w:r>
    </w:p>
    <w:p>
      <w:pPr>
        <w:spacing w:line="560" w:lineRule="exact"/>
        <w:ind w:firstLine="624" w:firstLineChars="200"/>
        <w:rPr>
          <w:rFonts w:ascii="仿宋_GB2312" w:hAnsi="仿宋_GB2312" w:eastAsia="仿宋_GB2312" w:cs="仿宋_GB2312"/>
          <w:bCs/>
          <w:spacing w:val="-4"/>
          <w:sz w:val="32"/>
          <w:szCs w:val="32"/>
        </w:rPr>
      </w:pP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截止2018年，江格勒斯乡</w:t>
      </w:r>
      <w:r>
        <w:rPr>
          <w:rFonts w:hint="eastAsia" w:ascii="仿宋_GB2312" w:hAnsi="仿宋_GB2312" w:eastAsia="仿宋_GB2312" w:cs="仿宋_GB2312"/>
          <w:kern w:val="0"/>
          <w:sz w:val="32"/>
          <w:szCs w:val="32"/>
        </w:rPr>
        <w:t>退耕还草补助项目</w:t>
      </w:r>
      <w:r>
        <w:rPr>
          <w:rFonts w:hint="eastAsia" w:ascii="仿宋_GB2312" w:hAnsi="仿宋_GB2312" w:eastAsia="仿宋_GB2312" w:cs="仿宋_GB2312"/>
          <w:bCs/>
          <w:spacing w:val="-4"/>
          <w:sz w:val="32"/>
          <w:szCs w:val="32"/>
        </w:rPr>
        <w:t>退耕还草补助标准</w:t>
      </w:r>
      <w:r>
        <w:rPr>
          <w:rFonts w:hint="eastAsia" w:ascii="仿宋_GB2312" w:hAnsi="仿宋_GB2312" w:eastAsia="仿宋_GB2312" w:cs="仿宋_GB2312"/>
          <w:bCs/>
          <w:sz w:val="32"/>
          <w:szCs w:val="32"/>
        </w:rPr>
        <w:t>400元/亩</w:t>
      </w:r>
      <w:r>
        <w:rPr>
          <w:rFonts w:hint="eastAsia" w:ascii="仿宋_GB2312" w:hAnsi="仿宋_GB2312" w:eastAsia="仿宋_GB2312" w:cs="仿宋_GB2312"/>
          <w:bCs/>
          <w:spacing w:val="-4"/>
          <w:sz w:val="32"/>
          <w:szCs w:val="32"/>
        </w:rPr>
        <w:t>，已全部按预算成本发放，无成本节约情况。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退耕还草补助项目资金</w:t>
      </w:r>
      <w:r>
        <w:rPr>
          <w:rFonts w:hint="eastAsia" w:ascii="仿宋_GB2312" w:hAnsi="仿宋_GB2312" w:eastAsia="仿宋_GB2312" w:cs="仿宋_GB2312"/>
          <w:bCs/>
          <w:spacing w:val="-4"/>
          <w:sz w:val="32"/>
          <w:szCs w:val="32"/>
        </w:rPr>
        <w:t>的实施，增加农户收入400元，提高了群众生态保护意识。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通过本年度爱国人士补助项目资金的实施，持续提高了群众生态保护意识。加强了群众的幸福感，也是对国家政策对待群众的服务水平产生较大提升。</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退耕还草补助项目资金</w:t>
      </w:r>
      <w:r>
        <w:rPr>
          <w:rFonts w:hint="eastAsia" w:ascii="仿宋_GB2312" w:hAnsi="仿宋_GB2312" w:eastAsia="仿宋_GB2312" w:cs="仿宋_GB2312"/>
          <w:bCs/>
          <w:spacing w:val="-4"/>
          <w:sz w:val="32"/>
          <w:szCs w:val="32"/>
        </w:rPr>
        <w:t>的实施，增加造林面积1204.5亩，</w:t>
      </w:r>
      <w:r>
        <w:rPr>
          <w:rFonts w:hint="eastAsia" w:ascii="仿宋_GB2312" w:hAnsi="仿宋_GB2312" w:eastAsia="仿宋_GB2312" w:cs="仿宋_GB2312"/>
          <w:bCs/>
          <w:sz w:val="32"/>
          <w:szCs w:val="32"/>
        </w:rPr>
        <w:t>持续推进了集中连片特困地区脱贫致富，实现了经济社会生态可持续发展。</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9"/>
          <w:rFonts w:hint="eastAsia" w:ascii="仿宋_GB2312" w:hAnsi="仿宋_GB2312" w:eastAsia="仿宋_GB2312" w:cs="仿宋_GB2312"/>
          <w:b w:val="0"/>
          <w:spacing w:val="-4"/>
          <w:sz w:val="32"/>
          <w:szCs w:val="32"/>
        </w:rPr>
        <w:t>退耕还草补助项目资金</w:t>
      </w:r>
      <w:r>
        <w:rPr>
          <w:rFonts w:hint="eastAsia" w:ascii="仿宋_GB2312" w:hAnsi="仿宋_GB2312" w:eastAsia="仿宋_GB2312" w:cs="仿宋_GB2312"/>
          <w:bCs/>
          <w:spacing w:val="-4"/>
          <w:sz w:val="32"/>
          <w:szCs w:val="32"/>
        </w:rPr>
        <w:t>的实施，可持续影响时间为1年。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按计划完成项目实施，已做满意度调查问卷，群众满意率达95%，服务对象满意度指标完成。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叶城县江格勒斯乡人民政府退耕还草补助项目在完成本年度预算执行的基础上，将继续严格2019年本门预算编制工作，在下一年度工作中，严格按照年初预算执行项目资金支出。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退耕还草补助项目资金的使用效率和效果，项目管理过程是否规范，是否完成了预期绩效目标等。同时，通过开展自我评价来总结经验和教训，为叶城县江格勒斯乡人民政府退耕还草补助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84593"/>
    <w:rsid w:val="00121AE4"/>
    <w:rsid w:val="00123229"/>
    <w:rsid w:val="00136BCC"/>
    <w:rsid w:val="00146AAD"/>
    <w:rsid w:val="001B23F1"/>
    <w:rsid w:val="001B3A40"/>
    <w:rsid w:val="00220617"/>
    <w:rsid w:val="00311626"/>
    <w:rsid w:val="00321CBD"/>
    <w:rsid w:val="00347D87"/>
    <w:rsid w:val="003C2CF9"/>
    <w:rsid w:val="00434FB7"/>
    <w:rsid w:val="004366A8"/>
    <w:rsid w:val="00502BA7"/>
    <w:rsid w:val="005162F1"/>
    <w:rsid w:val="00535153"/>
    <w:rsid w:val="00554F82"/>
    <w:rsid w:val="00561CBA"/>
    <w:rsid w:val="0056390D"/>
    <w:rsid w:val="005719B0"/>
    <w:rsid w:val="005D10D6"/>
    <w:rsid w:val="00627933"/>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77485"/>
    <w:rsid w:val="00BA2447"/>
    <w:rsid w:val="00BA46E6"/>
    <w:rsid w:val="00BF7355"/>
    <w:rsid w:val="00C0676F"/>
    <w:rsid w:val="00C3230A"/>
    <w:rsid w:val="00C56C72"/>
    <w:rsid w:val="00C87A8E"/>
    <w:rsid w:val="00C95952"/>
    <w:rsid w:val="00CA6457"/>
    <w:rsid w:val="00CB0722"/>
    <w:rsid w:val="00D17F2E"/>
    <w:rsid w:val="00D30354"/>
    <w:rsid w:val="00D35A5E"/>
    <w:rsid w:val="00DD1016"/>
    <w:rsid w:val="00DF42A0"/>
    <w:rsid w:val="00E32AE0"/>
    <w:rsid w:val="00E564B5"/>
    <w:rsid w:val="00E769FE"/>
    <w:rsid w:val="00EA2CBE"/>
    <w:rsid w:val="00ED3425"/>
    <w:rsid w:val="00F32FEE"/>
    <w:rsid w:val="00FB10BB"/>
    <w:rsid w:val="00FC3B55"/>
    <w:rsid w:val="00FE11B9"/>
    <w:rsid w:val="02E37DE9"/>
    <w:rsid w:val="0D5D5A45"/>
    <w:rsid w:val="10AD2391"/>
    <w:rsid w:val="145832BA"/>
    <w:rsid w:val="169173EF"/>
    <w:rsid w:val="176D5093"/>
    <w:rsid w:val="17E421EC"/>
    <w:rsid w:val="18CF7BC9"/>
    <w:rsid w:val="1D0B0C8F"/>
    <w:rsid w:val="1E246A29"/>
    <w:rsid w:val="1F867781"/>
    <w:rsid w:val="20BC5BC8"/>
    <w:rsid w:val="33BE4168"/>
    <w:rsid w:val="347362C2"/>
    <w:rsid w:val="36A0252A"/>
    <w:rsid w:val="38EA773D"/>
    <w:rsid w:val="3B312441"/>
    <w:rsid w:val="3E4316D7"/>
    <w:rsid w:val="3E8D08DB"/>
    <w:rsid w:val="42434890"/>
    <w:rsid w:val="42577AE9"/>
    <w:rsid w:val="470257FC"/>
    <w:rsid w:val="49812AEA"/>
    <w:rsid w:val="49AD46D0"/>
    <w:rsid w:val="4A671D35"/>
    <w:rsid w:val="50F6658F"/>
    <w:rsid w:val="55234D6B"/>
    <w:rsid w:val="555868AD"/>
    <w:rsid w:val="58F8551C"/>
    <w:rsid w:val="59520100"/>
    <w:rsid w:val="596F2F46"/>
    <w:rsid w:val="5C717A0E"/>
    <w:rsid w:val="61223464"/>
    <w:rsid w:val="66422A1A"/>
    <w:rsid w:val="6BCC1AF1"/>
    <w:rsid w:val="75CA7FAC"/>
    <w:rsid w:val="775F6F0E"/>
    <w:rsid w:val="7D3045F9"/>
    <w:rsid w:val="7D49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497</Words>
  <Characters>2838</Characters>
  <Lines>23</Lines>
  <Paragraphs>6</Paragraphs>
  <TotalTime>0</TotalTime>
  <ScaleCrop>false</ScaleCrop>
  <LinksUpToDate>false</LinksUpToDate>
  <CharactersWithSpaces>3329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2024-01-15T08:26:34Z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