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rPr>
          <w:rFonts w:ascii="黑体" w:hAnsi="黑体" w:eastAsia="黑体"/>
          <w:sz w:val="32"/>
          <w:szCs w:val="32"/>
        </w:rPr>
      </w:pPr>
      <w:bookmarkStart w:id="90" w:name="_GoBack"/>
      <w:bookmarkEnd w:id="90"/>
      <w:r>
        <w:rPr>
          <w:rFonts w:hint="eastAsia" w:ascii="黑体" w:hAnsi="黑体" w:eastAsia="黑体"/>
          <w:sz w:val="32"/>
          <w:szCs w:val="32"/>
        </w:rPr>
        <w:t xml:space="preserve">附件1： </w:t>
      </w:r>
    </w:p>
    <w:p>
      <w:pPr>
        <w:spacing w:line="560" w:lineRule="exact"/>
        <w:ind w:firstLine="880" w:firstLineChars="200"/>
        <w:rPr>
          <w:rFonts w:ascii="方正小标宋_GBK" w:hAnsi="宋体" w:eastAsia="方正小标宋_GBK"/>
          <w:sz w:val="44"/>
          <w:szCs w:val="44"/>
        </w:rPr>
      </w:pPr>
    </w:p>
    <w:p>
      <w:pPr>
        <w:spacing w:line="560" w:lineRule="exact"/>
        <w:ind w:firstLine="880" w:firstLineChars="200"/>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2018年度新疆喀什地区叶城县洛克乡人民政府部门决算公开说明</w:t>
      </w:r>
    </w:p>
    <w:p>
      <w:pPr>
        <w:spacing w:line="560" w:lineRule="exact"/>
        <w:ind w:firstLine="640" w:firstLineChars="200"/>
        <w:rPr>
          <w:rFonts w:ascii="仿宋_GB2312" w:hAnsi="宋体" w:eastAsia="仿宋_GB2312"/>
          <w:sz w:val="32"/>
          <w:szCs w:val="32"/>
        </w:rPr>
      </w:pPr>
    </w:p>
    <w:p>
      <w:pPr>
        <w:spacing w:line="560" w:lineRule="exact"/>
        <w:ind w:firstLine="640" w:firstLineChars="200"/>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60" w:lineRule="exact"/>
        <w:ind w:firstLine="643" w:firstLineChars="200"/>
        <w:rPr>
          <w:rFonts w:ascii="仿宋_GB2312" w:hAnsi="宋体" w:eastAsia="仿宋_GB2312"/>
          <w:b/>
          <w:kern w:val="0"/>
          <w:sz w:val="32"/>
          <w:szCs w:val="32"/>
        </w:rPr>
      </w:pPr>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val="en-US" w:eastAsia="zh-CN"/>
        </w:rPr>
        <w:t>政府</w:t>
      </w:r>
      <w:r>
        <w:rPr>
          <w:rFonts w:hint="eastAsia" w:ascii="仿宋_GB2312" w:eastAsia="仿宋_GB2312"/>
          <w:sz w:val="32"/>
          <w:szCs w:val="32"/>
        </w:rPr>
        <w:t>采购情况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6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6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6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60" w:lineRule="exact"/>
        <w:ind w:firstLine="640" w:firstLineChars="200"/>
        <w:rPr>
          <w:rFonts w:ascii="黑体" w:hAnsi="黑体" w:eastAsia="黑体"/>
          <w:sz w:val="32"/>
          <w:szCs w:val="32"/>
        </w:rPr>
      </w:pPr>
    </w:p>
    <w:p>
      <w:pPr>
        <w:spacing w:line="560" w:lineRule="exact"/>
        <w:ind w:firstLine="640" w:firstLineChars="200"/>
        <w:jc w:val="center"/>
        <w:rPr>
          <w:rFonts w:ascii="黑体" w:hAnsi="黑体" w:eastAsia="黑体"/>
          <w:sz w:val="32"/>
          <w:szCs w:val="32"/>
        </w:rPr>
      </w:pPr>
      <w:r>
        <w:rPr>
          <w:rFonts w:hint="eastAsia" w:ascii="黑体" w:hAnsi="黑体" w:eastAsia="黑体"/>
          <w:sz w:val="32"/>
          <w:szCs w:val="32"/>
        </w:rPr>
        <w:t>第一部分 部门单位概况</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60" w:lineRule="exact"/>
        <w:ind w:firstLine="640" w:firstLineChars="200"/>
        <w:rPr>
          <w:rFonts w:ascii="黑体" w:hAnsi="黑体" w:eastAsia="黑体" w:cs="宋体"/>
          <w:bCs/>
          <w:kern w:val="0"/>
          <w:sz w:val="32"/>
          <w:szCs w:val="32"/>
        </w:rPr>
      </w:pPr>
      <w:r>
        <w:rPr>
          <w:rFonts w:hint="eastAsia" w:ascii="仿宋_GB2312" w:eastAsia="仿宋_GB2312"/>
          <w:sz w:val="32"/>
          <w:szCs w:val="32"/>
        </w:rPr>
        <w:t xml:space="preserve">叶城县洛克乡属党政机关行政部门，乡科级行政单位，辖13个行政村；负责全乡党政行政管理事务。以全面建设社会主义新农村为根本出发点，不断深化美丽乡、村建设，不断铸牢全乡经济社会发展基础，为全乡群众提供社会服务。全乡共有农牧民25410多人，农户4625户，全乡维吾尔族占98%，主要以种植核桃、小麦、玉米、棉花为主，是叶城县农业大乡。 </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6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新疆喀什地区叶城县洛克乡人民政府</w:t>
      </w:r>
      <w:r>
        <w:rPr>
          <w:rFonts w:hint="eastAsia" w:ascii="仿宋_GB2312" w:eastAsia="仿宋_GB2312"/>
          <w:sz w:val="32"/>
          <w:szCs w:val="32"/>
        </w:rPr>
        <w:t>部门决算包括：</w:t>
      </w:r>
      <w:r>
        <w:rPr>
          <w:rFonts w:ascii="仿宋_GB2312" w:eastAsia="仿宋_GB2312"/>
          <w:sz w:val="32"/>
          <w:szCs w:val="32"/>
        </w:rPr>
        <w:t>新疆喀什地区叶城县洛克乡人民政府</w:t>
      </w:r>
      <w:r>
        <w:rPr>
          <w:rFonts w:hint="eastAsia" w:ascii="仿宋_GB2312" w:eastAsia="仿宋_GB2312"/>
          <w:sz w:val="32"/>
          <w:szCs w:val="32"/>
        </w:rPr>
        <w:t>部门本级决算、所属单位决算等。</w:t>
      </w:r>
    </w:p>
    <w:p>
      <w:pPr>
        <w:spacing w:line="56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新疆喀什地区叶城县洛克乡人民政府</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60" w:lineRule="exact"/>
        <w:ind w:firstLine="616" w:firstLineChars="200"/>
        <w:rPr>
          <w:rFonts w:ascii="仿宋_GB2312" w:eastAsia="仿宋_GB2312"/>
          <w:spacing w:val="-6"/>
          <w:sz w:val="32"/>
          <w:szCs w:val="32"/>
        </w:rPr>
      </w:pPr>
    </w:p>
    <w:p>
      <w:pPr>
        <w:spacing w:line="56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60" w:lineRule="exact"/>
              <w:ind w:firstLine="640" w:firstLineChars="2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60" w:lineRule="exact"/>
              <w:ind w:firstLine="640" w:firstLineChars="200"/>
              <w:jc w:val="left"/>
            </w:pPr>
            <w:r>
              <w:rPr>
                <w:rFonts w:eastAsia="Times New Roman"/>
                <w:color w:val="000000"/>
                <w:position w:val="-1"/>
                <w:sz w:val="32"/>
              </w:rPr>
              <w:t>1</w:t>
            </w:r>
          </w:p>
        </w:tc>
        <w:tc>
          <w:tcPr>
            <w:tcW w:w="3870" w:type="dxa"/>
          </w:tcPr>
          <w:p>
            <w:pPr>
              <w:spacing w:line="560" w:lineRule="exact"/>
              <w:ind w:firstLine="320" w:firstLineChars="100"/>
              <w:jc w:val="center"/>
              <w:rPr>
                <w:rFonts w:ascii="仿宋_GB2312" w:eastAsia="仿宋_GB2312"/>
              </w:rPr>
            </w:pPr>
            <w:r>
              <w:rPr>
                <w:rFonts w:hint="eastAsia" w:ascii="仿宋_GB2312" w:eastAsia="仿宋_GB2312"/>
                <w:color w:val="000000"/>
                <w:position w:val="-1"/>
                <w:sz w:val="32"/>
              </w:rPr>
              <w:t>新疆喀什地区叶城县洛克乡人民政府</w:t>
            </w:r>
          </w:p>
        </w:tc>
        <w:tc>
          <w:tcPr>
            <w:tcW w:w="2538" w:type="dxa"/>
            <w:vAlign w:val="center"/>
          </w:tcPr>
          <w:p>
            <w:pPr>
              <w:spacing w:line="560" w:lineRule="exact"/>
              <w:ind w:firstLine="420" w:firstLineChars="200"/>
              <w:jc w:val="left"/>
            </w:pPr>
          </w:p>
        </w:tc>
      </w:tr>
    </w:tbl>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jc w:val="center"/>
        <w:rPr>
          <w:rFonts w:ascii="黑体" w:hAnsi="黑体" w:eastAsia="黑体"/>
          <w:sz w:val="32"/>
          <w:szCs w:val="32"/>
        </w:rPr>
      </w:pPr>
      <w:r>
        <w:rPr>
          <w:rFonts w:hint="eastAsia" w:ascii="黑体" w:hAnsi="黑体" w:eastAsia="黑体"/>
          <w:sz w:val="32"/>
          <w:szCs w:val="32"/>
        </w:rPr>
        <w:t>第二部分 部门决算情况说明</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6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52"/>
      <w:r>
        <w:rPr>
          <w:rFonts w:hint="eastAsia" w:ascii="仿宋_GB2312" w:eastAsia="仿宋_GB2312"/>
          <w:color w:val="000000" w:themeColor="text1"/>
          <w:sz w:val="32"/>
          <w:szCs w:val="32"/>
        </w:rPr>
        <w:t>2018年度收入8,931.42万元，与上年相比，增加5,827.08万元，增长187.71%，增加的主要原因是项目增加，新增庭院经济、安居房、农贸市场、草原生态补贴、退耕还林等项目；</w:t>
      </w:r>
      <w:bookmarkEnd w:id="4"/>
      <w:bookmarkStart w:id="5" w:name="OLE_LINK53"/>
      <w:r>
        <w:rPr>
          <w:rFonts w:hint="eastAsia" w:ascii="仿宋_GB2312" w:eastAsia="仿宋_GB2312"/>
          <w:color w:val="000000" w:themeColor="text1"/>
          <w:sz w:val="32"/>
          <w:szCs w:val="32"/>
        </w:rPr>
        <w:t>支出</w:t>
      </w:r>
      <w:r>
        <w:rPr>
          <w:rFonts w:hint="eastAsia" w:ascii="仿宋_GB2312" w:eastAsia="仿宋_GB2312"/>
          <w:sz w:val="32"/>
          <w:szCs w:val="32"/>
        </w:rPr>
        <w:t>8,931.42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，与上年相比，增加5,827.08万元，增长187.71%，增加的主要原因是：</w:t>
      </w:r>
      <w:r>
        <w:rPr>
          <w:rFonts w:hint="eastAsia" w:ascii="仿宋_GB2312" w:eastAsia="仿宋_GB2312"/>
          <w:color w:val="000000" w:themeColor="text1"/>
          <w:sz w:val="32"/>
          <w:szCs w:val="32"/>
        </w:rPr>
        <w:t>支出8,931.42万元，与上年相比，增加5,827.08万元，增长187.71%，增加的主要原因是项目支出增加，新增项目支出有庭院经济、安居房、农贸市场、草原生态补贴、退耕还林等项目；</w:t>
      </w:r>
      <w:bookmarkEnd w:id="5"/>
      <w:bookmarkStart w:id="6"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w:t>
      </w:r>
      <w:bookmarkEnd w:id="6"/>
      <w:r>
        <w:rPr>
          <w:rFonts w:hint="eastAsia" w:ascii="仿宋_GB2312" w:eastAsia="仿宋_GB2312"/>
          <w:sz w:val="32"/>
          <w:szCs w:val="32"/>
        </w:rPr>
        <w:t>与上年相比，增加0万元，增长0%。增加的主要原因是：本单位无结余。</w:t>
      </w:r>
    </w:p>
    <w:p>
      <w:pPr>
        <w:spacing w:line="56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8,931.42</w:t>
      </w:r>
      <w:r>
        <w:rPr>
          <w:rFonts w:hint="eastAsia" w:ascii="仿宋_GB2312" w:eastAsia="仿宋_GB2312"/>
          <w:color w:val="000000" w:themeColor="text1"/>
          <w:sz w:val="32"/>
          <w:szCs w:val="32"/>
        </w:rPr>
        <w:t>万元，其中：</w:t>
      </w:r>
      <w:bookmarkStart w:id="7" w:name="OLE_LINK1"/>
      <w:r>
        <w:rPr>
          <w:rFonts w:hint="eastAsia" w:ascii="仿宋_GB2312" w:eastAsia="仿宋_GB2312"/>
          <w:color w:val="000000" w:themeColor="text1"/>
          <w:sz w:val="32"/>
          <w:szCs w:val="32"/>
        </w:rPr>
        <w:t>财政拨款收入</w:t>
      </w:r>
      <w:bookmarkEnd w:id="7"/>
      <w:r>
        <w:rPr>
          <w:rFonts w:hint="eastAsia" w:ascii="仿宋_GB2312" w:eastAsia="仿宋_GB2312"/>
          <w:sz w:val="32"/>
          <w:szCs w:val="32"/>
        </w:rPr>
        <w:t>8,583.23</w:t>
      </w:r>
      <w:r>
        <w:rPr>
          <w:rFonts w:hint="eastAsia" w:ascii="仿宋_GB2312" w:eastAsia="仿宋_GB2312"/>
          <w:color w:val="000000" w:themeColor="text1"/>
          <w:sz w:val="32"/>
          <w:szCs w:val="32"/>
        </w:rPr>
        <w:t>万元，占</w:t>
      </w:r>
      <w:r>
        <w:rPr>
          <w:rFonts w:hint="eastAsia" w:ascii="仿宋_GB2312" w:eastAsia="仿宋_GB2312"/>
          <w:sz w:val="32"/>
          <w:szCs w:val="32"/>
        </w:rPr>
        <w:t>96.1%</w:t>
      </w:r>
      <w:r>
        <w:rPr>
          <w:rFonts w:hint="eastAsia" w:ascii="仿宋_GB2312" w:eastAsia="仿宋_GB2312"/>
          <w:color w:val="000000" w:themeColor="text1"/>
          <w:sz w:val="32"/>
          <w:szCs w:val="32"/>
        </w:rPr>
        <w:t>；</w:t>
      </w:r>
      <w:bookmarkStart w:id="8" w:name="OLE_LINK2"/>
      <w:r>
        <w:rPr>
          <w:rFonts w:hint="eastAsia" w:ascii="仿宋_GB2312" w:eastAsia="仿宋_GB2312"/>
          <w:color w:val="000000" w:themeColor="text1"/>
          <w:sz w:val="32"/>
          <w:szCs w:val="32"/>
        </w:rPr>
        <w:t>上级补助收入</w:t>
      </w:r>
      <w:bookmarkEnd w:id="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9" w:name="OLE_LINK3"/>
      <w:r>
        <w:rPr>
          <w:rFonts w:hint="eastAsia" w:ascii="仿宋_GB2312" w:eastAsia="仿宋_GB2312"/>
          <w:color w:val="000000" w:themeColor="text1"/>
          <w:sz w:val="32"/>
          <w:szCs w:val="32"/>
        </w:rPr>
        <w:t>事业收入</w:t>
      </w:r>
      <w:bookmarkEnd w:id="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0" w:name="OLE_LINK4"/>
      <w:r>
        <w:rPr>
          <w:rFonts w:hint="eastAsia" w:ascii="仿宋_GB2312" w:eastAsia="仿宋_GB2312"/>
          <w:color w:val="000000" w:themeColor="text1"/>
          <w:sz w:val="32"/>
          <w:szCs w:val="32"/>
        </w:rPr>
        <w:t>经营收入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5"/>
      <w:r>
        <w:rPr>
          <w:rFonts w:hint="eastAsia" w:ascii="仿宋_GB2312" w:eastAsia="仿宋_GB2312"/>
          <w:color w:val="000000" w:themeColor="text1"/>
          <w:sz w:val="32"/>
          <w:szCs w:val="32"/>
        </w:rPr>
        <w:t>附属单位缴款</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6"/>
      <w:r>
        <w:rPr>
          <w:rFonts w:hint="eastAsia" w:ascii="仿宋_GB2312" w:eastAsia="仿宋_GB2312"/>
          <w:color w:val="000000" w:themeColor="text1"/>
          <w:sz w:val="32"/>
          <w:szCs w:val="32"/>
        </w:rPr>
        <w:t>其他收入</w:t>
      </w:r>
      <w:bookmarkEnd w:id="12"/>
      <w:r>
        <w:rPr>
          <w:rFonts w:hint="eastAsia" w:ascii="仿宋_GB2312" w:eastAsia="仿宋_GB2312"/>
          <w:sz w:val="32"/>
          <w:szCs w:val="32"/>
        </w:rPr>
        <w:t>348.19</w:t>
      </w:r>
      <w:r>
        <w:rPr>
          <w:rFonts w:hint="eastAsia" w:ascii="仿宋_GB2312" w:eastAsia="仿宋_GB2312"/>
          <w:color w:val="000000" w:themeColor="text1"/>
          <w:sz w:val="32"/>
          <w:szCs w:val="32"/>
        </w:rPr>
        <w:t>万元，占</w:t>
      </w:r>
      <w:r>
        <w:rPr>
          <w:rFonts w:hint="eastAsia" w:ascii="仿宋_GB2312" w:eastAsia="仿宋_GB2312"/>
          <w:sz w:val="32"/>
          <w:szCs w:val="32"/>
        </w:rPr>
        <w:t>3.9%</w:t>
      </w:r>
      <w:r>
        <w:rPr>
          <w:rFonts w:hint="eastAsia" w:ascii="仿宋_GB2312" w:eastAsia="仿宋_GB2312"/>
          <w:color w:val="000000" w:themeColor="text1"/>
          <w:sz w:val="32"/>
          <w:szCs w:val="32"/>
        </w:rPr>
        <w:t>。</w:t>
      </w:r>
    </w:p>
    <w:p>
      <w:pPr>
        <w:spacing w:line="560" w:lineRule="exact"/>
        <w:ind w:firstLine="640" w:firstLineChars="200"/>
        <w:rPr>
          <w:rFonts w:ascii="仿宋_GB2312" w:eastAsia="仿宋_GB2312"/>
          <w:sz w:val="32"/>
          <w:szCs w:val="32"/>
        </w:rPr>
      </w:pPr>
      <w:bookmarkStart w:id="13"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况：本年收入年初预算数1,199.88万元</w:t>
      </w:r>
      <w:r>
        <w:rPr>
          <w:rFonts w:hint="eastAsia" w:ascii="仿宋_GB2312" w:eastAsia="仿宋_GB2312"/>
          <w:sz w:val="32"/>
          <w:szCs w:val="32"/>
        </w:rPr>
        <w:t>，决算数8,931.42万元</w:t>
      </w:r>
      <w:r>
        <w:rPr>
          <w:rFonts w:ascii="仿宋_GB2312" w:eastAsia="仿宋_GB2312"/>
          <w:sz w:val="32"/>
          <w:szCs w:val="32"/>
        </w:rPr>
        <w:t>，预决算差异率644.36%，差异主要原因是本年收入年初预算数1,199.88万元，决算数8,931.42万元，预决算差异率644.36%，差异主要原因是：一是人员增加、人员工资调整；二是项目资金增加，上级专项在年初预算是无法预知，资金到达后调整追加了预算，如庭院经济建设、农村基础设施建设、安居房、社会补助等上级专项。</w:t>
      </w:r>
      <w:bookmarkEnd w:id="13"/>
    </w:p>
    <w:p>
      <w:pPr>
        <w:spacing w:line="56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60" w:lineRule="exact"/>
        <w:ind w:firstLine="640" w:firstLineChars="200"/>
        <w:rPr>
          <w:rFonts w:ascii="仿宋_GB2312" w:eastAsia="仿宋_GB2312"/>
          <w:color w:val="000000" w:themeColor="text1"/>
          <w:spacing w:val="-6"/>
          <w:sz w:val="32"/>
          <w:szCs w:val="32"/>
        </w:rPr>
      </w:pPr>
      <w:bookmarkStart w:id="14" w:name="OLE_LINK7"/>
      <w:r>
        <w:rPr>
          <w:rFonts w:hint="eastAsia" w:ascii="仿宋_GB2312" w:eastAsia="仿宋_GB2312"/>
          <w:color w:val="000000" w:themeColor="text1"/>
          <w:sz w:val="32"/>
          <w:szCs w:val="32"/>
        </w:rPr>
        <w:t>本年支出合计</w:t>
      </w:r>
      <w:bookmarkEnd w:id="14"/>
      <w:r>
        <w:rPr>
          <w:rFonts w:hint="eastAsia" w:ascii="仿宋_GB2312" w:eastAsia="仿宋_GB2312"/>
          <w:sz w:val="32"/>
          <w:szCs w:val="32"/>
        </w:rPr>
        <w:t>8,931.42</w:t>
      </w:r>
      <w:r>
        <w:rPr>
          <w:rFonts w:hint="eastAsia" w:ascii="仿宋_GB2312" w:eastAsia="仿宋_GB2312"/>
          <w:color w:val="000000" w:themeColor="text1"/>
          <w:sz w:val="32"/>
          <w:szCs w:val="32"/>
        </w:rPr>
        <w:t>万元，其中：</w:t>
      </w:r>
      <w:bookmarkStart w:id="15" w:name="OLE_LINK8"/>
      <w:r>
        <w:rPr>
          <w:rFonts w:hint="eastAsia" w:ascii="仿宋_GB2312" w:eastAsia="仿宋_GB2312"/>
          <w:color w:val="000000" w:themeColor="text1"/>
          <w:sz w:val="32"/>
          <w:szCs w:val="32"/>
        </w:rPr>
        <w:t>基本支出</w:t>
      </w:r>
      <w:bookmarkEnd w:id="15"/>
      <w:r>
        <w:rPr>
          <w:rFonts w:hint="eastAsia" w:ascii="仿宋_GB2312" w:eastAsia="仿宋_GB2312"/>
          <w:sz w:val="32"/>
          <w:szCs w:val="32"/>
        </w:rPr>
        <w:t>1,174.25</w:t>
      </w:r>
      <w:r>
        <w:rPr>
          <w:rFonts w:hint="eastAsia" w:ascii="仿宋_GB2312" w:eastAsia="仿宋_GB2312"/>
          <w:color w:val="000000" w:themeColor="text1"/>
          <w:sz w:val="32"/>
          <w:szCs w:val="32"/>
        </w:rPr>
        <w:t>万元，占</w:t>
      </w:r>
      <w:r>
        <w:rPr>
          <w:rFonts w:hint="eastAsia" w:ascii="仿宋_GB2312" w:eastAsia="仿宋_GB2312"/>
          <w:sz w:val="32"/>
          <w:szCs w:val="32"/>
        </w:rPr>
        <w:t>13.15%</w:t>
      </w:r>
      <w:r>
        <w:rPr>
          <w:rFonts w:hint="eastAsia" w:ascii="仿宋_GB2312" w:eastAsia="仿宋_GB2312"/>
          <w:color w:val="000000" w:themeColor="text1"/>
          <w:sz w:val="32"/>
          <w:szCs w:val="32"/>
        </w:rPr>
        <w:t>；</w:t>
      </w:r>
      <w:bookmarkStart w:id="16" w:name="OLE_LINK9"/>
      <w:r>
        <w:rPr>
          <w:rFonts w:hint="eastAsia" w:ascii="仿宋_GB2312" w:eastAsia="仿宋_GB2312"/>
          <w:color w:val="000000" w:themeColor="text1"/>
          <w:sz w:val="32"/>
          <w:szCs w:val="32"/>
        </w:rPr>
        <w:t>项目支出</w:t>
      </w:r>
      <w:bookmarkEnd w:id="16"/>
      <w:r>
        <w:rPr>
          <w:rFonts w:hint="eastAsia" w:ascii="仿宋_GB2312" w:eastAsia="仿宋_GB2312"/>
          <w:sz w:val="32"/>
          <w:szCs w:val="32"/>
        </w:rPr>
        <w:t>7,757.17</w:t>
      </w:r>
      <w:r>
        <w:rPr>
          <w:rFonts w:hint="eastAsia" w:ascii="仿宋_GB2312" w:eastAsia="仿宋_GB2312"/>
          <w:color w:val="000000" w:themeColor="text1"/>
          <w:sz w:val="32"/>
          <w:szCs w:val="32"/>
        </w:rPr>
        <w:t>万元，占</w:t>
      </w:r>
      <w:r>
        <w:rPr>
          <w:rFonts w:hint="eastAsia" w:ascii="仿宋_GB2312" w:eastAsia="仿宋_GB2312"/>
          <w:sz w:val="32"/>
          <w:szCs w:val="32"/>
        </w:rPr>
        <w:t>86.85%</w:t>
      </w:r>
      <w:r>
        <w:rPr>
          <w:rFonts w:hint="eastAsia" w:ascii="仿宋_GB2312" w:eastAsia="仿宋_GB2312"/>
          <w:color w:val="000000" w:themeColor="text1"/>
          <w:sz w:val="32"/>
          <w:szCs w:val="32"/>
        </w:rPr>
        <w:t>；</w:t>
      </w:r>
      <w:bookmarkStart w:id="17" w:name="OLE_LINK10"/>
      <w:r>
        <w:rPr>
          <w:rFonts w:hint="eastAsia" w:ascii="仿宋_GB2312" w:eastAsia="仿宋_GB2312"/>
          <w:color w:val="000000" w:themeColor="text1"/>
          <w:sz w:val="32"/>
          <w:szCs w:val="32"/>
        </w:rPr>
        <w:t>上缴上级支出</w:t>
      </w:r>
      <w:bookmarkEnd w:id="17"/>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8" w:name="OLE_LINK11"/>
      <w:r>
        <w:rPr>
          <w:rFonts w:hint="eastAsia" w:ascii="仿宋_GB2312" w:eastAsia="仿宋_GB2312"/>
          <w:color w:val="000000" w:themeColor="text1"/>
          <w:spacing w:val="-6"/>
          <w:sz w:val="32"/>
          <w:szCs w:val="32"/>
        </w:rPr>
        <w:t>经营支出</w:t>
      </w:r>
      <w:bookmarkEnd w:id="18"/>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19" w:name="OLE_LINK12"/>
      <w:r>
        <w:rPr>
          <w:rFonts w:hint="eastAsia" w:ascii="仿宋_GB2312" w:eastAsia="仿宋_GB2312"/>
          <w:color w:val="000000" w:themeColor="text1"/>
          <w:spacing w:val="-6"/>
          <w:sz w:val="32"/>
          <w:szCs w:val="32"/>
        </w:rPr>
        <w:t>对附属单位补助支出</w:t>
      </w:r>
      <w:bookmarkEnd w:id="19"/>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60" w:lineRule="exact"/>
        <w:ind w:firstLine="640" w:firstLineChars="200"/>
        <w:rPr>
          <w:rFonts w:ascii="仿宋_GB2312" w:eastAsia="仿宋_GB2312"/>
          <w:sz w:val="32"/>
          <w:szCs w:val="32"/>
        </w:rPr>
      </w:pPr>
      <w:bookmarkStart w:id="20" w:name="OLE_LINK56"/>
      <w:r>
        <w:rPr>
          <w:rFonts w:hint="eastAsia" w:ascii="仿宋_GB2312" w:eastAsia="仿宋_GB2312"/>
          <w:color w:val="000000" w:themeColor="text1"/>
          <w:sz w:val="32"/>
          <w:szCs w:val="32"/>
        </w:rPr>
        <w:t>与年初预算数相比情况：本年支出年初预算数1,199.88万元，</w:t>
      </w:r>
      <w:r>
        <w:rPr>
          <w:rFonts w:hint="eastAsia" w:ascii="仿宋_GB2312" w:eastAsia="仿宋_GB2312"/>
          <w:sz w:val="32"/>
          <w:szCs w:val="32"/>
        </w:rPr>
        <w:t>决算数8,931.42万元</w:t>
      </w:r>
      <w:r>
        <w:rPr>
          <w:rFonts w:ascii="仿宋_GB2312" w:eastAsia="仿宋_GB2312"/>
          <w:sz w:val="32"/>
          <w:szCs w:val="32"/>
        </w:rPr>
        <w:t>，预决算差异率644.36%，差异主要原因是本年支出年初预算数1,199.88万元，决算数8,931.42万元，预决算差异率644.36%，差异主要原因是：新增庭院经济、草原生态、安居房等项目，项目支出增加，本年支出随之增加。</w:t>
      </w:r>
    </w:p>
    <w:bookmarkEnd w:id="20"/>
    <w:p>
      <w:pPr>
        <w:spacing w:line="56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6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1" w:name="OLE_LINK58"/>
      <w:bookmarkStart w:id="22" w:name="OLE_LINK57"/>
      <w:r>
        <w:rPr>
          <w:rFonts w:hint="eastAsia" w:ascii="仿宋_GB2312" w:eastAsia="仿宋_GB2312"/>
          <w:color w:val="000000" w:themeColor="text1"/>
          <w:sz w:val="32"/>
          <w:szCs w:val="32"/>
        </w:rPr>
        <w:t>2018年度</w:t>
      </w:r>
      <w:bookmarkStart w:id="23" w:name="OLE_LINK13"/>
      <w:r>
        <w:rPr>
          <w:rFonts w:hint="eastAsia" w:ascii="仿宋_GB2312" w:eastAsia="仿宋_GB2312"/>
          <w:color w:val="000000" w:themeColor="text1"/>
          <w:sz w:val="32"/>
          <w:szCs w:val="32"/>
        </w:rPr>
        <w:t>财政拨款收入</w:t>
      </w:r>
      <w:bookmarkEnd w:id="23"/>
      <w:r>
        <w:rPr>
          <w:rFonts w:hint="eastAsia" w:ascii="仿宋_GB2312" w:eastAsia="仿宋_GB2312"/>
          <w:sz w:val="32"/>
          <w:szCs w:val="32"/>
        </w:rPr>
        <w:t>8,583.23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5,478.89万元，增长176.49%，增加的主要原因是：2018年度财政拨款收入8,583.23万元，与上年相比，增加5,478.89万元，增长176.49%，增加的主要原因是：新增庭院经济、安居房、老果园改造、草原生态等项目资金财政拨款收入明显增加。</w:t>
      </w:r>
      <w:bookmarkEnd w:id="21"/>
      <w:bookmarkEnd w:id="22"/>
      <w:bookmarkStart w:id="24" w:name="OLE_LINK14"/>
      <w:bookmarkStart w:id="25" w:name="OLE_LINK60"/>
      <w:bookmarkStart w:id="26" w:name="OLE_LINK59"/>
      <w:r>
        <w:rPr>
          <w:rFonts w:hint="eastAsia" w:ascii="仿宋_GB2312" w:eastAsia="仿宋_GB2312"/>
          <w:color w:val="000000" w:themeColor="text1"/>
          <w:sz w:val="32"/>
          <w:szCs w:val="32"/>
        </w:rPr>
        <w:t>财政拨款支出</w:t>
      </w:r>
      <w:bookmarkEnd w:id="24"/>
      <w:r>
        <w:rPr>
          <w:rFonts w:hint="eastAsia" w:ascii="仿宋_GB2312" w:eastAsia="仿宋_GB2312"/>
          <w:sz w:val="32"/>
          <w:szCs w:val="32"/>
        </w:rPr>
        <w:t>8,583.23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，与上年相比，增加5,478.89万元，增长176.49%，增加的主要原因是：</w:t>
      </w:r>
      <w:r>
        <w:rPr>
          <w:rFonts w:ascii="仿宋_GB2312" w:eastAsia="仿宋_GB2312"/>
          <w:sz w:val="32"/>
          <w:szCs w:val="32"/>
        </w:rPr>
        <w:t>财政拨款支出8,583.23万元，与上年相比，增加5,478.89万元，增长176.49%，增加的主要原因是：新增庭院经济、安居房、老果园改造、草原生态等项目资金财政拨款支出明显增加。</w:t>
      </w:r>
      <w:bookmarkEnd w:id="25"/>
      <w:bookmarkEnd w:id="26"/>
      <w:bookmarkStart w:id="27" w:name="OLE_LINK61"/>
      <w:r>
        <w:rPr>
          <w:rFonts w:hint="eastAsia" w:ascii="仿宋_GB2312" w:eastAsia="仿宋_GB2312"/>
          <w:color w:val="000000" w:themeColor="text1"/>
          <w:sz w:val="32"/>
          <w:szCs w:val="32"/>
        </w:rPr>
        <w:t>其中：</w:t>
      </w:r>
      <w:bookmarkStart w:id="28" w:name="OLE_LINK15"/>
      <w:r>
        <w:rPr>
          <w:rFonts w:hint="eastAsia" w:ascii="仿宋_GB2312" w:eastAsia="仿宋_GB2312"/>
          <w:color w:val="000000" w:themeColor="text1"/>
          <w:sz w:val="32"/>
          <w:szCs w:val="32"/>
        </w:rPr>
        <w:t>基本支出</w:t>
      </w:r>
      <w:bookmarkEnd w:id="28"/>
      <w:r>
        <w:rPr>
          <w:rFonts w:hint="eastAsia" w:ascii="仿宋_GB2312" w:eastAsia="仿宋_GB2312"/>
          <w:sz w:val="32"/>
          <w:szCs w:val="32"/>
        </w:rPr>
        <w:t>1,174.25</w:t>
      </w:r>
      <w:r>
        <w:rPr>
          <w:rFonts w:hint="eastAsia" w:ascii="仿宋_GB2312" w:eastAsia="仿宋_GB2312"/>
          <w:color w:val="000000" w:themeColor="text1"/>
          <w:sz w:val="32"/>
          <w:szCs w:val="32"/>
        </w:rPr>
        <w:t>万元，项目支出</w:t>
      </w:r>
      <w:r>
        <w:rPr>
          <w:rFonts w:hint="eastAsia" w:ascii="仿宋_GB2312" w:eastAsia="仿宋_GB2312"/>
          <w:sz w:val="32"/>
          <w:szCs w:val="32"/>
        </w:rPr>
        <w:t>7,408.98</w:t>
      </w:r>
      <w:r>
        <w:rPr>
          <w:rFonts w:hint="eastAsia" w:ascii="仿宋_GB2312" w:eastAsia="仿宋_GB2312"/>
          <w:color w:val="000000" w:themeColor="text1"/>
          <w:sz w:val="32"/>
          <w:szCs w:val="32"/>
        </w:rPr>
        <w:t>万元。</w:t>
      </w:r>
      <w:bookmarkStart w:id="29" w:name="OLE_LINK16"/>
      <w:r>
        <w:rPr>
          <w:rFonts w:hint="eastAsia" w:ascii="仿宋_GB2312" w:eastAsia="仿宋_GB2312"/>
          <w:color w:val="000000" w:themeColor="text1"/>
          <w:sz w:val="32"/>
          <w:szCs w:val="32"/>
        </w:rPr>
        <w:t>财政拨款结转结余</w:t>
      </w:r>
      <w:bookmarkEnd w:id="29"/>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w:t>
      </w:r>
      <w:bookmarkEnd w:id="27"/>
      <w:bookmarkStart w:id="30" w:name="OLE_LINK62"/>
      <w:r>
        <w:rPr>
          <w:rFonts w:hint="eastAsia" w:ascii="仿宋_GB2312" w:eastAsia="仿宋_GB2312"/>
          <w:color w:val="000000" w:themeColor="text1"/>
          <w:sz w:val="32"/>
          <w:szCs w:val="32"/>
        </w:rPr>
        <w:t>财政拨款结转结余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，与上年相比，增加0万元，增长0%。增加的主要原因是：本单位无财政结转结余。</w:t>
      </w:r>
    </w:p>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1,199.88</w:t>
      </w:r>
      <w:r>
        <w:rPr>
          <w:rFonts w:hint="eastAsia" w:ascii="仿宋_GB2312" w:eastAsia="仿宋_GB2312"/>
          <w:color w:val="000000" w:themeColor="text1"/>
          <w:sz w:val="32"/>
          <w:szCs w:val="32"/>
        </w:rPr>
        <w:t>万元，决算数</w:t>
      </w:r>
      <w:r>
        <w:rPr>
          <w:rFonts w:hint="eastAsia" w:ascii="仿宋_GB2312" w:eastAsia="仿宋_GB2312"/>
          <w:sz w:val="32"/>
          <w:szCs w:val="32"/>
        </w:rPr>
        <w:t>8,583.23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615.34%，差异主要原因是与年初预算数相比情况：财政拨款收入年初预算数1,199.88万元，决算数8,583.23万元，预决算差异率615.34%，差异主要原因是：一是人员增加、人员工资调整；二是项目资金增加，上级专项在年初预算是无法预知，资金到达后调整追加了预算，如庭院经济建设、农村基础设施建设、安居建设、等上级专项。</w:t>
      </w:r>
      <w:bookmarkEnd w:id="30"/>
      <w:bookmarkStart w:id="31"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1,199.88</w:t>
      </w:r>
      <w:r>
        <w:rPr>
          <w:rFonts w:hint="eastAsia" w:ascii="仿宋_GB2312" w:eastAsia="仿宋_GB2312"/>
          <w:color w:val="000000" w:themeColor="text1"/>
          <w:sz w:val="32"/>
          <w:szCs w:val="32"/>
        </w:rPr>
        <w:t>万元，决算数</w:t>
      </w:r>
      <w:r>
        <w:rPr>
          <w:rFonts w:hint="eastAsia" w:ascii="仿宋_GB2312" w:eastAsia="仿宋_GB2312"/>
          <w:sz w:val="32"/>
          <w:szCs w:val="32"/>
        </w:rPr>
        <w:t>8,583.23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615.34%，差异主要原因是财政拨款支出年初预算数1,199.88万元，决算数8,583.23万元，预决算差异率615.34%，差异主要原因是：一是人员增加、人员工资调整；二是项目资金增加，上级专项在年初预算是无法预知，资金到达后调整追加了预算，如庭院经济建设、农村基础设施建设、安居房、等上级专项。</w:t>
      </w:r>
      <w:bookmarkEnd w:id="31"/>
    </w:p>
    <w:p>
      <w:pPr>
        <w:spacing w:line="56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60" w:lineRule="exact"/>
        <w:ind w:firstLine="640" w:firstLineChars="200"/>
        <w:rPr>
          <w:rFonts w:hint="eastAsia" w:ascii="仿宋_GB2312" w:eastAsia="仿宋_GB2312"/>
          <w:color w:val="0000FF"/>
          <w:sz w:val="32"/>
          <w:szCs w:val="32"/>
          <w:lang w:eastAsia="zh-CN"/>
        </w:rPr>
      </w:pPr>
      <w:bookmarkStart w:id="32" w:name="OLE_LINK64"/>
      <w:r>
        <w:rPr>
          <w:rFonts w:hint="eastAsia" w:ascii="仿宋_GB2312" w:eastAsia="仿宋_GB2312"/>
          <w:color w:val="000000" w:themeColor="text1"/>
          <w:sz w:val="32"/>
          <w:szCs w:val="32"/>
        </w:rPr>
        <w:t>2018年度</w:t>
      </w:r>
      <w:bookmarkStart w:id="33" w:name="OLE_LINK17"/>
      <w:r>
        <w:rPr>
          <w:rFonts w:hint="eastAsia" w:ascii="仿宋_GB2312" w:eastAsia="仿宋_GB2312"/>
          <w:color w:val="000000" w:themeColor="text1"/>
          <w:sz w:val="32"/>
          <w:szCs w:val="32"/>
        </w:rPr>
        <w:t>一般公共预算财政拨款收入</w:t>
      </w:r>
      <w:bookmarkEnd w:id="33"/>
      <w:r>
        <w:rPr>
          <w:rFonts w:ascii="仿宋_GB2312" w:eastAsia="仿宋_GB2312"/>
          <w:color w:val="000000" w:themeColor="text1"/>
          <w:sz w:val="32"/>
          <w:szCs w:val="32"/>
        </w:rPr>
        <w:t>8,572.23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5,467.89万元，增长176.14%，增加的主要原因是：2018年度一般公共预算财政拨款收入8572.23万元，与上年相比，增加5467.89万元，增长176.14%，增加的主要原因一是人员增加、人员工资调整；二是项目资金增加，上级专项在年初预算是无法预知，资金到达后调整追加了预算，如庭院经济建设、农村基础设施建设、安居房、等上级专项。</w:t>
      </w:r>
      <w:bookmarkEnd w:id="32"/>
      <w:bookmarkStart w:id="34" w:name="OLE_LINK18"/>
      <w:bookmarkStart w:id="35"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8,572.23</w:t>
      </w:r>
      <w:r>
        <w:rPr>
          <w:rFonts w:hint="eastAsia" w:ascii="仿宋_GB2312" w:eastAsia="仿宋_GB2312"/>
          <w:color w:val="000000" w:themeColor="text1"/>
          <w:sz w:val="32"/>
          <w:szCs w:val="32"/>
        </w:rPr>
        <w:t>万元</w:t>
      </w:r>
      <w:bookmarkEnd w:id="34"/>
      <w:r>
        <w:rPr>
          <w:rFonts w:hint="eastAsia" w:ascii="仿宋_GB2312" w:eastAsia="仿宋_GB2312"/>
          <w:sz w:val="32"/>
          <w:szCs w:val="32"/>
        </w:rPr>
        <w:t>，与上年相比，增加5,467.89万元，增长176.14%，增加的主要原因是：一般公共预算财政拨款支出8572.23万元，与上年相比，增加5467.89万元，增长176.14%，增加主要原因一是人员增加、人员工资调整；二是项目资金增加，上级专项在年初预算是无法预知，资金到达后调整追加了预算，如庭院经济建设、农村基础设施建设、安居房、等上级专项。</w:t>
      </w:r>
      <w:bookmarkEnd w:id="35"/>
      <w:r>
        <w:rPr>
          <w:rFonts w:hint="eastAsia" w:ascii="仿宋_GB2312" w:eastAsia="仿宋_GB2312"/>
          <w:color w:val="000000" w:themeColor="text1"/>
          <w:sz w:val="32"/>
          <w:szCs w:val="32"/>
        </w:rPr>
        <w:t>其中：</w:t>
      </w:r>
      <w:bookmarkStart w:id="36" w:name="OLE_LINK19"/>
      <w:r>
        <w:rPr>
          <w:rFonts w:hint="eastAsia" w:ascii="仿宋_GB2312" w:eastAsia="仿宋_GB2312"/>
          <w:color w:val="000000" w:themeColor="text1"/>
          <w:sz w:val="32"/>
          <w:szCs w:val="32"/>
        </w:rPr>
        <w:t>按功能分类科目（按类级科目公开）</w:t>
      </w:r>
      <w:bookmarkEnd w:id="36"/>
      <w:r>
        <w:rPr>
          <w:rFonts w:hint="eastAsia" w:ascii="仿宋_GB2312" w:eastAsia="仿宋_GB2312"/>
          <w:color w:val="000000" w:themeColor="text1"/>
          <w:sz w:val="32"/>
          <w:szCs w:val="32"/>
        </w:rPr>
        <w:t>，</w:t>
      </w:r>
      <w:r>
        <w:rPr>
          <w:rFonts w:hint="eastAsia" w:ascii="仿宋_GB2312" w:eastAsia="仿宋_GB2312"/>
          <w:sz w:val="32"/>
          <w:szCs w:val="32"/>
        </w:rPr>
        <w:t>国土海洋气象等支出13.62万元,卫生与计生支出328.63万元,住房保障支出1,889.18万元,节能环保支出446.69万元,一般公共服务支出1,526.58万元,农林水支出2,842.95万元,交通运输支出0.12万元,公共安全支出13.34万元,文化体育与传媒支出44.32万元,其他支出128.1万元,社会保障和就业支出1,338.71万元。</w:t>
      </w:r>
      <w:bookmarkStart w:id="37" w:name="OLE_LINK20"/>
      <w:bookmarkStart w:id="38" w:name="OLE_LINK21"/>
      <w:r>
        <w:rPr>
          <w:rFonts w:hint="eastAsia" w:ascii="仿宋_GB2312" w:eastAsia="仿宋_GB2312"/>
          <w:sz w:val="32"/>
          <w:szCs w:val="32"/>
        </w:rPr>
        <w:t>按经济分类科目</w:t>
      </w:r>
      <w:bookmarkEnd w:id="37"/>
      <w:r>
        <w:rPr>
          <w:rFonts w:hint="eastAsia" w:ascii="仿宋_GB2312" w:eastAsia="仿宋_GB2312"/>
          <w:sz w:val="32"/>
          <w:szCs w:val="32"/>
        </w:rPr>
        <w:t>（按类级科目公开）</w:t>
      </w:r>
      <w:bookmarkEnd w:id="38"/>
      <w:r>
        <w:rPr>
          <w:rFonts w:hint="eastAsia" w:ascii="仿宋_GB2312" w:eastAsia="仿宋_GB2312"/>
          <w:sz w:val="32"/>
          <w:szCs w:val="32"/>
        </w:rPr>
        <w:t>，工资福利支出1,082.46万元,对个人和家庭的补助2,270.66万元</w:t>
      </w:r>
      <w:bookmarkStart w:id="39" w:name="OLE_LINK67"/>
      <w:bookmarkStart w:id="40" w:name="OLE_LINK66"/>
      <w:r>
        <w:rPr>
          <w:rFonts w:hint="eastAsia" w:ascii="仿宋_GB2312" w:eastAsia="仿宋_GB2312"/>
          <w:sz w:val="32"/>
          <w:szCs w:val="32"/>
          <w:lang w:eastAsia="zh-CN"/>
        </w:rPr>
        <w:t>，商品和服务支出</w:t>
      </w:r>
      <w:r>
        <w:rPr>
          <w:rFonts w:hint="eastAsia" w:ascii="仿宋_GB2312" w:eastAsia="仿宋_GB2312"/>
          <w:sz w:val="32"/>
          <w:szCs w:val="32"/>
          <w:lang w:val="en-US" w:eastAsia="zh-CN"/>
        </w:rPr>
        <w:t>326.3万元，资本性支出4892.81万元。</w:t>
      </w:r>
    </w:p>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1,199.88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8,572.23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614.42%，差异主要原因是一般公共预算财政拨款收入预算数和决算数差异率614.42%，差异主要原因一是人员增加、人员工资调整；二是项目资金增加，上级专项在年初预算是无法预知，资金到达后调整追加了预算，如庭院经济建设、农村基础设施建设、安居房等上级专项。</w:t>
      </w:r>
      <w:bookmarkEnd w:id="39"/>
      <w:bookmarkEnd w:id="40"/>
      <w:bookmarkStart w:id="41"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1,199.88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8,572.23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614.42%，差异主要原因是一般公共预算财政拨款支出预算数和决算数差异率614.42%，差异主要原因一是人员增加、人员工资调整；二是项目资金增加，上级专项在年初预算是无法预知，资金到达后调整追加了预算，如庭院经济建设、农村基础设施建设、安居房等上级专项。</w:t>
      </w:r>
      <w:bookmarkEnd w:id="41"/>
    </w:p>
    <w:p>
      <w:pPr>
        <w:spacing w:line="56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60" w:lineRule="exact"/>
        <w:ind w:firstLine="640" w:firstLineChars="200"/>
        <w:rPr>
          <w:rFonts w:ascii="仿宋_GB2312" w:eastAsia="仿宋_GB2312"/>
          <w:color w:val="000000" w:themeColor="text1"/>
          <w:sz w:val="32"/>
          <w:szCs w:val="32"/>
        </w:rPr>
      </w:pPr>
      <w:bookmarkStart w:id="42" w:name="OLE_LINK69"/>
      <w:r>
        <w:rPr>
          <w:rFonts w:hint="eastAsia" w:ascii="仿宋_GB2312" w:eastAsia="仿宋_GB2312"/>
          <w:color w:val="000000" w:themeColor="text1"/>
          <w:sz w:val="32"/>
          <w:szCs w:val="32"/>
        </w:rPr>
        <w:t>2018年度</w:t>
      </w:r>
      <w:bookmarkStart w:id="43" w:name="OLE_LINK22"/>
      <w:r>
        <w:rPr>
          <w:rFonts w:hint="eastAsia" w:ascii="仿宋_GB2312" w:eastAsia="仿宋_GB2312"/>
          <w:color w:val="000000" w:themeColor="text1"/>
          <w:sz w:val="32"/>
          <w:szCs w:val="32"/>
        </w:rPr>
        <w:t>政府性基金预算财政拨款收入</w:t>
      </w:r>
      <w:bookmarkEnd w:id="43"/>
      <w:r>
        <w:rPr>
          <w:rFonts w:hint="eastAsia" w:ascii="仿宋_GB2312" w:eastAsia="仿宋_GB2312"/>
          <w:sz w:val="32"/>
          <w:szCs w:val="32"/>
        </w:rPr>
        <w:t>11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，与上年相比，增加11万元，增长100%，增加的主要原因是：洛克乡1村新增5万、6村新增6万元彩票公益金。</w:t>
      </w:r>
      <w:bookmarkEnd w:id="42"/>
      <w:bookmarkStart w:id="44" w:name="OLE_LINK23"/>
      <w:bookmarkStart w:id="45" w:name="OLE_LINK70"/>
      <w:r>
        <w:rPr>
          <w:rFonts w:hint="eastAsia" w:ascii="仿宋_GB2312" w:eastAsia="仿宋_GB2312"/>
          <w:color w:val="000000" w:themeColor="text1"/>
          <w:sz w:val="32"/>
          <w:szCs w:val="32"/>
        </w:rPr>
        <w:t>政府性基金预算支出</w:t>
      </w:r>
      <w:bookmarkEnd w:id="44"/>
      <w:r>
        <w:rPr>
          <w:rFonts w:hint="eastAsia" w:ascii="仿宋_GB2312" w:eastAsia="仿宋_GB2312"/>
          <w:sz w:val="32"/>
          <w:szCs w:val="32"/>
        </w:rPr>
        <w:t>11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，与上年相比，增加11万元，增长100%，增加的主要原因是：洛克乡1村新增5万、6村新增6万元彩票公益金。</w:t>
      </w:r>
      <w:bookmarkEnd w:id="45"/>
      <w:r>
        <w:rPr>
          <w:rFonts w:hint="eastAsia" w:ascii="仿宋_GB2312" w:eastAsia="仿宋_GB2312"/>
          <w:color w:val="000000" w:themeColor="text1"/>
          <w:sz w:val="32"/>
          <w:szCs w:val="32"/>
        </w:rPr>
        <w:t>其中：</w:t>
      </w:r>
      <w:bookmarkStart w:id="46" w:name="OLE_LINK24"/>
      <w:r>
        <w:rPr>
          <w:rFonts w:hint="eastAsia" w:ascii="仿宋_GB2312" w:eastAsia="仿宋_GB2312"/>
          <w:color w:val="000000" w:themeColor="text1"/>
          <w:sz w:val="32"/>
          <w:szCs w:val="32"/>
        </w:rPr>
        <w:t>按功能分类科目（按类级科目公开）</w:t>
      </w:r>
      <w:bookmarkEnd w:id="46"/>
      <w:r>
        <w:rPr>
          <w:rFonts w:hint="eastAsia" w:ascii="仿宋_GB2312" w:eastAsia="仿宋_GB2312"/>
          <w:color w:val="000000" w:themeColor="text1"/>
          <w:sz w:val="32"/>
          <w:szCs w:val="32"/>
        </w:rPr>
        <w:t>，其他支出11万元。按经济分类科目（按类级科目公开），商品和服务支出6万元,资本性支出5万元。</w:t>
      </w:r>
    </w:p>
    <w:p>
      <w:pPr>
        <w:spacing w:line="560" w:lineRule="exact"/>
        <w:ind w:firstLine="640" w:firstLineChars="200"/>
        <w:rPr>
          <w:rFonts w:ascii="仿宋_GB2312" w:eastAsia="仿宋_GB2312"/>
          <w:color w:val="000000" w:themeColor="text1"/>
          <w:sz w:val="32"/>
          <w:szCs w:val="32"/>
        </w:rPr>
      </w:pPr>
      <w:bookmarkStart w:id="47" w:name="OLE_LINK71"/>
      <w:bookmarkStart w:id="48"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rPr>
        <w:t>10</w:t>
      </w:r>
      <w:r>
        <w:rPr>
          <w:rFonts w:ascii="仿宋_GB2312" w:eastAsia="仿宋_GB2312"/>
          <w:color w:val="000000" w:themeColor="text1"/>
          <w:sz w:val="32"/>
          <w:szCs w:val="32"/>
        </w:rPr>
        <w:t>0%，差异主要原因是洛克乡1村新增5万、6村新增6万元彩票公益金。</w:t>
      </w:r>
      <w:bookmarkEnd w:id="47"/>
      <w:bookmarkEnd w:id="48"/>
      <w:bookmarkStart w:id="49"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rPr>
        <w:t>10</w:t>
      </w:r>
      <w:r>
        <w:rPr>
          <w:rFonts w:ascii="仿宋_GB2312" w:eastAsia="仿宋_GB2312"/>
          <w:color w:val="000000" w:themeColor="text1"/>
          <w:sz w:val="32"/>
          <w:szCs w:val="32"/>
        </w:rPr>
        <w:t>0%，差异主要原因是洛克乡1村新增5万、6村新增6万元彩票公益金。</w:t>
      </w:r>
      <w:bookmarkEnd w:id="49"/>
    </w:p>
    <w:p>
      <w:pPr>
        <w:spacing w:line="56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60" w:lineRule="exact"/>
        <w:ind w:firstLine="640" w:firstLineChars="200"/>
        <w:rPr>
          <w:rFonts w:ascii="仿宋_GB2312" w:eastAsia="仿宋_GB2312"/>
          <w:sz w:val="32"/>
          <w:szCs w:val="32"/>
        </w:rPr>
      </w:pPr>
      <w:bookmarkStart w:id="50" w:name="OLE_LINK25"/>
      <w:bookmarkStart w:id="51" w:name="OLE_LINK26"/>
      <w:r>
        <w:rPr>
          <w:rFonts w:hint="eastAsia" w:ascii="仿宋_GB2312" w:eastAsia="仿宋_GB2312"/>
          <w:color w:val="000000" w:themeColor="text1"/>
          <w:sz w:val="32"/>
          <w:szCs w:val="32"/>
        </w:rPr>
        <w:t>年末结转结余</w:t>
      </w:r>
      <w:bookmarkEnd w:id="50"/>
      <w:bookmarkEnd w:id="5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6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2" w:name="OLE_LINK27"/>
      <w:bookmarkStart w:id="53" w:name="OLE_LINK28"/>
      <w:r>
        <w:rPr>
          <w:rFonts w:hint="eastAsia" w:ascii="仿宋_GB2312" w:eastAsia="仿宋_GB2312"/>
          <w:color w:val="000000" w:themeColor="text1"/>
          <w:sz w:val="32"/>
          <w:szCs w:val="32"/>
        </w:rPr>
        <w:t>财政拨款结转结余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60" w:lineRule="exact"/>
        <w:ind w:firstLine="640" w:firstLineChars="200"/>
        <w:rPr>
          <w:rFonts w:ascii="仿宋_GB2312" w:eastAsia="仿宋_GB2312"/>
          <w:color w:val="000000" w:themeColor="text1"/>
          <w:sz w:val="32"/>
          <w:szCs w:val="32"/>
        </w:rPr>
      </w:pPr>
      <w:bookmarkStart w:id="54" w:name="OLE_LINK74"/>
      <w:r>
        <w:rPr>
          <w:rFonts w:hint="eastAsia" w:ascii="仿宋_GB2312" w:eastAsia="仿宋_GB2312"/>
          <w:color w:val="000000" w:themeColor="text1"/>
          <w:sz w:val="32"/>
          <w:szCs w:val="32"/>
        </w:rPr>
        <w:t>2018年度</w:t>
      </w:r>
      <w:bookmarkStart w:id="55" w:name="OLE_LINK29"/>
      <w:r>
        <w:rPr>
          <w:rFonts w:hint="eastAsia" w:ascii="仿宋_GB2312" w:eastAsia="仿宋_GB2312"/>
          <w:color w:val="000000" w:themeColor="text1"/>
          <w:sz w:val="32"/>
          <w:szCs w:val="32"/>
        </w:rPr>
        <w:t>一般公共预算“三公”经费支出决算</w:t>
      </w:r>
      <w:bookmarkEnd w:id="55"/>
      <w:r>
        <w:rPr>
          <w:rFonts w:hint="eastAsia" w:ascii="仿宋_GB2312" w:eastAsia="仿宋_GB2312"/>
          <w:sz w:val="32"/>
          <w:szCs w:val="32"/>
        </w:rPr>
        <w:t>4.05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，与上年相比，减少0.45万元，下降10%，减少的主要原因是：洛克乡人民政府严格落实中央、自治区、地区相关规定，厉行勤俭节约，压减日常公用支出，降低经费成本。</w:t>
      </w:r>
      <w:bookmarkEnd w:id="54"/>
      <w:bookmarkStart w:id="56" w:name="OLE_LINK75"/>
      <w:r>
        <w:rPr>
          <w:rFonts w:hint="eastAsia" w:ascii="仿宋_GB2312" w:eastAsia="仿宋_GB2312"/>
          <w:sz w:val="32"/>
          <w:szCs w:val="32"/>
        </w:rPr>
        <w:t>其中，</w:t>
      </w:r>
      <w:bookmarkStart w:id="57" w:name="OLE_LINK30"/>
      <w:r>
        <w:rPr>
          <w:rFonts w:hint="eastAsia" w:ascii="仿宋_GB2312" w:eastAsia="仿宋_GB2312"/>
          <w:sz w:val="32"/>
          <w:szCs w:val="32"/>
        </w:rPr>
        <w:t>因公</w:t>
      </w:r>
      <w:r>
        <w:rPr>
          <w:rFonts w:hint="eastAsia" w:ascii="仿宋_GB2312" w:eastAsia="仿宋_GB2312"/>
          <w:sz w:val="32"/>
          <w:szCs w:val="32"/>
          <w:lang w:eastAsia="zh-CN"/>
        </w:rPr>
        <w:t>出国（境）</w:t>
      </w:r>
      <w:r>
        <w:rPr>
          <w:rFonts w:hint="eastAsia" w:ascii="仿宋_GB2312" w:eastAsia="仿宋_GB2312"/>
          <w:sz w:val="32"/>
          <w:szCs w:val="32"/>
        </w:rPr>
        <w:t>费支出</w:t>
      </w:r>
      <w:bookmarkEnd w:id="57"/>
      <w:r>
        <w:rPr>
          <w:rFonts w:hint="eastAsia" w:ascii="仿宋_GB2312" w:eastAsia="仿宋_GB2312"/>
          <w:sz w:val="32"/>
          <w:szCs w:val="32"/>
        </w:rPr>
        <w:t>0万元，占0%，与上年相比，增加0万元，增长0%，主要原因是：本单位无此项支出，与上年一致；</w:t>
      </w:r>
      <w:bookmarkEnd w:id="56"/>
      <w:bookmarkStart w:id="58" w:name="OLE_LINK31"/>
      <w:bookmarkStart w:id="59" w:name="OLE_LINK76"/>
      <w:r>
        <w:rPr>
          <w:rFonts w:hint="eastAsia" w:ascii="仿宋_GB2312" w:eastAsia="仿宋_GB2312"/>
          <w:color w:val="000000" w:themeColor="text1"/>
          <w:sz w:val="32"/>
          <w:szCs w:val="32"/>
        </w:rPr>
        <w:t>公务用车购置及运行维护费支出</w:t>
      </w:r>
      <w:bookmarkEnd w:id="58"/>
      <w:r>
        <w:rPr>
          <w:rFonts w:hint="eastAsia" w:ascii="仿宋_GB2312" w:eastAsia="仿宋_GB2312"/>
          <w:sz w:val="32"/>
          <w:szCs w:val="32"/>
        </w:rPr>
        <w:t>4.05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100%，与上年相比，减少0.45万元，下降10%，减少的主要原因是：洛克乡人民政府严格落实八项规定，厉行勤俭节约，压减日常公用支出，降低经费成本；</w:t>
      </w:r>
      <w:bookmarkEnd w:id="59"/>
      <w:bookmarkStart w:id="60" w:name="OLE_LINK32"/>
      <w:bookmarkStart w:id="61" w:name="OLE_LINK77"/>
      <w:bookmarkStart w:id="62" w:name="OLE_LINK78"/>
      <w:r>
        <w:rPr>
          <w:rFonts w:hint="eastAsia" w:ascii="仿宋_GB2312" w:eastAsia="仿宋_GB2312"/>
          <w:color w:val="000000" w:themeColor="text1"/>
          <w:sz w:val="32"/>
          <w:szCs w:val="32"/>
        </w:rPr>
        <w:t>公务接待费支出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0%，与上年相比，增加0万元，增长0%，主要原因是：本单位无此项支出，与上年一致。</w:t>
      </w:r>
      <w:bookmarkEnd w:id="61"/>
      <w:bookmarkEnd w:id="62"/>
      <w:r>
        <w:rPr>
          <w:rFonts w:hint="eastAsia" w:ascii="仿宋_GB2312" w:eastAsia="仿宋_GB2312"/>
          <w:color w:val="000000" w:themeColor="text1"/>
          <w:sz w:val="32"/>
          <w:szCs w:val="32"/>
        </w:rPr>
        <w:t>具体情况如下：</w:t>
      </w:r>
    </w:p>
    <w:p>
      <w:pPr>
        <w:spacing w:line="560" w:lineRule="exact"/>
        <w:ind w:firstLine="640" w:firstLineChars="200"/>
        <w:rPr>
          <w:rFonts w:ascii="仿宋_GB2312" w:eastAsia="仿宋_GB2312"/>
          <w:color w:val="000000" w:themeColor="text1"/>
          <w:sz w:val="32"/>
          <w:szCs w:val="32"/>
        </w:rPr>
      </w:pPr>
      <w:bookmarkStart w:id="63" w:name="OLE_LINK80"/>
      <w:bookmarkStart w:id="64" w:name="OLE_LINK79"/>
      <w:r>
        <w:rPr>
          <w:rFonts w:hint="eastAsia" w:ascii="仿宋_GB2312" w:eastAsia="仿宋_GB2312"/>
          <w:sz w:val="32"/>
          <w:szCs w:val="32"/>
        </w:rPr>
        <w:t>因公</w:t>
      </w:r>
      <w:r>
        <w:rPr>
          <w:rFonts w:hint="eastAsia" w:ascii="仿宋_GB2312" w:eastAsia="仿宋_GB2312"/>
          <w:sz w:val="32"/>
          <w:szCs w:val="32"/>
          <w:lang w:eastAsia="zh-CN"/>
        </w:rPr>
        <w:t>出国（境）</w:t>
      </w:r>
      <w:r>
        <w:rPr>
          <w:rFonts w:hint="eastAsia" w:ascii="仿宋_GB2312" w:eastAsia="仿宋_GB2312"/>
          <w:color w:val="000000" w:themeColor="text1"/>
          <w:sz w:val="32"/>
          <w:szCs w:val="32"/>
        </w:rPr>
        <w:t>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新疆喀什地区叶城县洛克乡人民政府</w:t>
      </w:r>
      <w:r>
        <w:rPr>
          <w:rFonts w:hint="eastAsia" w:ascii="仿宋_GB2312" w:eastAsia="仿宋_GB2312"/>
          <w:color w:val="000000" w:themeColor="text1"/>
          <w:sz w:val="32"/>
          <w:szCs w:val="32"/>
        </w:rPr>
        <w:t>单位</w:t>
      </w:r>
      <w:bookmarkStart w:id="65" w:name="OLE_LINK33"/>
      <w:r>
        <w:rPr>
          <w:rFonts w:hint="eastAsia" w:ascii="仿宋_GB2312" w:eastAsia="仿宋_GB2312"/>
          <w:color w:val="000000" w:themeColor="text1"/>
          <w:sz w:val="32"/>
          <w:szCs w:val="32"/>
        </w:rPr>
        <w:t>全年</w:t>
      </w:r>
      <w:bookmarkStart w:id="66" w:name="OLE_LINK34"/>
      <w:bookmarkStart w:id="67" w:name="OLE_LINK35"/>
      <w:bookmarkStart w:id="68" w:name="OLE_LINK36"/>
      <w:r>
        <w:rPr>
          <w:rFonts w:hint="eastAsia" w:ascii="仿宋_GB2312" w:eastAsia="仿宋_GB2312"/>
          <w:color w:val="000000" w:themeColor="text1"/>
          <w:sz w:val="32"/>
          <w:szCs w:val="32"/>
        </w:rPr>
        <w:t>使用一般公共预算财政拨款安排的</w:t>
      </w:r>
      <w:r>
        <w:rPr>
          <w:rFonts w:hint="eastAsia" w:ascii="仿宋_GB2312" w:eastAsia="仿宋_GB2312"/>
          <w:sz w:val="32"/>
          <w:szCs w:val="32"/>
        </w:rPr>
        <w:t>因公</w:t>
      </w:r>
      <w:r>
        <w:rPr>
          <w:rFonts w:hint="eastAsia" w:ascii="仿宋_GB2312" w:eastAsia="仿宋_GB2312"/>
          <w:sz w:val="32"/>
          <w:szCs w:val="32"/>
          <w:lang w:eastAsia="zh-CN"/>
        </w:rPr>
        <w:t>出国（境）</w:t>
      </w:r>
      <w:r>
        <w:rPr>
          <w:rFonts w:hint="eastAsia" w:ascii="仿宋_GB2312" w:eastAsia="仿宋_GB2312"/>
          <w:color w:val="000000" w:themeColor="text1"/>
          <w:sz w:val="32"/>
          <w:szCs w:val="32"/>
        </w:rPr>
        <w:t>团组</w:t>
      </w:r>
      <w:bookmarkEnd w:id="65"/>
      <w:bookmarkEnd w:id="66"/>
      <w:bookmarkEnd w:id="67"/>
      <w:r>
        <w:rPr>
          <w:rFonts w:hint="eastAsia" w:ascii="仿宋_GB2312" w:eastAsia="仿宋_GB2312"/>
          <w:sz w:val="32"/>
          <w:szCs w:val="32"/>
        </w:rPr>
        <w:t>0</w:t>
      </w:r>
      <w:r>
        <w:rPr>
          <w:rFonts w:hint="eastAsia" w:ascii="仿宋_GB2312" w:eastAsia="仿宋_GB2312"/>
          <w:color w:val="000000" w:themeColor="text1"/>
          <w:sz w:val="32"/>
          <w:szCs w:val="32"/>
        </w:rPr>
        <w:t>个</w:t>
      </w:r>
      <w:bookmarkEnd w:id="68"/>
      <w:r>
        <w:rPr>
          <w:rFonts w:hint="eastAsia" w:ascii="仿宋_GB2312" w:eastAsia="仿宋_GB2312"/>
          <w:color w:val="000000" w:themeColor="text1"/>
          <w:sz w:val="32"/>
          <w:szCs w:val="32"/>
        </w:rPr>
        <w:t>，</w:t>
      </w:r>
      <w:bookmarkStart w:id="69"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9"/>
      <w:r>
        <w:rPr>
          <w:rFonts w:hint="eastAsia" w:ascii="仿宋_GB2312" w:eastAsia="仿宋_GB2312"/>
          <w:color w:val="000000" w:themeColor="text1"/>
          <w:sz w:val="32"/>
          <w:szCs w:val="32"/>
        </w:rPr>
        <w:t>。</w:t>
      </w:r>
      <w:bookmarkStart w:id="70"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本单位无此项支出，与上年一致。</w:t>
      </w:r>
      <w:bookmarkEnd w:id="63"/>
      <w:bookmarkEnd w:id="64"/>
      <w:bookmarkEnd w:id="70"/>
    </w:p>
    <w:p>
      <w:pPr>
        <w:spacing w:line="560" w:lineRule="exact"/>
        <w:ind w:firstLine="640" w:firstLineChars="200"/>
        <w:rPr>
          <w:rFonts w:ascii="仿宋_GB2312" w:eastAsia="仿宋_GB2312"/>
          <w:color w:val="000000" w:themeColor="text1"/>
          <w:sz w:val="32"/>
          <w:szCs w:val="32"/>
        </w:rPr>
      </w:pPr>
      <w:bookmarkStart w:id="71"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4.05</w:t>
      </w:r>
      <w:r>
        <w:rPr>
          <w:rFonts w:hint="eastAsia" w:ascii="仿宋_GB2312" w:eastAsia="仿宋_GB2312"/>
          <w:color w:val="000000" w:themeColor="text1"/>
          <w:sz w:val="32"/>
          <w:szCs w:val="32"/>
        </w:rPr>
        <w:t>万元,其中，</w:t>
      </w:r>
      <w:bookmarkStart w:id="72"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2"/>
      <w:r>
        <w:rPr>
          <w:rFonts w:hint="eastAsia" w:ascii="仿宋_GB2312" w:eastAsia="仿宋_GB2312"/>
          <w:color w:val="000000" w:themeColor="text1"/>
          <w:sz w:val="32"/>
          <w:szCs w:val="32"/>
        </w:rPr>
        <w:t>，</w:t>
      </w:r>
      <w:bookmarkStart w:id="73" w:name="OLE_LINK40"/>
      <w:bookmarkStart w:id="74"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4.05</w:t>
      </w:r>
      <w:r>
        <w:rPr>
          <w:rFonts w:hint="eastAsia" w:ascii="仿宋_GB2312" w:eastAsia="仿宋_GB2312"/>
          <w:color w:val="000000" w:themeColor="text1"/>
          <w:sz w:val="32"/>
          <w:szCs w:val="32"/>
        </w:rPr>
        <w:t>万元</w:t>
      </w:r>
      <w:bookmarkEnd w:id="73"/>
      <w:bookmarkEnd w:id="74"/>
      <w:r>
        <w:rPr>
          <w:rFonts w:hint="eastAsia" w:ascii="仿宋_GB2312" w:eastAsia="仿宋_GB2312"/>
          <w:color w:val="000000" w:themeColor="text1"/>
          <w:sz w:val="32"/>
          <w:szCs w:val="32"/>
        </w:rPr>
        <w:t>。主要用于</w:t>
      </w:r>
      <w:r>
        <w:rPr>
          <w:rFonts w:hint="eastAsia" w:ascii="仿宋_GB2312" w:eastAsia="仿宋_GB2312"/>
          <w:sz w:val="32"/>
          <w:szCs w:val="32"/>
        </w:rPr>
        <w:t>公务用车购置及运行维护费4.05万元，其中，公务用车购置0万元，公务用车运行维护费4.05万元，主要用于车辆的燃油费、维修费、车辆保险费等日常车辆运行及维护费用</w:t>
      </w:r>
      <w:r>
        <w:rPr>
          <w:rFonts w:hint="eastAsia" w:ascii="仿宋_GB2312" w:eastAsia="仿宋_GB2312"/>
          <w:color w:val="000000" w:themeColor="text1"/>
          <w:sz w:val="32"/>
          <w:szCs w:val="32"/>
        </w:rPr>
        <w:t>。</w:t>
      </w:r>
      <w:bookmarkEnd w:id="71"/>
      <w:bookmarkStart w:id="75"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5"/>
    </w:p>
    <w:p>
      <w:pPr>
        <w:spacing w:line="560" w:lineRule="exact"/>
        <w:ind w:firstLine="640" w:firstLineChars="200"/>
        <w:rPr>
          <w:rFonts w:ascii="仿宋_GB2312" w:eastAsia="仿宋_GB2312"/>
          <w:color w:val="000000" w:themeColor="text1"/>
          <w:sz w:val="32"/>
          <w:szCs w:val="32"/>
        </w:rPr>
      </w:pPr>
      <w:bookmarkStart w:id="76"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本单位无此项支出，与上年一致</w:t>
      </w:r>
      <w:r>
        <w:rPr>
          <w:rFonts w:hint="eastAsia" w:ascii="仿宋_GB2312" w:eastAsia="仿宋_GB2312"/>
          <w:color w:val="000000" w:themeColor="text1"/>
          <w:sz w:val="32"/>
          <w:szCs w:val="32"/>
        </w:rPr>
        <w:t>。</w:t>
      </w:r>
      <w:bookmarkEnd w:id="76"/>
      <w:bookmarkStart w:id="77" w:name="OLE_LINK84"/>
      <w:r>
        <w:rPr>
          <w:rFonts w:hint="eastAsia" w:ascii="仿宋_GB2312" w:eastAsia="仿宋_GB2312"/>
          <w:sz w:val="32"/>
          <w:szCs w:val="32"/>
        </w:rPr>
        <w:t>新疆喀什地区叶城县洛克乡人民政府</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7"/>
    </w:p>
    <w:p>
      <w:pPr>
        <w:spacing w:line="560" w:lineRule="exact"/>
        <w:ind w:firstLine="640" w:firstLineChars="200"/>
        <w:rPr>
          <w:rFonts w:ascii="仿宋_GB2312" w:hAnsi="宋体" w:eastAsia="仿宋_GB2312" w:cs="宋体"/>
          <w:color w:val="000000" w:themeColor="text1"/>
          <w:kern w:val="0"/>
          <w:sz w:val="32"/>
          <w:szCs w:val="32"/>
        </w:rPr>
      </w:pPr>
      <w:bookmarkStart w:id="78"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4.05</w:t>
      </w:r>
      <w:r>
        <w:rPr>
          <w:rFonts w:hint="eastAsia" w:ascii="仿宋_GB2312" w:eastAsia="仿宋_GB2312"/>
          <w:color w:val="000000" w:themeColor="text1"/>
          <w:sz w:val="32"/>
          <w:szCs w:val="32"/>
        </w:rPr>
        <w:t>万元，决算数4.05万元</w:t>
      </w:r>
      <w:r>
        <w:rPr>
          <w:rFonts w:ascii="仿宋_GB2312" w:eastAsia="仿宋_GB2312"/>
          <w:color w:val="000000" w:themeColor="text1"/>
          <w:sz w:val="32"/>
          <w:szCs w:val="32"/>
        </w:rPr>
        <w:t>，预决算差异率0%，差异主要原因是洛克乡人民政府严格落实八项规定，厉行勤俭节约，压减日常公用支出，降低经费成本。</w:t>
      </w:r>
      <w:bookmarkEnd w:id="78"/>
      <w:bookmarkStart w:id="79" w:name="OLE_LINK87"/>
      <w:bookmarkStart w:id="80" w:name="OLE_LINK86"/>
      <w:r>
        <w:rPr>
          <w:rFonts w:hint="eastAsia" w:ascii="仿宋_GB2312" w:hAnsi="宋体" w:eastAsia="仿宋_GB2312" w:cs="宋体"/>
          <w:color w:val="000000" w:themeColor="text1"/>
          <w:kern w:val="0"/>
          <w:sz w:val="32"/>
          <w:szCs w:val="32"/>
        </w:rPr>
        <w:t>其中：</w:t>
      </w:r>
      <w:r>
        <w:rPr>
          <w:rFonts w:hint="eastAsia" w:ascii="仿宋_GB2312" w:eastAsia="仿宋_GB2312"/>
          <w:sz w:val="32"/>
          <w:szCs w:val="32"/>
        </w:rPr>
        <w:t>因公</w:t>
      </w:r>
      <w:r>
        <w:rPr>
          <w:rFonts w:hint="eastAsia" w:ascii="仿宋_GB2312" w:eastAsia="仿宋_GB2312"/>
          <w:sz w:val="32"/>
          <w:szCs w:val="32"/>
          <w:lang w:eastAsia="zh-CN"/>
        </w:rPr>
        <w:t>出国（境）</w:t>
      </w:r>
      <w:r>
        <w:rPr>
          <w:rFonts w:hint="eastAsia" w:ascii="仿宋_GB2312" w:hAnsi="宋体" w:eastAsia="仿宋_GB2312" w:cs="宋体"/>
          <w:color w:val="000000" w:themeColor="text1"/>
          <w:kern w:val="0"/>
          <w:sz w:val="32"/>
          <w:szCs w:val="32"/>
        </w:rPr>
        <w:t>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，预决算差异率0%，差异主要原因是本单位无此项支出，与上年一致；</w:t>
      </w:r>
      <w:bookmarkEnd w:id="79"/>
      <w:bookmarkEnd w:id="80"/>
      <w:bookmarkStart w:id="81" w:name="OLE_LINK89"/>
      <w:bookmarkStart w:id="82"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，预决算差异率0%，差异主要原因是本单位无此项支出，与上年一致；</w:t>
      </w:r>
      <w:bookmarkEnd w:id="81"/>
      <w:bookmarkEnd w:id="82"/>
      <w:bookmarkStart w:id="83"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4.05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洛克乡人民政府严格落实中央、自治区、地区相关规定，厉行勤俭节约，压减日常公用支出，降低经费成本</w:t>
      </w:r>
      <w:r>
        <w:rPr>
          <w:rFonts w:ascii="仿宋_GB2312" w:eastAsia="仿宋_GB2312"/>
          <w:color w:val="000000" w:themeColor="text1"/>
          <w:sz w:val="32"/>
          <w:szCs w:val="32"/>
        </w:rPr>
        <w:t>；</w:t>
      </w:r>
      <w:bookmarkEnd w:id="83"/>
      <w:bookmarkStart w:id="84"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4"/>
      <w:r>
        <w:rPr>
          <w:rFonts w:ascii="仿宋_GB2312" w:eastAsia="仿宋_GB2312"/>
          <w:color w:val="000000" w:themeColor="text1"/>
          <w:sz w:val="32"/>
          <w:szCs w:val="32"/>
        </w:rPr>
        <w:t>本单位无此项支出，与上年一致。</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6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2018年度新疆喀什地区叶城县洛克乡人民政府机关运行经费支出19.28万元，与上年相比，减少7.06万元，下降26.8%，减少的主要原因是：2018年洛克乡人民政府单位机关运行经费支出19.28万元，比上年减少7.06万元，降低26.8%，主要原因是</w:t>
      </w:r>
      <w:r>
        <w:rPr>
          <w:rFonts w:hint="eastAsia" w:ascii="仿宋_GB2312" w:eastAsia="仿宋_GB2312"/>
          <w:sz w:val="32"/>
          <w:szCs w:val="32"/>
        </w:rPr>
        <w:t>洛克乡人民政府严格落实中央、自治区、地区相关规定，厉行勤俭节约，压减日常公用支出，降低经费成本</w:t>
      </w:r>
    </w:p>
    <w:p>
      <w:pPr>
        <w:spacing w:line="56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w:t>
      </w:r>
      <w:r>
        <w:rPr>
          <w:rFonts w:hint="eastAsia" w:ascii="黑体" w:hAnsi="黑体" w:eastAsia="黑体"/>
          <w:color w:val="000000" w:themeColor="text1"/>
          <w:sz w:val="32"/>
          <w:szCs w:val="32"/>
          <w:lang w:val="en-US" w:eastAsia="zh-CN"/>
        </w:rPr>
        <w:t>政府</w:t>
      </w:r>
      <w:r>
        <w:rPr>
          <w:rFonts w:hint="eastAsia" w:ascii="黑体" w:hAnsi="黑体" w:eastAsia="黑体"/>
          <w:color w:val="000000" w:themeColor="text1"/>
          <w:sz w:val="32"/>
          <w:szCs w:val="32"/>
        </w:rPr>
        <w:t>采购情况</w:t>
      </w:r>
    </w:p>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5" w:name="OLE_LINK45"/>
      <w:r>
        <w:rPr>
          <w:rFonts w:hint="eastAsia" w:ascii="仿宋_GB2312" w:eastAsia="仿宋_GB2312"/>
          <w:color w:val="000000" w:themeColor="text1"/>
          <w:sz w:val="32"/>
          <w:szCs w:val="32"/>
          <w:lang w:val="en-US" w:eastAsia="zh-CN"/>
        </w:rPr>
        <w:t>政府</w:t>
      </w:r>
      <w:r>
        <w:rPr>
          <w:rFonts w:hint="eastAsia" w:ascii="仿宋_GB2312" w:eastAsia="仿宋_GB2312"/>
          <w:color w:val="000000" w:themeColor="text1"/>
          <w:sz w:val="32"/>
          <w:szCs w:val="32"/>
        </w:rPr>
        <w:t>采购支出总额</w:t>
      </w:r>
      <w:bookmarkEnd w:id="85"/>
      <w:r>
        <w:rPr>
          <w:rFonts w:hint="eastAsia" w:ascii="仿宋_GB2312" w:eastAsia="仿宋_GB2312"/>
          <w:sz w:val="32"/>
          <w:szCs w:val="32"/>
        </w:rPr>
        <w:t>139.67</w:t>
      </w:r>
      <w:r>
        <w:rPr>
          <w:rFonts w:hint="eastAsia" w:ascii="仿宋_GB2312" w:eastAsia="仿宋_GB2312"/>
          <w:color w:val="000000" w:themeColor="text1"/>
          <w:sz w:val="32"/>
          <w:szCs w:val="32"/>
        </w:rPr>
        <w:t>万元，其中：</w:t>
      </w:r>
      <w:bookmarkStart w:id="86" w:name="OLE_LINK46"/>
      <w:r>
        <w:rPr>
          <w:rFonts w:hint="eastAsia" w:ascii="仿宋_GB2312" w:eastAsia="仿宋_GB2312"/>
          <w:color w:val="000000" w:themeColor="text1"/>
          <w:sz w:val="32"/>
          <w:szCs w:val="32"/>
          <w:lang w:val="en-US" w:eastAsia="zh-CN"/>
        </w:rPr>
        <w:t>政府</w:t>
      </w:r>
      <w:r>
        <w:rPr>
          <w:rFonts w:hint="eastAsia" w:ascii="仿宋_GB2312" w:eastAsia="仿宋_GB2312"/>
          <w:color w:val="000000" w:themeColor="text1"/>
          <w:sz w:val="32"/>
          <w:szCs w:val="32"/>
        </w:rPr>
        <w:t>采购货物支出</w:t>
      </w:r>
      <w:bookmarkEnd w:id="86"/>
      <w:r>
        <w:rPr>
          <w:rFonts w:hint="eastAsia" w:ascii="仿宋_GB2312" w:eastAsia="仿宋_GB2312"/>
          <w:sz w:val="32"/>
          <w:szCs w:val="32"/>
        </w:rPr>
        <w:t>139.39</w:t>
      </w:r>
      <w:r>
        <w:rPr>
          <w:rFonts w:hint="eastAsia" w:ascii="仿宋_GB2312" w:eastAsia="仿宋_GB2312"/>
          <w:color w:val="000000" w:themeColor="text1"/>
          <w:sz w:val="32"/>
          <w:szCs w:val="32"/>
        </w:rPr>
        <w:t>万元、</w:t>
      </w:r>
      <w:bookmarkStart w:id="87" w:name="OLE_LINK47"/>
      <w:r>
        <w:rPr>
          <w:rFonts w:hint="eastAsia" w:ascii="仿宋_GB2312" w:eastAsia="仿宋_GB2312"/>
          <w:color w:val="000000" w:themeColor="text1"/>
          <w:sz w:val="32"/>
          <w:szCs w:val="32"/>
          <w:lang w:val="en-US" w:eastAsia="zh-CN"/>
        </w:rPr>
        <w:t>政府</w:t>
      </w:r>
      <w:r>
        <w:rPr>
          <w:rFonts w:hint="eastAsia" w:ascii="仿宋_GB2312" w:eastAsia="仿宋_GB2312"/>
          <w:color w:val="000000" w:themeColor="text1"/>
          <w:sz w:val="32"/>
          <w:szCs w:val="32"/>
        </w:rPr>
        <w:t>采购工程支出</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8" w:name="OLE_LINK48"/>
      <w:r>
        <w:rPr>
          <w:rFonts w:hint="eastAsia" w:ascii="仿宋_GB2312" w:eastAsia="仿宋_GB2312"/>
          <w:color w:val="000000" w:themeColor="text1"/>
          <w:sz w:val="32"/>
          <w:szCs w:val="32"/>
          <w:lang w:val="en-US" w:eastAsia="zh-CN"/>
        </w:rPr>
        <w:t>政府</w:t>
      </w:r>
      <w:r>
        <w:rPr>
          <w:rFonts w:hint="eastAsia" w:ascii="仿宋_GB2312" w:eastAsia="仿宋_GB2312"/>
          <w:color w:val="000000" w:themeColor="text1"/>
          <w:sz w:val="32"/>
          <w:szCs w:val="32"/>
        </w:rPr>
        <w:t>采购服务支出</w:t>
      </w:r>
      <w:bookmarkEnd w:id="88"/>
      <w:r>
        <w:rPr>
          <w:rFonts w:hint="eastAsia" w:ascii="仿宋_GB2312" w:eastAsia="仿宋_GB2312"/>
          <w:sz w:val="32"/>
          <w:szCs w:val="32"/>
        </w:rPr>
        <w:t>0.28</w:t>
      </w:r>
      <w:r>
        <w:rPr>
          <w:rFonts w:hint="eastAsia" w:ascii="仿宋_GB2312" w:eastAsia="仿宋_GB2312"/>
          <w:color w:val="000000" w:themeColor="text1"/>
          <w:sz w:val="32"/>
          <w:szCs w:val="32"/>
        </w:rPr>
        <w:t>万元。</w:t>
      </w:r>
    </w:p>
    <w:p>
      <w:pPr>
        <w:spacing w:line="56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6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60" w:lineRule="exact"/>
        <w:ind w:firstLine="640" w:firstLineChars="200"/>
        <w:rPr>
          <w:rFonts w:ascii="仿宋_GB2312" w:eastAsia="仿宋_GB2312"/>
          <w:color w:val="000000" w:themeColor="text1"/>
          <w:sz w:val="32"/>
          <w:szCs w:val="32"/>
        </w:rPr>
      </w:pPr>
      <w:bookmarkStart w:id="89"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6</w:t>
      </w:r>
      <w:r>
        <w:rPr>
          <w:rFonts w:hint="eastAsia" w:ascii="仿宋_GB2312" w:eastAsia="仿宋_GB2312"/>
          <w:color w:val="000000" w:themeColor="text1"/>
          <w:sz w:val="32"/>
          <w:szCs w:val="32"/>
        </w:rPr>
        <w:t>辆，价值</w:t>
      </w:r>
      <w:r>
        <w:rPr>
          <w:rFonts w:hint="eastAsia" w:ascii="仿宋_GB2312" w:eastAsia="仿宋_GB2312"/>
          <w:sz w:val="32"/>
          <w:szCs w:val="32"/>
        </w:rPr>
        <w:t>67.92</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2</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2</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其他用车主要是：绿化洒水车、垃圾车；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9"/>
    </w:p>
    <w:p>
      <w:pPr>
        <w:spacing w:line="56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智能为核心，通过监理科学合理的绩效机制，客观准确的评价我单位项目支出绩效，不断完善绩效评价体系，加强监督检查和考核工作。我单位在实际执行过程中注重结果导向、坚持成本效益、硬化责任约束，不断加强绩效管理队伍建设，提升业务素质，提高预算管理水平和政策实施效果，实现预算和绩效管理相匹配，着力提高财政资源配置效率和使用效益，全面提升我单位公共服务水平。叶城县洛克乡人民政府2018年度部门预算总额为7757.17万元，执行金额为7757.17万元，预算执行率为100%。本次自评共涉及项目数15个，其中已完成项目15个、未完成项目0个，项目总体完成率为100%，各项目支出管理过程较为规范，预期绩效目标完成情况良好。通过本次自评全面总结了项目实施过程中的经验及不足，为2019年度预算绩效管理工作开展奠定基础。</w:t>
      </w:r>
    </w:p>
    <w:p>
      <w:pPr>
        <w:adjustRightInd w:val="0"/>
        <w:snapToGrid w:val="0"/>
        <w:spacing w:line="560" w:lineRule="exact"/>
        <w:ind w:firstLine="640" w:firstLineChars="200"/>
      </w:pPr>
      <w:r>
        <w:rPr>
          <w:rFonts w:ascii="仿宋_GB2312" w:hAnsi="仿宋_GB2312" w:eastAsia="仿宋_GB2312" w:cs="仿宋_GB2312"/>
          <w:color w:val="000000"/>
          <w:sz w:val="32"/>
        </w:rPr>
        <w:t>1、乡村发展项目绩效自评综述：根据年初设定的绩效目标，该项目绩效自评得分为91分。项目全年预算数为3,001.67万元，执行数为3,001.67万元，完成预算的100%。主要产出和效果：</w:t>
      </w:r>
      <w:r>
        <w:rPr>
          <w:rFonts w:hint="eastAsia" w:ascii="仿宋_GB2312" w:hAnsi="仿宋" w:eastAsia="仿宋_GB2312"/>
          <w:bCs/>
          <w:sz w:val="32"/>
          <w:szCs w:val="32"/>
        </w:rPr>
        <w:t>1.产出指标完成情况分析：（1）项目完成数量三级指标中数量指标为6条，庭院经济受益户1897户，牲畜良种养殖羊3330只，建设用地复垦991.2亩，节水灌溉项目1个农村环境治理项目1277个，农村环境治理1561户，已全部完成，完成率100%。（2）项目完成质量，洛克乡2018年扶贫项目3001.67万元，设备购置合格率100%，庭院经济建设达标率100%。（3）项目实施进度乡村发展项目资金，资金拨付及时率100%，严格按照自己管理办法，资金到位及时发放，按期完成了项目资金的发放，取得了良好的资金使用效果。（4）项目成本节约情况草原生态项目资金，庭院经济10000元/户，牲畜良种养殖羊1000元/只，建设用地复垦1000元/亩，节水灌溉项目</w:t>
      </w:r>
      <w:r>
        <w:rPr>
          <w:rFonts w:ascii="仿宋_GB2312" w:hAnsi="仿宋" w:eastAsia="仿宋_GB2312"/>
          <w:bCs/>
          <w:sz w:val="32"/>
          <w:szCs w:val="32"/>
        </w:rPr>
        <w:t>268600</w:t>
      </w:r>
      <w:r>
        <w:rPr>
          <w:rFonts w:hint="eastAsia" w:ascii="仿宋_GB2312" w:hAnsi="仿宋" w:eastAsia="仿宋_GB2312"/>
          <w:bCs/>
          <w:sz w:val="32"/>
          <w:szCs w:val="32"/>
        </w:rPr>
        <w:t>元，农村环境治理项目</w:t>
      </w:r>
      <w:r>
        <w:rPr>
          <w:rFonts w:ascii="仿宋_GB2312" w:hAnsi="仿宋" w:eastAsia="仿宋_GB2312"/>
          <w:bCs/>
          <w:sz w:val="32"/>
          <w:szCs w:val="32"/>
        </w:rPr>
        <w:t>3056.3</w:t>
      </w:r>
      <w:r>
        <w:rPr>
          <w:rFonts w:hint="eastAsia" w:ascii="仿宋_GB2312" w:hAnsi="仿宋" w:eastAsia="仿宋_GB2312"/>
          <w:bCs/>
          <w:sz w:val="32"/>
          <w:szCs w:val="32"/>
        </w:rPr>
        <w:t>元，农村环境治理1635.94元，已全部完成，完成率100%。严格按照补贴标准发放补贴，按时发放，充分发挥了资金效益 。2.效益指标完成情况分析：（1）项目实施的经济效益分析乡村发展项目对洛克乡整体社会服务能力提升起到了很好效果，总体提升30%。（2）项目实施的社会效益分析无（3）项目实施的生态效益分析无（4）项目实施的可持续影响分析乡村发展项目资金，通过项目的实施，农民经济收入持续增长率100%，为打赢脱贫攻坚战提供了保障。3.满意度指标完成情况分析：按计划完成项目实施，已做满意度调查问卷，服务对象满意率达95%，服务对象满意度指标完成。</w:t>
      </w:r>
      <w:r>
        <w:rPr>
          <w:rFonts w:ascii="仿宋_GB2312" w:hAnsi="仿宋_GB2312" w:eastAsia="仿宋_GB2312" w:cs="仿宋_GB2312"/>
          <w:color w:val="000000"/>
          <w:sz w:val="32"/>
        </w:rPr>
        <w:t>发现的问题及原因：项目推进较慢，主要是项目前期准备工作不够充分，项目后期管理不规范下一步改进措施： 加强项目监管力度，确保项目精准实施，提升扶贫资金监督水平，加强财政监管力度。</w:t>
      </w:r>
    </w:p>
    <w:p>
      <w:pPr>
        <w:adjustRightInd w:val="0"/>
        <w:snapToGrid w:val="0"/>
        <w:spacing w:line="560" w:lineRule="exact"/>
        <w:ind w:firstLine="640" w:firstLineChars="200"/>
      </w:pPr>
      <w:r>
        <w:rPr>
          <w:rFonts w:ascii="仿宋_GB2312" w:hAnsi="仿宋_GB2312" w:eastAsia="仿宋_GB2312" w:cs="仿宋_GB2312"/>
          <w:color w:val="000000"/>
          <w:sz w:val="32"/>
        </w:rPr>
        <w:t>2、草原生态补助项目绩效自评综述：根据年初设定的绩效目标，该项目绩效自评得分为89分。项目全年预算数为61.81万元，执行数为61.81万元，完成预算的100%。主要产出和效果：</w:t>
      </w:r>
      <w:r>
        <w:rPr>
          <w:rFonts w:hint="eastAsia" w:ascii="仿宋_GB2312" w:hAnsi="仿宋" w:eastAsia="仿宋_GB2312"/>
          <w:bCs/>
          <w:sz w:val="32"/>
          <w:szCs w:val="32"/>
        </w:rPr>
        <w:t>1.产出指标完成情况分析：（1）项目完成数量，三级指标中数量指标为1条，资金保障面积103023亩，完成率100%。（2）项目完成质量洛克乡草原生态补助项目资金到位保障率100%,为坚持绿色引领，重污染耕地综合治理试点取得明显进展，草原生态环境和农业生态环境得到进一步改善。（3）项目实施进度草原生态项目资金拨付及时率100%，资金发放及时率100%。严格按照自己管理办法，资金到位及时发放，按期完成了项目资金的发放，取得了良好的资金使用效果。（4）项目成本节约情况草原生态项目资金严格按照补贴标准发放补贴，按时发放，充分发挥了资金效益。2.效益指标完成情况分析：（1）项目实施的经济效益分析无，（2）项目实施的社会效益分析无，（3）项目实施的生态效益分析，草原生态补助项目的实施，保证了植被覆盖面积的持续增长，为建设生态美丽新叶城做出了贡献。（4）项目实施的可持续影响分析，草原生态补贴项目资金保障年限超过一年，通过一年的补贴发放对脱贫攻坚战，以及生态文明建设提供了保障。3.满意度指标完成情况分析：按计划完成项目实施，已做满意度调查问卷，草场管护员满意度满意率达98%，服务对象满意度指标完成。</w:t>
      </w:r>
      <w:r>
        <w:rPr>
          <w:rFonts w:ascii="仿宋_GB2312" w:hAnsi="仿宋_GB2312" w:eastAsia="仿宋_GB2312" w:cs="仿宋_GB2312"/>
          <w:color w:val="000000"/>
          <w:sz w:val="32"/>
        </w:rPr>
        <w:t>发现的问题及原因：资金发放过程中，受益户人员名单未能及时提供，导致资金发放缓慢下一步改进措施： 严格审核受益人员，在审核无误后，及时上报人员名单，按时发放资金，提高农民保护环境的积极性。</w:t>
      </w:r>
    </w:p>
    <w:p>
      <w:pPr>
        <w:spacing w:line="560" w:lineRule="exact"/>
        <w:ind w:firstLine="640" w:firstLineChars="200"/>
        <w:rPr>
          <w:rFonts w:ascii="仿宋_GB2312" w:hAnsi="仿宋" w:eastAsia="仿宋_GB2312"/>
          <w:bCs/>
          <w:sz w:val="32"/>
          <w:szCs w:val="32"/>
        </w:rPr>
      </w:pPr>
      <w:r>
        <w:rPr>
          <w:rFonts w:ascii="仿宋_GB2312" w:hAnsi="仿宋_GB2312" w:eastAsia="仿宋_GB2312" w:cs="仿宋_GB2312"/>
          <w:color w:val="000000"/>
          <w:sz w:val="32"/>
        </w:rPr>
        <w:t>3、彩票公益金项目绩效自评综述：根据年初设定的绩效目标，该项目绩效自评得分为90分。项目全年预算数为11万元，执行数为11万元，完成预算的100%。主要产出和效果：</w:t>
      </w:r>
      <w:r>
        <w:rPr>
          <w:rFonts w:hint="eastAsia" w:ascii="仿宋_GB2312" w:hAnsi="仿宋" w:eastAsia="仿宋_GB2312"/>
          <w:bCs/>
          <w:sz w:val="32"/>
          <w:szCs w:val="32"/>
        </w:rPr>
        <w:t>1.产出指标完成情况分析：（1）项目完成数量，三级指标中数量指标为6条，衣柜衣架50套，文化活动服装120套，音响设备2套，宣传栏50个，农民俱乐部窗布30套，维修舞台1次，已全部完成，完成率100%。</w:t>
      </w:r>
    </w:p>
    <w:p>
      <w:pPr>
        <w:spacing w:line="560" w:lineRule="exact"/>
      </w:pPr>
      <w:r>
        <w:rPr>
          <w:rFonts w:hint="eastAsia" w:ascii="仿宋_GB2312" w:hAnsi="仿宋" w:eastAsia="仿宋_GB2312"/>
          <w:bCs/>
          <w:sz w:val="32"/>
          <w:szCs w:val="32"/>
        </w:rPr>
        <w:t>（2）项目完成质量彩票公益金项目购买了一批文化活动用品，购买文化活动物品合格率100%，能够满足文化室日常用途，为群众文化建设提供了有力保障。（3）项目实施进度，项目资金11万元，资金拨付及时率100%,分配给洛克乡1村5万元、洛克乡6村6万元，该资金按照申报目标的进度进行，按时完成了支付。（4）项目成本节约情况，严格把控商品价格，衣柜衣架500元/套，文化活动服装</w:t>
      </w:r>
      <w:r>
        <w:rPr>
          <w:rFonts w:ascii="仿宋_GB2312" w:hAnsi="仿宋" w:eastAsia="仿宋_GB2312"/>
          <w:bCs/>
          <w:sz w:val="32"/>
          <w:szCs w:val="32"/>
        </w:rPr>
        <w:t>167.25</w:t>
      </w:r>
      <w:r>
        <w:rPr>
          <w:rFonts w:hint="eastAsia" w:ascii="仿宋_GB2312" w:hAnsi="仿宋" w:eastAsia="仿宋_GB2312"/>
          <w:bCs/>
          <w:sz w:val="32"/>
          <w:szCs w:val="32"/>
        </w:rPr>
        <w:t>元/套，音响设备9960元/套，宣传栏600元/个，农民俱乐部窗布200元/套，维修舞台9010元/次。选择经济实惠的文化用品、乐器，</w:t>
      </w:r>
      <w:r>
        <w:rPr>
          <w:rFonts w:hint="eastAsia" w:ascii="仿宋_GB2312" w:hAnsi="仿宋" w:eastAsia="仿宋_GB2312"/>
          <w:bCs/>
          <w:sz w:val="32"/>
          <w:szCs w:val="32"/>
          <w:lang w:eastAsia="zh-CN"/>
        </w:rPr>
        <w:t>厉</w:t>
      </w:r>
      <w:r>
        <w:rPr>
          <w:rFonts w:hint="eastAsia" w:ascii="仿宋_GB2312" w:hAnsi="仿宋" w:eastAsia="仿宋_GB2312"/>
          <w:bCs/>
          <w:sz w:val="32"/>
          <w:szCs w:val="32"/>
        </w:rPr>
        <w:t>行节约，理性购买。2.效益指标完成情况分析：（1）项目实施的经济效益分析无（2）项目实施的社会效益分析彩票公益金项目的实施改善了农民群众业余生活质量，对发展乡村文化，提高农民文化生活水平十分有利。（3）项目实施的生态效益分析无（4）项目实施的可持续影响分析彩票公益金项目购买了一批文化活动用品，确保购买物品使用可持续5年。3.满意度指标完成情况分析：按计划完成项目实施，已做满意度调查问卷，受益群众满意率达98%，服务对象满意度指标完成。</w:t>
      </w:r>
      <w:r>
        <w:rPr>
          <w:rFonts w:ascii="仿宋_GB2312" w:hAnsi="仿宋_GB2312" w:eastAsia="仿宋_GB2312" w:cs="仿宋_GB2312"/>
          <w:color w:val="000000"/>
          <w:sz w:val="32"/>
        </w:rPr>
        <w:t>发现的问题及原因：宣传力度不够，文体、娱乐活动形式单一，报账太慢，资金支付缓慢。下一步改进措施： 加大宣传力度，开展丰富多彩的农牧民文体活动</w:t>
      </w:r>
    </w:p>
    <w:p>
      <w:pPr>
        <w:adjustRightInd w:val="0"/>
        <w:snapToGrid w:val="0"/>
        <w:spacing w:line="560" w:lineRule="exact"/>
        <w:ind w:firstLine="640" w:firstLineChars="200"/>
      </w:pPr>
      <w:r>
        <w:rPr>
          <w:rFonts w:ascii="仿宋_GB2312" w:hAnsi="仿宋_GB2312" w:eastAsia="仿宋_GB2312" w:cs="仿宋_GB2312"/>
          <w:color w:val="000000"/>
          <w:sz w:val="32"/>
        </w:rPr>
        <w:t>4、村运转经费项目绩效自评综述：根据年初设定的绩效目标，该项目绩效自评得分为92分。项目全年预算数为240.18万元，执行数为240.18万元，完成预算的100%。主要产出和效果：</w:t>
      </w:r>
      <w:r>
        <w:rPr>
          <w:rFonts w:hint="eastAsia" w:ascii="仿宋_GB2312" w:hAnsi="仿宋" w:eastAsia="仿宋_GB2312"/>
          <w:bCs/>
          <w:color w:val="000000" w:themeColor="text1"/>
          <w:sz w:val="32"/>
          <w:szCs w:val="32"/>
        </w:rPr>
        <w:t>1.产出指标完成情况分析：（1）项目完成数量数量指标1个，经费保障人数24018人，已全部完成。（2）项目完成质量，</w:t>
      </w:r>
      <w:r>
        <w:rPr>
          <w:rFonts w:hint="eastAsia" w:ascii="仿宋_GB2312" w:hAnsi="仿宋" w:eastAsia="仿宋_GB2312"/>
          <w:bCs/>
          <w:color w:val="000000" w:themeColor="text1"/>
          <w:sz w:val="32"/>
          <w:szCs w:val="32"/>
          <w:lang w:eastAsia="zh-CN"/>
        </w:rPr>
        <w:t>截至</w:t>
      </w:r>
      <w:r>
        <w:rPr>
          <w:rFonts w:hint="eastAsia" w:ascii="仿宋_GB2312" w:hAnsi="仿宋" w:eastAsia="仿宋_GB2312"/>
          <w:bCs/>
          <w:color w:val="000000" w:themeColor="text1"/>
          <w:sz w:val="32"/>
          <w:szCs w:val="32"/>
        </w:rPr>
        <w:t>2018年年度自评工作，该项目经费保障率100%，单位严格按照年度预期设定目标全部完成，完成率100%。（3）项目实施进度，</w:t>
      </w:r>
      <w:r>
        <w:rPr>
          <w:rFonts w:hint="eastAsia" w:ascii="仿宋_GB2312" w:hAnsi="仿宋" w:eastAsia="仿宋_GB2312"/>
          <w:bCs/>
          <w:color w:val="000000" w:themeColor="text1"/>
          <w:sz w:val="32"/>
          <w:szCs w:val="32"/>
          <w:lang w:eastAsia="zh-CN"/>
        </w:rPr>
        <w:t>截至</w:t>
      </w:r>
      <w:r>
        <w:rPr>
          <w:rFonts w:hint="eastAsia" w:ascii="仿宋_GB2312" w:hAnsi="仿宋" w:eastAsia="仿宋_GB2312"/>
          <w:bCs/>
          <w:color w:val="000000" w:themeColor="text1"/>
          <w:sz w:val="32"/>
          <w:szCs w:val="32"/>
        </w:rPr>
        <w:t>2018年年度自评评价时，资金拨付及时率100%，资金大涨及时率100%，我单位严格按照前期制定的项目实施方案，为保证项目进度与资金支出进度相统一的原则，全部完成，完成率100%。（4）项目成本节约情况，</w:t>
      </w:r>
      <w:r>
        <w:rPr>
          <w:rFonts w:hint="eastAsia" w:ascii="仿宋_GB2312" w:hAnsi="仿宋" w:eastAsia="仿宋_GB2312"/>
          <w:bCs/>
          <w:color w:val="000000" w:themeColor="text1"/>
          <w:sz w:val="32"/>
          <w:szCs w:val="32"/>
          <w:lang w:eastAsia="zh-CN"/>
        </w:rPr>
        <w:t>截至</w:t>
      </w:r>
      <w:r>
        <w:rPr>
          <w:rFonts w:hint="eastAsia" w:ascii="仿宋_GB2312" w:hAnsi="仿宋" w:eastAsia="仿宋_GB2312"/>
          <w:bCs/>
          <w:color w:val="000000" w:themeColor="text1"/>
          <w:sz w:val="32"/>
          <w:szCs w:val="32"/>
        </w:rPr>
        <w:t>2018年年度自评评价时，严格按照人均经费100元/人标准，完成率100%。2.效益指标完成情况分析：（1）项目实施的经济效益分析无（2）项目实施的社会效益分析通过该项目实施，有效提升提高为民服务办事效率，提高基层建设水平。村级运转经费项目的实施有效提高为民服务办事效率，我乡严格按照资金使用要求支付资金，拒绝浪费。（3）项目实施的生态效益分析，在村运转经费项目实施中，节约用电、水、耗材同比下降10%，我乡镇严格按照中央八项规定，</w:t>
      </w:r>
      <w:r>
        <w:rPr>
          <w:rFonts w:hint="eastAsia" w:ascii="仿宋_GB2312" w:hAnsi="仿宋" w:eastAsia="仿宋_GB2312"/>
          <w:bCs/>
          <w:color w:val="000000" w:themeColor="text1"/>
          <w:sz w:val="32"/>
          <w:szCs w:val="32"/>
          <w:lang w:eastAsia="zh-CN"/>
        </w:rPr>
        <w:t>厉</w:t>
      </w:r>
      <w:r>
        <w:rPr>
          <w:rFonts w:hint="eastAsia" w:ascii="仿宋_GB2312" w:hAnsi="仿宋" w:eastAsia="仿宋_GB2312"/>
          <w:bCs/>
          <w:color w:val="000000" w:themeColor="text1"/>
          <w:sz w:val="32"/>
          <w:szCs w:val="32"/>
        </w:rPr>
        <w:t>行节约，减少不必要开支。（4）项目实施的可持续影响分析，村运转经费保障期限为一年，对村级建设和发展提供了动力，村级开展工作有经费保障，3.满意度指标完成情况分析：按计划完成项目实施，已做满意度调查问卷，干部满意率98%，服务对象满意度指标完成。</w:t>
      </w:r>
      <w:r>
        <w:rPr>
          <w:rFonts w:ascii="仿宋_GB2312" w:hAnsi="仿宋_GB2312" w:eastAsia="仿宋_GB2312" w:cs="仿宋_GB2312"/>
          <w:color w:val="000000"/>
          <w:sz w:val="32"/>
        </w:rPr>
        <w:t>发现的问题及原因：经费使用拨付不够及时，部分村级报账员业务水平较差，报账不及时，手续不规范下一步改进措施： 加大对村级报账员的业务指导与培训力度，严格按照财政支付制度进行支付，确保财政资金安全高效运行</w:t>
      </w:r>
    </w:p>
    <w:p>
      <w:pPr>
        <w:adjustRightInd w:val="0"/>
        <w:snapToGrid w:val="0"/>
        <w:spacing w:line="560" w:lineRule="exact"/>
        <w:ind w:firstLine="640" w:firstLineChars="200"/>
      </w:pPr>
      <w:r>
        <w:rPr>
          <w:rFonts w:ascii="仿宋_GB2312" w:hAnsi="仿宋_GB2312" w:eastAsia="仿宋_GB2312" w:cs="仿宋_GB2312"/>
          <w:color w:val="000000"/>
          <w:sz w:val="32"/>
        </w:rPr>
        <w:t>5、安居富民项目绩效自评综述：根据年初设定的绩效目标，该项目绩效自评得分为92分。项目全年预算数为1,816.93万元，执行数为1,816.93万元，完成预算的100%。主要产出和效果：</w:t>
      </w:r>
      <w:r>
        <w:rPr>
          <w:rFonts w:hint="eastAsia" w:ascii="仿宋_GB2312" w:hAnsi="仿宋" w:eastAsia="仿宋_GB2312"/>
          <w:bCs/>
          <w:sz w:val="32"/>
          <w:szCs w:val="32"/>
        </w:rPr>
        <w:t>1.产出指标完成情况分析：（1）项目完成数量，</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2018年年度自评工作，洛克乡安居房项目共计发放受益贫困户安居房补助949户，已全部执行，完成年度设定的预期目标，完成率100%。（2）项目完成质量，</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年度自评工作，洛克乡安居房项目安居房项目建设合格率100%，已全部合格，我单位严格按照年度预期设定目标，为保证安居房建设合格率的提高，补助资金发放及时，项目完成质量良好，完成率100%。（3）项目实施进度，</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年度自评评价时，洛克乡安居房项目资金到位及时率100%，资金拨付及时率100%，我单位严格按照前期制定的项目实施方案，为保证项目进度与资金支出进度相统一的原则，已全部及时完工，完成率100%。（4）项目成本节约情况，</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洛克乡安居房项目贫困户补助标准平均19145.73元/户/年，已全部按预算成本发放，无成本节约情况。2.效益指标完成情况分析：（1）项目实施的经济效益分析，通过本年度安居房项目资金的实施，着力改善农村农户住房条件，为当地财政减负1816.93万元，逐步提高了受益户生产质量，确保受益户住得上房、住上好房、住上放心房。（2）项目实施的社会效益分析，通过本年度安居房项目的实施，逐年改善让没有安全住房的广大群众“住房安全有保障”，有效提高了安居房建设受益户的生活水平。加强了收益户的幸福感，也是对国家政策对待群众的服务水平产生较大提升。（3）项目实施的生态效益分析，本项目为到人到户现金发放类补贴项目，未产生生态效益。（4）项目实施的可持续影响分析，通过本年度安居房项目资金的实施，可持续影响时间为50年。有利于夯实基层基础有效提升，农民群众生活水平有效提升，3.满意度指标完成情况分析：按计划完成项目实施，已做满意度调查问卷受益户满意度达98%，服务对象满意度指标完成。</w:t>
      </w:r>
      <w:r>
        <w:rPr>
          <w:rFonts w:ascii="仿宋_GB2312" w:hAnsi="仿宋_GB2312" w:eastAsia="仿宋_GB2312" w:cs="仿宋_GB2312"/>
          <w:color w:val="000000"/>
          <w:sz w:val="32"/>
        </w:rPr>
        <w:t>发现的问题及原因：项目推进较慢，主要是项目前期准备工作不够充分，项目后期管理不规范下一步改进措施： 加快项目前期准备，提高项目进度；建章立制，规范富民安居建设及管理</w:t>
      </w:r>
    </w:p>
    <w:p>
      <w:pPr>
        <w:adjustRightInd w:val="0"/>
        <w:snapToGrid w:val="0"/>
        <w:spacing w:line="560" w:lineRule="exact"/>
        <w:ind w:firstLine="640" w:firstLineChars="200"/>
        <w:rPr>
          <w:rFonts w:ascii="仿宋_GB2312" w:hAnsi="仿宋_GB2312" w:eastAsia="仿宋_GB2312" w:cs="仿宋_GB2312"/>
          <w:bCs/>
          <w:spacing w:val="-4"/>
          <w:sz w:val="32"/>
          <w:szCs w:val="32"/>
        </w:rPr>
      </w:pPr>
      <w:r>
        <w:rPr>
          <w:rFonts w:ascii="仿宋_GB2312" w:hAnsi="仿宋_GB2312" w:eastAsia="仿宋_GB2312" w:cs="仿宋_GB2312"/>
          <w:color w:val="000000"/>
          <w:sz w:val="32"/>
        </w:rPr>
        <w:t>6、乡村农民文化体育发展资金项目绩效自评综述：根据年初设定的绩效目标，该项目绩效自评得分为90分。项目全年预算数为20万元，执行数为20万元，完成预算的100%。主要产出和效果：</w:t>
      </w:r>
      <w:r>
        <w:rPr>
          <w:rFonts w:hint="eastAsia" w:ascii="仿宋_GB2312" w:hAnsi="仿宋_GB2312" w:eastAsia="仿宋_GB2312" w:cs="仿宋_GB2312"/>
          <w:bCs/>
          <w:spacing w:val="-4"/>
          <w:sz w:val="32"/>
          <w:szCs w:val="32"/>
        </w:rPr>
        <w:t>1.产出指标完成情况分析：（1）项目完成数量，三级指标中数量指标为4条，跳舞队员衣服85套，宣传栏40个，健身器材40套，运动员衣服250套，已全部完成，完成率100%。（2）项目完成质量，</w:t>
      </w:r>
      <w:r>
        <w:rPr>
          <w:rFonts w:hint="eastAsia" w:ascii="仿宋_GB2312" w:hAnsi="仿宋_GB2312" w:eastAsia="仿宋_GB2312" w:cs="仿宋_GB2312"/>
          <w:bCs/>
          <w:spacing w:val="-4"/>
          <w:sz w:val="32"/>
          <w:szCs w:val="32"/>
          <w:lang w:eastAsia="zh-CN"/>
        </w:rPr>
        <w:t>截至</w:t>
      </w:r>
      <w:r>
        <w:rPr>
          <w:rFonts w:hint="eastAsia" w:ascii="仿宋_GB2312" w:hAnsi="仿宋_GB2312" w:eastAsia="仿宋_GB2312" w:cs="仿宋_GB2312"/>
          <w:bCs/>
          <w:spacing w:val="-4"/>
          <w:sz w:val="32"/>
          <w:szCs w:val="32"/>
        </w:rPr>
        <w:t>2018年年度自评工作，洛克乡村级文化项目采购物品合格率100%，已全部验收合格，我单位严格按照年度预期设定目标，为保证村级文化项目采购物品合格率的提高，项目资金支付及时，项目完成质量良好，完成率100%。（3）项目实施进度，</w:t>
      </w:r>
      <w:r>
        <w:rPr>
          <w:rFonts w:hint="eastAsia" w:ascii="仿宋_GB2312" w:hAnsi="仿宋_GB2312" w:eastAsia="仿宋_GB2312" w:cs="仿宋_GB2312"/>
          <w:bCs/>
          <w:spacing w:val="-4"/>
          <w:sz w:val="32"/>
          <w:szCs w:val="32"/>
          <w:lang w:eastAsia="zh-CN"/>
        </w:rPr>
        <w:t>截至</w:t>
      </w:r>
      <w:r>
        <w:rPr>
          <w:rFonts w:hint="eastAsia" w:ascii="仿宋_GB2312" w:hAnsi="仿宋_GB2312" w:eastAsia="仿宋_GB2312" w:cs="仿宋_GB2312"/>
          <w:bCs/>
          <w:spacing w:val="-4"/>
          <w:sz w:val="32"/>
          <w:szCs w:val="32"/>
        </w:rPr>
        <w:t>2018年年度自评评价时，乡村级文化项目资金拨付及时率100%，我单位严格按照前期制定的项目实施方案，为保证项目进度与资金支出进度相统一的原则，已全部及时拨付，完成率100%。（4）项目成本节约情况，</w:t>
      </w:r>
      <w:r>
        <w:rPr>
          <w:rFonts w:hint="eastAsia" w:ascii="仿宋_GB2312" w:hAnsi="仿宋_GB2312" w:eastAsia="仿宋_GB2312" w:cs="仿宋_GB2312"/>
          <w:bCs/>
          <w:spacing w:val="-4"/>
          <w:sz w:val="32"/>
          <w:szCs w:val="32"/>
          <w:lang w:eastAsia="zh-CN"/>
        </w:rPr>
        <w:t>截至</w:t>
      </w:r>
      <w:r>
        <w:rPr>
          <w:rFonts w:hint="eastAsia" w:ascii="仿宋_GB2312" w:hAnsi="仿宋_GB2312" w:eastAsia="仿宋_GB2312" w:cs="仿宋_GB2312"/>
          <w:bCs/>
          <w:spacing w:val="-4"/>
          <w:sz w:val="32"/>
          <w:szCs w:val="32"/>
        </w:rPr>
        <w:t xml:space="preserve">2018年，村级文化项目按照跳舞队员衣服500/套，宣传栏500/个，健身器材2500/套，运动员衣服150/套支付资金，已全部按预算成本支付，无成本节约情况。2.效益指标完成情况分析：（1）项目实施的经济效益分析无 </w:t>
      </w:r>
    </w:p>
    <w:p>
      <w:pPr>
        <w:adjustRightInd w:val="0"/>
        <w:snapToGrid w:val="0"/>
        <w:spacing w:line="560" w:lineRule="exact"/>
      </w:pPr>
      <w:r>
        <w:rPr>
          <w:rFonts w:hint="eastAsia" w:ascii="仿宋_GB2312" w:hAnsi="仿宋_GB2312" w:eastAsia="仿宋_GB2312" w:cs="仿宋_GB2312"/>
          <w:bCs/>
          <w:spacing w:val="-4"/>
          <w:sz w:val="32"/>
          <w:szCs w:val="32"/>
        </w:rPr>
        <w:t>（2）项目实施的社会效益分析通过本年度爱国人士补助项目资金的实施，明显提高改善群众业余生活质量。加强了群众的幸福感，也是对国家政策对待群众的服务水平产生较大提升。（3）项目实施的生态效益分析无（4）项目实施的可持续影响分析通过本年度村级文化项目资金的实施，可持续预期影响时间超过五年。目前实际购买物品使用年限1年，有利于夯实基层基础有效提升，文化活力持续提升。3.满意度指标完成情况分析：按计划完成项目实施，已做满意度调查问卷群众满意度达95%，服务对象满意度指标完成。</w:t>
      </w:r>
      <w:r>
        <w:rPr>
          <w:rFonts w:ascii="仿宋_GB2312" w:hAnsi="仿宋_GB2312" w:eastAsia="仿宋_GB2312" w:cs="仿宋_GB2312"/>
          <w:color w:val="000000"/>
          <w:sz w:val="32"/>
        </w:rPr>
        <w:t>发现的问题及原因：村文化室购买文化活动用品，积极开展文化活动，但宣传力度有待提高。下一步改进措施： 加大宣传力度，丰富农民娱乐文化生活</w:t>
      </w:r>
    </w:p>
    <w:p>
      <w:pPr>
        <w:adjustRightInd w:val="0"/>
        <w:snapToGrid w:val="0"/>
        <w:spacing w:line="560" w:lineRule="exact"/>
        <w:ind w:firstLine="640" w:firstLineChars="200"/>
        <w:rPr>
          <w:rFonts w:ascii="仿宋_GB2312" w:hAnsi="仿宋" w:eastAsia="仿宋_GB2312"/>
          <w:bCs/>
          <w:sz w:val="32"/>
          <w:szCs w:val="32"/>
        </w:rPr>
      </w:pPr>
      <w:r>
        <w:rPr>
          <w:rFonts w:ascii="仿宋_GB2312" w:hAnsi="仿宋_GB2312" w:eastAsia="仿宋_GB2312" w:cs="仿宋_GB2312"/>
          <w:color w:val="000000"/>
          <w:sz w:val="32"/>
        </w:rPr>
        <w:t>7、退耕还林补助项目绩效自评综述：根据年初设定的绩效目标，该项目绩效自评得分为90分。项目全年预算数为56.4万元，执行数为56.4万元，完成预算的100%。主要产出和效果：</w:t>
      </w:r>
      <w:r>
        <w:rPr>
          <w:rFonts w:hint="eastAsia" w:ascii="仿宋_GB2312" w:hAnsi="仿宋" w:eastAsia="仿宋_GB2312"/>
          <w:bCs/>
          <w:sz w:val="32"/>
          <w:szCs w:val="32"/>
        </w:rPr>
        <w:t>1.产出指标完成情况分析：（1）项目完成数量，三级指标中数量指标为2条，一类资金保障面积1860.8亩，二类资金保障面积63.6亩，已全部完成，完成率100%。（2）项目完成质量，</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年度自评工作，洛克乡退耕还草补助项目资金保障率100%，已全部验收合格，我单位严格按照年度预期设定目标，为保证退耕还草补助项目验收合格率的提高，项目资金发放及时，项目完成质量良好，完成率100%。（3）项目实施进度，</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 xml:space="preserve">2018年年度自评评价时，洛克乡退耕还草补助项目资金到帐及时率100%，资金拨付及时率100%。我单位严格按照前期制定的项目实施方案，为保证项目进度与资金支出进度相统一的原则，已全部及时发放，完成率100%。（4）项目成本节约情况， </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2018年，洛克乡退耕还草补助项目退耕还草补助标准一类亩均保障资金300元/亩，二类亩均保障资金90元/亩已全部按预算成本发放，无成本节约情况。2.效益指标完成情况分析：（1）项目实施的经济效益分析无 （2）项目实施的社会效益分析无（3）项目实施的生态效益分析通过本年度退耕还草补助项目资金的实施，植被覆盖面积持续增长。持续推进了集中连片特困地区脱贫致富，实现了经济社会生态可持续发展。（4）项目实施的可持续影响分析</w:t>
      </w:r>
    </w:p>
    <w:p>
      <w:pPr>
        <w:adjustRightInd w:val="0"/>
        <w:snapToGrid w:val="0"/>
        <w:spacing w:line="560" w:lineRule="exact"/>
      </w:pPr>
      <w:r>
        <w:rPr>
          <w:rFonts w:hint="eastAsia" w:ascii="仿宋_GB2312" w:hAnsi="仿宋" w:eastAsia="仿宋_GB2312"/>
          <w:bCs/>
          <w:sz w:val="32"/>
          <w:szCs w:val="32"/>
        </w:rPr>
        <w:t>通过本年度退耕还草补助项目资金的实施，可持续影响时间为1年。有效夯实基层基础有效提升，生态环境质量持续提升。3.满意度指标完成情况分析：按计划完成项目实施，已做满意度调查问卷，草场管护员满意度达95%，服务对象满意度指标完成。</w:t>
      </w:r>
      <w:r>
        <w:rPr>
          <w:rFonts w:ascii="仿宋_GB2312" w:hAnsi="仿宋_GB2312" w:eastAsia="仿宋_GB2312" w:cs="仿宋_GB2312"/>
          <w:color w:val="000000"/>
          <w:sz w:val="32"/>
        </w:rPr>
        <w:t>发现的问题及原因：宣传力度不够，对实施本项目的意义认识不到位下一步改进措施： 加大宣传力度，确保财政资金最大社会效益的发挥</w:t>
      </w:r>
    </w:p>
    <w:p>
      <w:pPr>
        <w:adjustRightInd w:val="0"/>
        <w:snapToGrid w:val="0"/>
        <w:spacing w:line="560" w:lineRule="exact"/>
        <w:ind w:firstLine="640" w:firstLineChars="200"/>
        <w:outlineLvl w:val="0"/>
      </w:pPr>
      <w:r>
        <w:rPr>
          <w:rFonts w:ascii="仿宋_GB2312" w:hAnsi="仿宋_GB2312" w:eastAsia="仿宋_GB2312" w:cs="仿宋_GB2312"/>
          <w:color w:val="000000"/>
          <w:sz w:val="32"/>
        </w:rPr>
        <w:t>8、邮递员补助项目绩效自评综述：根据年初设定的绩效目标，该项目绩效自评得分为89分。项目全年预算数为0.12万元，执行数为0.12万元，完成预算的100%。主要产出和效果：</w:t>
      </w:r>
      <w:r>
        <w:rPr>
          <w:rFonts w:hint="eastAsia" w:ascii="仿宋_GB2312" w:hAnsi="仿宋" w:eastAsia="仿宋_GB2312"/>
          <w:bCs/>
          <w:sz w:val="32"/>
          <w:szCs w:val="32"/>
        </w:rPr>
        <w:t>1.产出指标完成情况分析：（1）项目完成数量，</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2018年年度自评工作，洛克乡投递员补助项目共计保障投递员人数1人，已全部执行，完成年度设定的预期目标，完成率100%。（2）项目完成质量，</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年度自评工作，洛克乡投递员补助项目经费保障率100%，已全部覆盖，我单位严格按照年度预期设定目标，为保证投递员生活质量的提高，补助资金发放及时，覆盖范围全面，项目完成质量良好，完成率100%。（3）项目实施进度，</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年度自评评价时，洛克乡投递员补助项目资金到账及时率100%，资金拨付及时率100%。我单位严格按照前期制定的项目实施方案，为保证项目进度与资金支出进度相统一的原则，已全部及时发放，完成率100%。（4）项目成本节约情况，</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2018年，洛克乡投递员补助项目人均保障经费0.12万元/人/年，已全部按预算成本发放，无成本节约情况。2.效益指标完成情况分析：（1）项目实施的经济效益分析无 （2）项目实施的社会效益分析，通过本年度投递员补助项目的实施，有效提高了投递员生活水平和为民服务办事效率。加强了投递员的幸福感，也是对国家政策对待群众的服务水平产生较大提升。（3）项目实施的生态效益分析无（4）项目实施的可持续影响分析，通过本年度投递员补助项目资金的实施，明显改善夯实基层基础。3.满意度指标完成情况分析：按计划完成项目实施，已做满意度调查问卷， 群众满意度达98%，干部满意度达98%，服务对象满意度指标完成。</w:t>
      </w:r>
      <w:r>
        <w:rPr>
          <w:rFonts w:ascii="仿宋_GB2312" w:hAnsi="仿宋_GB2312" w:eastAsia="仿宋_GB2312" w:cs="仿宋_GB2312"/>
          <w:color w:val="000000"/>
          <w:sz w:val="32"/>
        </w:rPr>
        <w:t>发现的问题及原因：宣传力度不够，对专项补助的意义认识不高下一步改进措施： 加大宣传力度，确保财政资金最大社会效益的发挥</w:t>
      </w:r>
      <w:r>
        <w:rPr>
          <w:rFonts w:hint="eastAsia" w:ascii="仿宋_GB2312" w:hAnsi="仿宋_GB2312" w:eastAsia="仿宋_GB2312" w:cs="仿宋_GB2312"/>
          <w:color w:val="000000"/>
          <w:sz w:val="32"/>
        </w:rPr>
        <w:t>。</w:t>
      </w:r>
    </w:p>
    <w:p>
      <w:pPr>
        <w:adjustRightInd w:val="0"/>
        <w:snapToGrid w:val="0"/>
        <w:spacing w:line="560" w:lineRule="exact"/>
        <w:ind w:firstLine="640" w:firstLineChars="200"/>
        <w:rPr>
          <w:rFonts w:ascii="仿宋_GB2312" w:hAnsi="仿宋" w:eastAsia="仿宋_GB2312"/>
          <w:bCs/>
          <w:sz w:val="32"/>
          <w:szCs w:val="32"/>
        </w:rPr>
      </w:pPr>
      <w:r>
        <w:rPr>
          <w:rFonts w:ascii="仿宋_GB2312" w:hAnsi="仿宋_GB2312" w:eastAsia="仿宋_GB2312" w:cs="仿宋_GB2312"/>
          <w:color w:val="000000"/>
          <w:sz w:val="32"/>
        </w:rPr>
        <w:t>9、公益林管护人员项目绩效自评综述：根据年初设定的绩效目标，该项目绩效自评得分为93分。项目全年预算数为12.33万元，执行数为12.33万元，完成预算的100%。主要产出和效果：</w:t>
      </w:r>
      <w:r>
        <w:rPr>
          <w:rFonts w:hint="eastAsia" w:ascii="仿宋_GB2312" w:hAnsi="仿宋" w:eastAsia="仿宋_GB2312"/>
          <w:bCs/>
          <w:sz w:val="32"/>
          <w:szCs w:val="32"/>
        </w:rPr>
        <w:t>1.产出指标完成情况分析：（1）项目完成数量，三级指标中数量指标为2条，选聘公益林护林员人数37人， 补贴发放次数4次，已全部完成，完成率100%。（2）项目完成质量，选聘若干名公益林护林员对我县林地进行管护，公益林护林员选聘合格率≥99%,有效管理和维护我县的森林资源。（3）项目实施进度，公益林护林员项目资金拨付及时率100%，公益林护林员对我县林地进行管护，有效管理和维护我县的森林资源。按照申报目标的进度进行，严格把控资金的支出进度，按照年初制定的项目实施方案，按照项目实施的序时进度实施，</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补助资金已经发放完毕，项目已完成。（4）项目成本节约情况，公益林护林员希项目选聘工艺林护林员人数37人，护林员补助收入3332.43元/人/年，严格按照资金使用规定使用。2.效益指标完成情况分析：（1）项目实施的经济效益分析，公益林管护人员项目补贴的发放有效带动增加农民群众收入12.33万元。（2）项目实施的社会效益分析，公益林管护人员项目的实施安排人口就业37人，提高当地居民意识80%。（3）项目实施的生态效益分析：通过护林员工资的发放，提高我乡林业管理水平40%,生态护林工资进一步得到了发展，为打造绿水青山就是金山银山做出了一定贡献。（4）项目实施的可持续影响分析，生态护林员工资的发放，促进林业可持续发展的作用超过一年，提升了全乡农民群众爱护环境，保护生态环境的积极性，促进了全乡生态工作发展。3.满意度指标完成情况分析，按计划完成项目实施，已做满意度调查问卷，社会公众预期满意度达95%，服务对象满意度指标完成。</w:t>
      </w:r>
      <w:r>
        <w:rPr>
          <w:rFonts w:ascii="仿宋_GB2312" w:hAnsi="仿宋_GB2312" w:eastAsia="仿宋_GB2312" w:cs="仿宋_GB2312"/>
          <w:color w:val="000000"/>
          <w:sz w:val="32"/>
        </w:rPr>
        <w:t>发现的问题及原因：资金拨付进度缓慢，有未及时发放工资的情况下一步改进措施： 加快资金支付手续办理，及时拨付资金</w:t>
      </w:r>
    </w:p>
    <w:p>
      <w:pPr>
        <w:adjustRightInd w:val="0"/>
        <w:snapToGrid w:val="0"/>
        <w:spacing w:line="560" w:lineRule="exact"/>
        <w:ind w:firstLine="640" w:firstLineChars="200"/>
        <w:rPr>
          <w:rFonts w:ascii="仿宋_GB2312" w:hAnsi="仿宋_GB2312" w:eastAsia="仿宋_GB2312" w:cs="仿宋_GB2312"/>
          <w:color w:val="000000"/>
          <w:sz w:val="32"/>
        </w:rPr>
      </w:pPr>
      <w:r>
        <w:rPr>
          <w:rFonts w:ascii="仿宋_GB2312" w:hAnsi="仿宋_GB2312" w:eastAsia="仿宋_GB2312" w:cs="仿宋_GB2312"/>
          <w:color w:val="000000"/>
          <w:sz w:val="32"/>
        </w:rPr>
        <w:t>10、工作经费项目绩效自评综述：根据年初设定的绩效目标，该项目绩效自评得分为90分。项目全年预算数为409.63万元，执行数为409.63万元，完成预算的100%。主要产出和效果：</w:t>
      </w:r>
      <w:r>
        <w:rPr>
          <w:rFonts w:hint="eastAsia" w:ascii="仿宋_GB2312" w:hAnsi="仿宋" w:eastAsia="仿宋_GB2312"/>
          <w:bCs/>
          <w:sz w:val="32"/>
          <w:szCs w:val="32"/>
        </w:rPr>
        <w:t>1.产出指标完成情况分析：（1）项目完成数量三级指标中数量指标为1条，服务对象人数25811人，已全部完成，完成率100%。（2）项目完成质量，洛克乡2018年工作经费项目409.63万元，经费保障率100%,均用于工作人员开展想关工作。其中工作经费100万元，其他经费5万元，办公经费289.14万元，纪检办公经费6.44万元。（3）项目实施进度，按照申报目标的进度进行，资金到账及时率100%,资金拨付及时率100%,严格把控资金的支出进度，按照年初制定的项目实施方案，按照项目实施的序时进度实施，</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补助资金已经发放完毕，项目已完成。（4）项目成本节约情况，洛克乡2018年工作经费项目409.63万元，平均每人经费158.7元/人/年,均用于工作人员开展想关工作。其中工作经费100万元，其他经费5万元，办公经费289.14万元，纪检办公经费6.44万元，该项目资金严格按照资金使用规定使用。2.效益指标完成情况分析：（1）项目实施的经济效益分析无（2）项目实施的社会效益分析，洛克乡2018年工作经费项目，通过该项目的实施群众认同感明显提升。（3）项目实施的生态效益分析无（4）项目实施的可持续影响分析，洛克乡2018年工作经费项目经费保障年限1年，均用于工作人员开展想关工作。极大地夯实基层基础。3.满意度指标完成情况分析：按计划完成项目实施，已做满意度调查问卷，服务对象预期满意率达95%，服务对象满意度指标完成。</w:t>
      </w:r>
      <w:r>
        <w:rPr>
          <w:rFonts w:ascii="仿宋_GB2312" w:hAnsi="仿宋_GB2312" w:eastAsia="仿宋_GB2312" w:cs="仿宋_GB2312"/>
          <w:color w:val="000000"/>
          <w:sz w:val="32"/>
        </w:rPr>
        <w:t>发现的问题及原因：资金分散度太广,存在统计不够及时，支出不够及时的问题下一步改进措施： 加强全乡各部门之间的协调，及时形成支出，加强跟踪问效，确保财政资金效益最大化</w:t>
      </w:r>
      <w:r>
        <w:rPr>
          <w:rFonts w:hint="eastAsia" w:ascii="仿宋_GB2312" w:hAnsi="仿宋_GB2312" w:eastAsia="仿宋_GB2312" w:cs="仿宋_GB2312"/>
          <w:color w:val="000000"/>
          <w:sz w:val="32"/>
        </w:rPr>
        <w:t>。</w:t>
      </w:r>
    </w:p>
    <w:p>
      <w:pPr>
        <w:adjustRightInd w:val="0"/>
        <w:snapToGrid w:val="0"/>
        <w:spacing w:line="560" w:lineRule="exact"/>
        <w:ind w:firstLine="640" w:firstLineChars="200"/>
        <w:rPr>
          <w:rFonts w:ascii="仿宋_GB2312" w:hAnsi="仿宋" w:eastAsia="仿宋_GB2312"/>
          <w:bCs/>
          <w:sz w:val="32"/>
          <w:szCs w:val="32"/>
        </w:rPr>
      </w:pPr>
      <w:r>
        <w:rPr>
          <w:rFonts w:ascii="仿宋_GB2312" w:hAnsi="仿宋_GB2312" w:eastAsia="仿宋_GB2312" w:cs="仿宋_GB2312"/>
          <w:color w:val="000000"/>
          <w:sz w:val="32"/>
        </w:rPr>
        <w:t>11、扶贫工作经费项目绩效自评综述：根据年初设定的绩效目标，该项目绩效自评得分为88分。项目全年预算数为10万元，执行数为10万元，完成预算的100%。主要产出和效果：</w:t>
      </w:r>
      <w:r>
        <w:rPr>
          <w:rFonts w:hint="eastAsia" w:ascii="仿宋_GB2312" w:hAnsi="仿宋" w:eastAsia="仿宋_GB2312"/>
          <w:bCs/>
          <w:sz w:val="32"/>
          <w:szCs w:val="32"/>
        </w:rPr>
        <w:t>1.产出指标完成情况分析：（1）项目完成数量。数量指标1个，经费保障人数10人，已全部完成（2）项目完成质量，项目资金10万元，经费保障率100%,保证乡扶贫办10名领导干部日常工作正常开展，达到转款专用的效果，并且严格按照会计制度的要求支出。（3）项目实施进度，按照申报目标的进度进行，资金到账及时率100%,资金拨付及时率100%,严格把控资金的支出进度，按照年初制定的项目实施方案，按照项目实施的序时进度实施，</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2018年，补助资金已经发放完毕，项目已完成。（4）项目成本节约情况，扶贫工作经费10万元，人均经费1万元/人/年,按照申报目标的进度进行，严格把控资金的支出进度，按照年初制定的项目实施方案，</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经费拨付已经发放完毕，项目已完成。2.效益指标完成情况分析：（1）项目实施的经济效益分析无（2）项目实施的社会效益分析，通过扶贫工作经费项目的实施，有效提高为民办实事的效率保障了乡扶贫办的日常工作，提高为民服务办事效率,保证日常各项工作正常运转。</w:t>
      </w:r>
    </w:p>
    <w:p>
      <w:pPr>
        <w:adjustRightInd w:val="0"/>
        <w:snapToGrid w:val="0"/>
        <w:spacing w:line="560" w:lineRule="exact"/>
      </w:pPr>
      <w:r>
        <w:rPr>
          <w:rFonts w:hint="eastAsia" w:ascii="仿宋_GB2312" w:hAnsi="仿宋" w:eastAsia="仿宋_GB2312"/>
          <w:bCs/>
          <w:sz w:val="32"/>
          <w:szCs w:val="32"/>
        </w:rPr>
        <w:t>（3）项目实施的生态效益分析无（4）项目实施的可持续影响分析，项目实施期限为一年，通过一年的保障经费，有利于乡扶贫办长期开展扶贫工作。3.满意度指标完成情况分析：按计划完成项目实施，已做满意度调查问卷干部满意率达98%，服务对象满意度指标完成。</w:t>
      </w:r>
      <w:r>
        <w:rPr>
          <w:rFonts w:ascii="仿宋_GB2312" w:hAnsi="仿宋_GB2312" w:eastAsia="仿宋_GB2312" w:cs="仿宋_GB2312"/>
          <w:color w:val="000000"/>
          <w:sz w:val="32"/>
        </w:rPr>
        <w:t>发现的问题及原因：资金支付手续办理缓慢，报账不及时，经费使用拨付不够及时下一步改进措施： 加快资金支付手续办理，及时拨付资金</w:t>
      </w:r>
    </w:p>
    <w:p>
      <w:pPr>
        <w:adjustRightInd w:val="0"/>
        <w:snapToGrid w:val="0"/>
        <w:spacing w:line="560" w:lineRule="exact"/>
        <w:ind w:firstLine="640" w:firstLineChars="200"/>
      </w:pPr>
      <w:r>
        <w:rPr>
          <w:rFonts w:ascii="仿宋_GB2312" w:hAnsi="仿宋_GB2312" w:eastAsia="仿宋_GB2312" w:cs="仿宋_GB2312"/>
          <w:color w:val="000000"/>
          <w:sz w:val="32"/>
        </w:rPr>
        <w:t>12、防渗渠项目绩效自评综述：根据年初设定的绩效目标，该项目绩效自评得分为92分。项目全年预算数为47.78万元，执行数为47.78万元，完成预算的100%。主要产出和效果：</w:t>
      </w:r>
      <w:r>
        <w:rPr>
          <w:rFonts w:hint="eastAsia" w:ascii="仿宋_GB2312" w:hAnsi="仿宋" w:eastAsia="仿宋_GB2312"/>
          <w:bCs/>
          <w:sz w:val="32"/>
          <w:szCs w:val="32"/>
        </w:rPr>
        <w:t>1.产出指标完成情况分析：（1）项目完成数量三级指标中数量指标为1条，小型农田水利项目改建长度0.8公里，已全部完成，完成率100%。（2）项目完成质量该工程质量合格率100%,完成小型农田水利渠道改建0.8公里。年初预算为50万元，剩余2.22万元为质保金。（3）项目实施进度，按照申报目标的进度进行，资金发放及时率100%,资金拨付及时率100%,严格把控资金的支出进度，按照年初制定的项目实施方案，按照项目实施的序时进度实施，</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项目资金已经发放完毕，项目已完成。（4）项目成本节约情况，小型农田水利项目改建长度0.8公里，项目投资62.5万元/公里，该项目严格按照项目实施要求支付。2.效益指标完成情况分析：（1）项目实施的经济效益分析，小型农田水利项目使得农作物增产增收明显提高，该项目的实施，对农民生产生活提供了便利。（2）项目实施的社会效益分析，小型农田水利项目改善贫困人口灌溉用水条件1.2万人，该项目的实施使贫困人口灌溉用水条件有效改善（3）项目实施的生态效益分析，小型农田水利项目的实施使节约灌溉用水情况持续改善。（4）项目实施的可持续影响分析，小型农田水利项目工程使用年限20年。3.满意度指标完成情况分析：按计划完成项目实施，已做满意度调查问卷，受益群众预期值95%，实施后满意度达98%，服务对象满意度指标完成。</w:t>
      </w:r>
      <w:r>
        <w:rPr>
          <w:rFonts w:ascii="仿宋_GB2312" w:hAnsi="仿宋_GB2312" w:eastAsia="仿宋_GB2312" w:cs="仿宋_GB2312"/>
          <w:color w:val="000000"/>
          <w:sz w:val="32"/>
        </w:rPr>
        <w:t>发现的问题及原因：项目推进较慢，主要是项目前期准备工作不够充分。下一步改进措施： 加快项目前期准备，提高项目进度</w:t>
      </w:r>
    </w:p>
    <w:p>
      <w:pPr>
        <w:widowControl/>
        <w:spacing w:line="560" w:lineRule="exact"/>
        <w:ind w:firstLine="640" w:firstLineChars="200"/>
        <w:jc w:val="left"/>
        <w:rPr>
          <w:rFonts w:ascii="仿宋_GB2312" w:hAnsi="仿宋" w:eastAsia="仿宋_GB2312"/>
          <w:bCs/>
          <w:sz w:val="32"/>
          <w:szCs w:val="32"/>
        </w:rPr>
      </w:pPr>
      <w:r>
        <w:rPr>
          <w:rFonts w:ascii="仿宋_GB2312" w:hAnsi="仿宋_GB2312" w:eastAsia="仿宋_GB2312" w:cs="仿宋_GB2312"/>
          <w:color w:val="000000"/>
          <w:sz w:val="32"/>
        </w:rPr>
        <w:t>13、组织部经费项目绩效自评综述：根据年初设定的绩效目标，该项目绩效自评得分为93分。项目全年预算数为519.02万元，执行数为519.02万元，完成预算的100%。主要产出和效果：</w:t>
      </w:r>
      <w:r>
        <w:rPr>
          <w:rFonts w:hint="eastAsia" w:ascii="仿宋_GB2312" w:hAnsi="仿宋" w:eastAsia="仿宋_GB2312"/>
          <w:bCs/>
          <w:sz w:val="32"/>
          <w:szCs w:val="32"/>
        </w:rPr>
        <w:t>1.产出指标完成情况分析：（1）项目完成数量，三级指标中数量指标为8条，“新担当新作为”表彰人数33人1工作人员数94人，补助保障人数534人，三老人员补助保障人数41人，村干部报酬补助保障人数89人，小队长工资补助保障人数52人，基层、绩效补贴补助保障人数347人，后备干部培训保障人数25人，已全部完成，完成率100%。（2）项目完成质量项目资金519.02万元，资金保障率100%,将人员经费按时发放至个人，保证干部群众的积极性。（3）项目实施进度，按照申报目标的进度进行，资金发放及时率100%，严格把控资金的支出进度，按照年初制定的项目实施方案，按照项目实施的序时进度实施，</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补助资金已经发放完毕，项目已完成。（4）项目成本节约情况，项目资金519.02万元，“新担当新作为”表彰人数1000元/人，工作人员10900元/人，补助保障200元/人，三老人员补助保障6861元/人，村干部报酬补助保障21943元/人，小队长工资补助保障12000元/人，基层、绩效补贴补助保障2689元/人，后备干部培训保障735元/人，已全部完成，完成率100%。将人员经费按时发放至个人，严格按照补贴标准发放补贴。2.效益指标完成情况分析：（1）项目实施的经济效益分析，该项目对洛克乡减少地方财政支出519.02万元，整体社会服务能力提升起到了很好效果。（2）项目实施的社会效益分析，项目资金519.02万元，该资金的发放提高了干部为民服务办事效率。（3）项目实施的生态效益分析无（4）项目实施的可持续影响分析，按计划完成项目实施，通过项目实施夯实基层基础明显改善持续性提升，达到了预期效果</w:t>
      </w:r>
    </w:p>
    <w:p>
      <w:pPr>
        <w:widowControl/>
        <w:spacing w:line="560" w:lineRule="exact"/>
        <w:jc w:val="left"/>
      </w:pPr>
      <w:r>
        <w:rPr>
          <w:rFonts w:hint="eastAsia" w:ascii="仿宋_GB2312" w:hAnsi="仿宋" w:eastAsia="仿宋_GB2312"/>
          <w:bCs/>
          <w:sz w:val="32"/>
          <w:szCs w:val="32"/>
        </w:rPr>
        <w:t>。3.满意度指标完成情况分析：按计划完成项目实施，已做满意度调查问卷，干部满意率达95%，群众满意度达95%，服务对象满意度指标完成。</w:t>
      </w:r>
      <w:r>
        <w:rPr>
          <w:rFonts w:ascii="仿宋_GB2312" w:hAnsi="仿宋_GB2312" w:eastAsia="仿宋_GB2312" w:cs="仿宋_GB2312"/>
          <w:color w:val="000000"/>
          <w:sz w:val="32"/>
        </w:rPr>
        <w:t>发现的问题及原因：村级申报资金不及时，不能按时按要求提供上报信息数据。下一步改进措施： 提高村级申报资金的准确性和及时性。</w:t>
      </w:r>
    </w:p>
    <w:p>
      <w:pPr>
        <w:adjustRightInd w:val="0"/>
        <w:snapToGrid w:val="0"/>
        <w:spacing w:line="560" w:lineRule="exact"/>
        <w:ind w:firstLine="640" w:firstLineChars="200"/>
      </w:pPr>
      <w:r>
        <w:rPr>
          <w:rFonts w:ascii="仿宋_GB2312" w:hAnsi="仿宋_GB2312" w:eastAsia="仿宋_GB2312" w:cs="仿宋_GB2312"/>
          <w:color w:val="000000"/>
          <w:sz w:val="32"/>
        </w:rPr>
        <w:t>14、民政资金项目绩效自评综述：根据年初设定的绩效目标，该项目绩效自评得分为91分。项目全年预算数为1,547.37万元，执行数为1,547.37万元，完成预算的100%。主要产出和效果：</w:t>
      </w:r>
      <w:r>
        <w:rPr>
          <w:rFonts w:hint="eastAsia" w:ascii="仿宋_GB2312" w:hAnsi="仿宋" w:eastAsia="仿宋_GB2312"/>
          <w:bCs/>
          <w:sz w:val="32"/>
          <w:szCs w:val="32"/>
        </w:rPr>
        <w:t>1.产出指标完成情况分析：（1）项目完成数量，三级指标中数量指标为6条，农村低保人数7550人，城市低保人数34人，临时救助人员人数3200人，残疾人员人数421人，80岁以上老人人数91人，医疗补助人数14277人，已全部完成，完成率100%。（2）项目完成质量，资金保障率100%</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年度自评工作，洛克乡民政资金补助项目资金保障率100%，已全部覆盖，我单位严格按照年度预期设定目标，为保证困难群众的生活质量的提高，补助资金发放及时，覆盖范围全面，项目完成质量良好，完成率100%。（3）项目实施进度，</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 xml:space="preserve">2018年年度自评评价时，资金拨付及时率100%,我单位严格按照前期制定的项目实施方案，为保证项目进度与资金支出进度相统一的原则,项目资金已全部及时发放，完成率100%。（4）项目成本节约情况 </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农村低保1193元/人，城市低保1464元/人，临时救助人员792元/人，残疾人员1404元/人，80岁以上老人41元/人，医疗补助人数230元/人，已全部完成，完成率100%。洛克乡组织部人员补助项目补助已全部按预算成本发放，无成本节约情况。2.效益指标完成情况分析：（1）项目实施的经济效益分析民政资金项目的发放，持续增加农民家庭收入，为农民发展生产力提供动力，提高群众收入，提高了城乡困难人员的生活质量。（2）项目实施的社会效益分析通过本年度民政资金项目的实施，逐年改善并提高群众生活水平。加强了城乡困难人员的幸福感，也是对国家政策对待群众的服务水平产生较大提升。（3）项目实施的生态效益分析无（4）项目实施的可持续影响分析，民政项目资金2018年持续发放，资金保障年限1年，为乡村振兴战略的实现以及打赢脱贫攻坚战奠定了基础。3.满意度指标完成情况分析：按计划完成项目实施，已做满意度调查问卷，群众预期满意率达95%，服务对象满意度指标完成。</w:t>
      </w:r>
      <w:r>
        <w:rPr>
          <w:rFonts w:ascii="仿宋_GB2312" w:hAnsi="仿宋_GB2312" w:eastAsia="仿宋_GB2312" w:cs="仿宋_GB2312"/>
          <w:color w:val="000000"/>
          <w:sz w:val="32"/>
        </w:rPr>
        <w:t>发现的问题及原因：村级申报资金不及时，不能按时按要求提供上报信息数据。下一步改进措施： 提高村级申报资金的准确性和及时性。</w:t>
      </w:r>
    </w:p>
    <w:p>
      <w:pPr>
        <w:spacing w:line="560" w:lineRule="exact"/>
        <w:ind w:firstLine="640" w:firstLineChars="200"/>
      </w:pPr>
      <w:r>
        <w:rPr>
          <w:rFonts w:ascii="仿宋_GB2312" w:hAnsi="仿宋_GB2312" w:eastAsia="仿宋_GB2312" w:cs="仿宋_GB2312"/>
          <w:color w:val="000000"/>
          <w:sz w:val="32"/>
        </w:rPr>
        <w:t>15、爱国人士补助项目绩效自评综述：根据年初设定的绩效目标，该项目绩效自评得分为92分。项目全年预算数为2.92万元，执行数为2.92万元，完成预算的100%。主要产出和效果：</w:t>
      </w:r>
      <w:r>
        <w:rPr>
          <w:rFonts w:hint="eastAsia" w:ascii="仿宋_GB2312" w:hAnsi="仿宋" w:eastAsia="仿宋_GB2312"/>
          <w:bCs/>
          <w:sz w:val="32"/>
          <w:szCs w:val="32"/>
        </w:rPr>
        <w:t>1.产出指标完成情况分析 ：（1）项目完成数量三级指标中数量指标为2条,全乡爱国人士人数33人，发放次数2次，已全部完成，完成率100%。（2）项目完成质量爱国人士补助项目资金2.92万，资金到位保障率100%该补贴发放到具体人，该补助的发放在一定程度上提高了人士的收入，让广大人士感受到了党和政府的关怀，增强爱国人士的爱国爱党意识，充分调动爱国人士的积极性，发挥其在维护祖国统一的作用。（3）项目实施进度按照申报目标的进度进行，资金及时拨付率100%,严格把控资金的支出进度，按照年初制定的项目实施方案，按照项目实施的序时进度实施，</w:t>
      </w:r>
      <w:r>
        <w:rPr>
          <w:rFonts w:hint="eastAsia" w:ascii="仿宋_GB2312" w:hAnsi="仿宋" w:eastAsia="仿宋_GB2312"/>
          <w:bCs/>
          <w:sz w:val="32"/>
          <w:szCs w:val="32"/>
          <w:lang w:eastAsia="zh-CN"/>
        </w:rPr>
        <w:t>截至</w:t>
      </w:r>
      <w:r>
        <w:rPr>
          <w:rFonts w:hint="eastAsia" w:ascii="仿宋_GB2312" w:hAnsi="仿宋" w:eastAsia="仿宋_GB2312"/>
          <w:bCs/>
          <w:sz w:val="32"/>
          <w:szCs w:val="32"/>
        </w:rPr>
        <w:t>2018年，补助资金已经发放完毕，项目已完成。（4）项目成本节约情况爱国人士补助项目资金2.92万，补助标准430元/月/人,该补贴发放到具体人，该补助的发放在一定程度上提高了人士的收入，让广大人士感受到了党和政府的关怀，发挥了资金效益。2.效益指标完成情况分析：（1）项目实施的经济效益分析，爱国人士补贴每人每月430元，共33人收益，增加了爱国人士收入，为打赢脱贫攻坚战提供动力。（2）项目实施的社会效益分析，爱国人士补助的发放在一定程度上提高了人士的收入，加强工作管理，确保工作发展,充分调动爱国人士的积极性，发挥其在维护祖国统一的作用。（3）项目实施的生态效益分析无（4）项目实施的可持续影响分析，该项目的实施发挥作用的可持续1年，加大保障力度，提高保障水平。3.满意度指标完成情况分析：按计划完成项目实施，已做满意度调查问卷，服务对象满意率达98%，服务对象满意度指标完成。</w:t>
      </w:r>
      <w:r>
        <w:rPr>
          <w:rFonts w:ascii="仿宋_GB2312" w:hAnsi="仿宋_GB2312" w:eastAsia="仿宋_GB2312" w:cs="仿宋_GB2312"/>
          <w:color w:val="000000"/>
          <w:sz w:val="32"/>
        </w:rPr>
        <w:t>发现的问题及原因：爱国人士的学习不够深入。下一步改进措施：加强爱国人士的培训力度，对其进行定期考核，对考核不合格的爱国人士予以辞退处理。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640" w:firstLineChars="200"/>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60" w:lineRule="exact"/>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6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w:t>
      </w:r>
      <w:r>
        <w:rPr>
          <w:rFonts w:hint="eastAsia" w:ascii="仿宋_GB2312" w:eastAsia="仿宋_GB2312"/>
          <w:sz w:val="32"/>
          <w:szCs w:val="32"/>
          <w:lang w:eastAsia="zh-CN"/>
        </w:rPr>
        <w:t>出国（境）</w:t>
      </w:r>
      <w:r>
        <w:rPr>
          <w:rFonts w:hint="eastAsia" w:ascii="仿宋_GB2312" w:eastAsia="仿宋_GB2312"/>
          <w:sz w:val="32"/>
          <w:szCs w:val="32"/>
        </w:rPr>
        <w:t>费、公务用车购置及运行费和公务接待费。其中，因公</w:t>
      </w:r>
      <w:r>
        <w:rPr>
          <w:rFonts w:hint="eastAsia" w:ascii="仿宋_GB2312" w:eastAsia="仿宋_GB2312"/>
          <w:sz w:val="32"/>
          <w:szCs w:val="32"/>
          <w:lang w:eastAsia="zh-CN"/>
        </w:rPr>
        <w:t>出国（境）</w:t>
      </w:r>
      <w:r>
        <w:rPr>
          <w:rFonts w:hint="eastAsia" w:ascii="仿宋_GB2312" w:eastAsia="仿宋_GB2312"/>
          <w:sz w:val="32"/>
          <w:szCs w:val="32"/>
        </w:rPr>
        <w:t>费反映单位公务</w:t>
      </w:r>
      <w:r>
        <w:rPr>
          <w:rFonts w:hint="eastAsia" w:ascii="仿宋_GB2312" w:eastAsia="仿宋_GB2312"/>
          <w:sz w:val="32"/>
          <w:szCs w:val="32"/>
          <w:lang w:eastAsia="zh-CN"/>
        </w:rPr>
        <w:t>出国（境）</w:t>
      </w:r>
      <w:r>
        <w:rPr>
          <w:rFonts w:hint="eastAsia" w:ascii="仿宋_GB2312" w:eastAsia="仿宋_GB2312"/>
          <w:sz w:val="32"/>
          <w:szCs w:val="32"/>
        </w:rPr>
        <w:t>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01（款）99（项）指：其他保障性安居工程支出。201（类）10（款）50（项）指：事业运行。211（类）04（款）02（项）指：农村生态。213（类）03（款）16（项）指：农田水利。208（类）99（款）01（项）指：其他社会保障和就业支出。213（类）01（款）35（项）指：农业资源保护修复与利用。208（类）05（款）05（项）指：机关事业单位基本养老保险缴费支出。201（类）03（款）02（项）指：一般行政管理事务。201（类）06（款）01（项）指：行政运行。229（类）60（款）10（项）指：用于文化事业的彩票公益金支出。208（类）10（款）02（项）指：老年福利。201（类）32（款）99（项）指：其他组织事务支出。229（类）99（款）01（项）指：其他支出。201（类）03（款）01（项）指：行政运行。201（类）34（款）99（项）指：其他统战事务支出。213（类）02（款）04（项）指：林业事业机构。213（类）05（款）02（项）指：一般行政管理事务。213（类）01（款）04（项）指：事业运行。210（类）13（款）01（项）指：城乡。213（类）05（款）05（项）指：生产发展。213（类）02（款）09（项）指：森林生态效益补偿。211（类）06（款）99（项）指：其他退耕还林支出。221（类）02（款）01（项）指：住房公积金。213（类）05（款）04（项）指：农村基础设施建设。208（类）19（款）02（项）指：农村最低生活保障金支出。208（类）11（款）07（项）指：残疾人生活和护理补贴。204（类）06（款）01（项）指：行政运行。208（类）19（款）01（项）指：城市最低生活保障金支出。229（类）60（款）03（项）指：用于体育事业的彩票公益金支出。214（类）05（款）99（项）指：其他邮政业支出。208（类）10（款）99（项）指：其他社会福利支出。208（类）20（款）01（项）指：临时补助支出。220（类）01（款）01（项）指：行政运行。201（类）31（款）01（项）指：行政运行。201（类）31（款）02（项）指：一般行政管理事务。207（类）03（款）08（项）指：群众体育。207（类）04（款）04（项）指：广播。201（类）32（款）02（项）指：一般行政管理事务。207（类）01（款）09（项）指：群众文化。201（类）03（款）99（项）指：其他政府办公厅（室）及相关机构事务支出。</w:t>
      </w:r>
    </w:p>
    <w:p>
      <w:pPr>
        <w:spacing w:line="56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60" w:lineRule="exact"/>
        <w:ind w:firstLine="643" w:firstLineChars="200"/>
        <w:rPr>
          <w:rFonts w:ascii="仿宋_GB2312" w:eastAsia="仿宋_GB2312"/>
          <w:b/>
          <w:sz w:val="32"/>
          <w:szCs w:val="32"/>
        </w:rPr>
      </w:pPr>
    </w:p>
    <w:p>
      <w:pPr>
        <w:spacing w:line="560" w:lineRule="exact"/>
        <w:ind w:firstLine="640" w:firstLineChars="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60" w:lineRule="exact"/>
        <w:ind w:firstLine="640" w:firstLineChars="200"/>
        <w:rPr>
          <w:rFonts w:ascii="仿宋_GB2312" w:eastAsia="仿宋_GB2312"/>
          <w:sz w:val="32"/>
          <w:szCs w:val="32"/>
        </w:rPr>
        <w:sectPr>
          <w:footerReference r:id="rId3" w:type="default"/>
          <w:footerReference r:id="rId4" w:type="even"/>
          <w:pgSz w:w="11906" w:h="16838"/>
          <w:pgMar w:top="1418" w:right="1418" w:bottom="1418" w:left="1418"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60" w:lineRule="exact"/>
        <w:ind w:firstLine="640" w:firstLineChars="200"/>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- 23 -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95288"/>
    <w:rsid w:val="000A2EE8"/>
    <w:rsid w:val="000A3870"/>
    <w:rsid w:val="000A497E"/>
    <w:rsid w:val="000A7773"/>
    <w:rsid w:val="000B08C5"/>
    <w:rsid w:val="000B206D"/>
    <w:rsid w:val="000B2C8D"/>
    <w:rsid w:val="000B6AD4"/>
    <w:rsid w:val="000B6C14"/>
    <w:rsid w:val="000B7C75"/>
    <w:rsid w:val="000C1474"/>
    <w:rsid w:val="000D08E2"/>
    <w:rsid w:val="000D21F9"/>
    <w:rsid w:val="000E0AB3"/>
    <w:rsid w:val="000E21E6"/>
    <w:rsid w:val="000E65F1"/>
    <w:rsid w:val="000E73E7"/>
    <w:rsid w:val="000E75AE"/>
    <w:rsid w:val="0010072E"/>
    <w:rsid w:val="001012CB"/>
    <w:rsid w:val="00101D4F"/>
    <w:rsid w:val="0010481F"/>
    <w:rsid w:val="001128DE"/>
    <w:rsid w:val="00113241"/>
    <w:rsid w:val="0012066C"/>
    <w:rsid w:val="0012106A"/>
    <w:rsid w:val="00123283"/>
    <w:rsid w:val="00124713"/>
    <w:rsid w:val="00124A31"/>
    <w:rsid w:val="00124B40"/>
    <w:rsid w:val="00133488"/>
    <w:rsid w:val="00133516"/>
    <w:rsid w:val="00137B91"/>
    <w:rsid w:val="00142400"/>
    <w:rsid w:val="00150BEF"/>
    <w:rsid w:val="00151A95"/>
    <w:rsid w:val="00157F86"/>
    <w:rsid w:val="001622C6"/>
    <w:rsid w:val="00164EBC"/>
    <w:rsid w:val="001669CC"/>
    <w:rsid w:val="00166DAB"/>
    <w:rsid w:val="00166E4B"/>
    <w:rsid w:val="00167DB8"/>
    <w:rsid w:val="00170C1A"/>
    <w:rsid w:val="00171B68"/>
    <w:rsid w:val="00173DD7"/>
    <w:rsid w:val="00177527"/>
    <w:rsid w:val="00184AA3"/>
    <w:rsid w:val="0019084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2E18"/>
    <w:rsid w:val="0032647C"/>
    <w:rsid w:val="00326734"/>
    <w:rsid w:val="0033566D"/>
    <w:rsid w:val="003441F7"/>
    <w:rsid w:val="00344D62"/>
    <w:rsid w:val="00345984"/>
    <w:rsid w:val="003603B9"/>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147E"/>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6121"/>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A69FF"/>
    <w:rsid w:val="005B3245"/>
    <w:rsid w:val="005B6754"/>
    <w:rsid w:val="005B75C0"/>
    <w:rsid w:val="005C3143"/>
    <w:rsid w:val="005C75E7"/>
    <w:rsid w:val="005D311B"/>
    <w:rsid w:val="005D61D8"/>
    <w:rsid w:val="005E3B86"/>
    <w:rsid w:val="005E4E6B"/>
    <w:rsid w:val="005E6995"/>
    <w:rsid w:val="005E7C64"/>
    <w:rsid w:val="005F24DB"/>
    <w:rsid w:val="005F2A5A"/>
    <w:rsid w:val="005F2AEA"/>
    <w:rsid w:val="005F4FFE"/>
    <w:rsid w:val="00602C6F"/>
    <w:rsid w:val="00604ECA"/>
    <w:rsid w:val="006069FD"/>
    <w:rsid w:val="00610EE1"/>
    <w:rsid w:val="006118BD"/>
    <w:rsid w:val="006124E5"/>
    <w:rsid w:val="0061632B"/>
    <w:rsid w:val="006168AD"/>
    <w:rsid w:val="00621929"/>
    <w:rsid w:val="0062266C"/>
    <w:rsid w:val="006250CB"/>
    <w:rsid w:val="00627F36"/>
    <w:rsid w:val="006304D1"/>
    <w:rsid w:val="00631DA8"/>
    <w:rsid w:val="0063431E"/>
    <w:rsid w:val="00641134"/>
    <w:rsid w:val="00645C30"/>
    <w:rsid w:val="0065497B"/>
    <w:rsid w:val="00654E41"/>
    <w:rsid w:val="0067149A"/>
    <w:rsid w:val="0069278A"/>
    <w:rsid w:val="006A1C84"/>
    <w:rsid w:val="006A745B"/>
    <w:rsid w:val="006A78F4"/>
    <w:rsid w:val="006B0F85"/>
    <w:rsid w:val="006B3FBC"/>
    <w:rsid w:val="006B4B06"/>
    <w:rsid w:val="006B4D0D"/>
    <w:rsid w:val="006B60E5"/>
    <w:rsid w:val="006B636C"/>
    <w:rsid w:val="006C1DED"/>
    <w:rsid w:val="006C3692"/>
    <w:rsid w:val="006D0B78"/>
    <w:rsid w:val="006D45B7"/>
    <w:rsid w:val="006D62B0"/>
    <w:rsid w:val="006D75DE"/>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417"/>
    <w:rsid w:val="007A2C71"/>
    <w:rsid w:val="007A2FBD"/>
    <w:rsid w:val="007A6743"/>
    <w:rsid w:val="007B1E23"/>
    <w:rsid w:val="007B2E9D"/>
    <w:rsid w:val="007B4447"/>
    <w:rsid w:val="007C0F24"/>
    <w:rsid w:val="007C1415"/>
    <w:rsid w:val="007C2670"/>
    <w:rsid w:val="007C2E4F"/>
    <w:rsid w:val="007C505B"/>
    <w:rsid w:val="007C5E7D"/>
    <w:rsid w:val="007C7E2E"/>
    <w:rsid w:val="007D1630"/>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6F27"/>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4800"/>
    <w:rsid w:val="00A970D1"/>
    <w:rsid w:val="00AA57AE"/>
    <w:rsid w:val="00AB0AFB"/>
    <w:rsid w:val="00AC002C"/>
    <w:rsid w:val="00AC1DD9"/>
    <w:rsid w:val="00AC4218"/>
    <w:rsid w:val="00AD3489"/>
    <w:rsid w:val="00AD3E2D"/>
    <w:rsid w:val="00AD51DD"/>
    <w:rsid w:val="00AD7796"/>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45F38"/>
    <w:rsid w:val="00C61A9B"/>
    <w:rsid w:val="00C657F3"/>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16435"/>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25C1"/>
    <w:rsid w:val="00EB380F"/>
    <w:rsid w:val="00EB3823"/>
    <w:rsid w:val="00EC5A7D"/>
    <w:rsid w:val="00EC7099"/>
    <w:rsid w:val="00ED5E90"/>
    <w:rsid w:val="00ED60E2"/>
    <w:rsid w:val="00EE0A13"/>
    <w:rsid w:val="00EE25BD"/>
    <w:rsid w:val="00EE2897"/>
    <w:rsid w:val="00EF31D5"/>
    <w:rsid w:val="00EF7FDA"/>
    <w:rsid w:val="00F01612"/>
    <w:rsid w:val="00F04B17"/>
    <w:rsid w:val="00F113F4"/>
    <w:rsid w:val="00F13479"/>
    <w:rsid w:val="00F14CE8"/>
    <w:rsid w:val="00F1625A"/>
    <w:rsid w:val="00F17C93"/>
    <w:rsid w:val="00F36FDD"/>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07C4"/>
    <w:rsid w:val="00FC2776"/>
    <w:rsid w:val="00FC29A0"/>
    <w:rsid w:val="00FC6C17"/>
    <w:rsid w:val="00FD5781"/>
    <w:rsid w:val="00FE121A"/>
    <w:rsid w:val="00FE4438"/>
    <w:rsid w:val="00FE48DB"/>
    <w:rsid w:val="00FF3620"/>
    <w:rsid w:val="00FF3A84"/>
    <w:rsid w:val="01110239"/>
    <w:rsid w:val="028847F9"/>
    <w:rsid w:val="03AA79F6"/>
    <w:rsid w:val="04741FE5"/>
    <w:rsid w:val="04DB02C7"/>
    <w:rsid w:val="06B856EE"/>
    <w:rsid w:val="074B5FEF"/>
    <w:rsid w:val="07FE5938"/>
    <w:rsid w:val="084604BC"/>
    <w:rsid w:val="08883825"/>
    <w:rsid w:val="09725983"/>
    <w:rsid w:val="0A382BB5"/>
    <w:rsid w:val="0AA4543A"/>
    <w:rsid w:val="0BE61132"/>
    <w:rsid w:val="0C4A124C"/>
    <w:rsid w:val="0C9B0DD6"/>
    <w:rsid w:val="0CE4791C"/>
    <w:rsid w:val="0D20379E"/>
    <w:rsid w:val="0E063C64"/>
    <w:rsid w:val="0F4C7B96"/>
    <w:rsid w:val="0FFB575E"/>
    <w:rsid w:val="10845F1B"/>
    <w:rsid w:val="11463A00"/>
    <w:rsid w:val="11600918"/>
    <w:rsid w:val="11B0398F"/>
    <w:rsid w:val="12DE305C"/>
    <w:rsid w:val="13B960C5"/>
    <w:rsid w:val="152777F4"/>
    <w:rsid w:val="15C674B6"/>
    <w:rsid w:val="18D54A0D"/>
    <w:rsid w:val="1A4106A0"/>
    <w:rsid w:val="1A4F5437"/>
    <w:rsid w:val="1AB77CD0"/>
    <w:rsid w:val="1AF7312F"/>
    <w:rsid w:val="1D2D7B02"/>
    <w:rsid w:val="1DA245A7"/>
    <w:rsid w:val="1E807156"/>
    <w:rsid w:val="1EA657F6"/>
    <w:rsid w:val="1F097CB6"/>
    <w:rsid w:val="1FFE2708"/>
    <w:rsid w:val="20410686"/>
    <w:rsid w:val="2166156B"/>
    <w:rsid w:val="21B02D83"/>
    <w:rsid w:val="22A236F5"/>
    <w:rsid w:val="23995975"/>
    <w:rsid w:val="2432220E"/>
    <w:rsid w:val="248303BA"/>
    <w:rsid w:val="24837E47"/>
    <w:rsid w:val="252E01AA"/>
    <w:rsid w:val="2680023E"/>
    <w:rsid w:val="26CF575F"/>
    <w:rsid w:val="272F69EE"/>
    <w:rsid w:val="29680352"/>
    <w:rsid w:val="2A020F75"/>
    <w:rsid w:val="2B007AEE"/>
    <w:rsid w:val="2B212167"/>
    <w:rsid w:val="2BC14C56"/>
    <w:rsid w:val="2C1B026F"/>
    <w:rsid w:val="2CC61F55"/>
    <w:rsid w:val="2EF7452F"/>
    <w:rsid w:val="2F1D13B4"/>
    <w:rsid w:val="2FAA3DA6"/>
    <w:rsid w:val="30682E1F"/>
    <w:rsid w:val="30E210D2"/>
    <w:rsid w:val="311371D6"/>
    <w:rsid w:val="31EB64C9"/>
    <w:rsid w:val="336D0D6F"/>
    <w:rsid w:val="352E4BEC"/>
    <w:rsid w:val="360329C0"/>
    <w:rsid w:val="37DD5594"/>
    <w:rsid w:val="38F24FA8"/>
    <w:rsid w:val="3A98342A"/>
    <w:rsid w:val="3AB6780E"/>
    <w:rsid w:val="3AD56D70"/>
    <w:rsid w:val="3B2920C2"/>
    <w:rsid w:val="3BE41ABD"/>
    <w:rsid w:val="3BF07C96"/>
    <w:rsid w:val="3C5421A9"/>
    <w:rsid w:val="3D903B21"/>
    <w:rsid w:val="3F440741"/>
    <w:rsid w:val="41FC306C"/>
    <w:rsid w:val="44BE5554"/>
    <w:rsid w:val="451E0908"/>
    <w:rsid w:val="452C2D31"/>
    <w:rsid w:val="45D26E14"/>
    <w:rsid w:val="46A541B1"/>
    <w:rsid w:val="48C57772"/>
    <w:rsid w:val="49782886"/>
    <w:rsid w:val="49F34214"/>
    <w:rsid w:val="4A6F0D28"/>
    <w:rsid w:val="4AAF085C"/>
    <w:rsid w:val="4AEB7E60"/>
    <w:rsid w:val="4B4B135B"/>
    <w:rsid w:val="4BA34122"/>
    <w:rsid w:val="4BC7055F"/>
    <w:rsid w:val="4CFC7DB2"/>
    <w:rsid w:val="4E7C187D"/>
    <w:rsid w:val="4F424BFE"/>
    <w:rsid w:val="508941AD"/>
    <w:rsid w:val="50E65530"/>
    <w:rsid w:val="51457139"/>
    <w:rsid w:val="51574DBD"/>
    <w:rsid w:val="51EC1DA8"/>
    <w:rsid w:val="52FC5524"/>
    <w:rsid w:val="532D7A17"/>
    <w:rsid w:val="54AF4562"/>
    <w:rsid w:val="54C9674B"/>
    <w:rsid w:val="556318EA"/>
    <w:rsid w:val="55A60AA1"/>
    <w:rsid w:val="55E603C5"/>
    <w:rsid w:val="56451615"/>
    <w:rsid w:val="57FC5774"/>
    <w:rsid w:val="59B332C9"/>
    <w:rsid w:val="59E97E09"/>
    <w:rsid w:val="5A44758A"/>
    <w:rsid w:val="5BEC4BB3"/>
    <w:rsid w:val="5C070B55"/>
    <w:rsid w:val="5CB96DCE"/>
    <w:rsid w:val="5CE61580"/>
    <w:rsid w:val="5D175666"/>
    <w:rsid w:val="5D556A3C"/>
    <w:rsid w:val="5D7B25C9"/>
    <w:rsid w:val="5D8448C8"/>
    <w:rsid w:val="5ECB44B4"/>
    <w:rsid w:val="5EE2043C"/>
    <w:rsid w:val="5FFA32C0"/>
    <w:rsid w:val="602D2E37"/>
    <w:rsid w:val="61460FBE"/>
    <w:rsid w:val="62775810"/>
    <w:rsid w:val="62BE3072"/>
    <w:rsid w:val="62D83744"/>
    <w:rsid w:val="630F4048"/>
    <w:rsid w:val="63AA02E5"/>
    <w:rsid w:val="64700DE9"/>
    <w:rsid w:val="65C613BD"/>
    <w:rsid w:val="65FD118C"/>
    <w:rsid w:val="682C3D89"/>
    <w:rsid w:val="68611305"/>
    <w:rsid w:val="6A162DE0"/>
    <w:rsid w:val="6A331428"/>
    <w:rsid w:val="6B2E5CB6"/>
    <w:rsid w:val="6B386A0F"/>
    <w:rsid w:val="6B3D4886"/>
    <w:rsid w:val="6BEB579C"/>
    <w:rsid w:val="6CB4499E"/>
    <w:rsid w:val="6DF8675E"/>
    <w:rsid w:val="6EA80098"/>
    <w:rsid w:val="6F8D70FF"/>
    <w:rsid w:val="6FFE5011"/>
    <w:rsid w:val="7178734D"/>
    <w:rsid w:val="71791096"/>
    <w:rsid w:val="717B0C34"/>
    <w:rsid w:val="71FB78FD"/>
    <w:rsid w:val="7275064A"/>
    <w:rsid w:val="731E7C26"/>
    <w:rsid w:val="733F750B"/>
    <w:rsid w:val="735702E2"/>
    <w:rsid w:val="7363708A"/>
    <w:rsid w:val="73D916F8"/>
    <w:rsid w:val="765F635A"/>
    <w:rsid w:val="76B73454"/>
    <w:rsid w:val="76D254BD"/>
    <w:rsid w:val="774F57E2"/>
    <w:rsid w:val="77727ACD"/>
    <w:rsid w:val="78071142"/>
    <w:rsid w:val="79296B37"/>
    <w:rsid w:val="7A4C4C40"/>
    <w:rsid w:val="7AA0518E"/>
    <w:rsid w:val="7B041636"/>
    <w:rsid w:val="7C664C7A"/>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unhideWhenUsed/>
    <w:qFormat/>
    <w:uiPriority w:val="99"/>
    <w:rPr>
      <w:b/>
      <w:bCs/>
    </w:rPr>
  </w:style>
  <w:style w:type="character" w:styleId="9">
    <w:name w:val="page number"/>
    <w:basedOn w:val="8"/>
    <w:qFormat/>
    <w:uiPriority w:val="0"/>
  </w:style>
  <w:style w:type="character" w:styleId="10">
    <w:name w:val="annotation reference"/>
    <w:basedOn w:val="8"/>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34</Pages>
  <Words>3038</Words>
  <Characters>17320</Characters>
  <Lines>144</Lines>
  <Paragraphs>40</Paragraphs>
  <TotalTime>10</TotalTime>
  <ScaleCrop>false</ScaleCrop>
  <LinksUpToDate>false</LinksUpToDate>
  <CharactersWithSpaces>20318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2023-12-01T10:26:07Z</dcterms:modified>
  <cp:revision>829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