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hint="eastAsia" w:ascii="仿宋" w:hAnsi="仿宋" w:eastAsia="仿宋" w:cs="宋体"/>
          <w:kern w:val="0"/>
          <w:sz w:val="32"/>
          <w:szCs w:val="3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黑体" w:hAnsi="黑体" w:eastAsia="黑体" w:cs="黑体"/>
          <w:b/>
          <w:kern w:val="0"/>
          <w:sz w:val="44"/>
          <w:szCs w:val="44"/>
        </w:rPr>
      </w:pPr>
      <w:r>
        <w:rPr>
          <w:rFonts w:hint="eastAsia" w:ascii="黑体" w:hAnsi="黑体" w:eastAsia="黑体" w:cs="黑体"/>
          <w:b/>
          <w:kern w:val="0"/>
          <w:sz w:val="44"/>
          <w:szCs w:val="44"/>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ascii="黑体" w:hAnsi="黑体" w:eastAsia="黑体" w:cs="黑体"/>
          <w:kern w:val="0"/>
          <w:sz w:val="32"/>
          <w:szCs w:val="32"/>
        </w:rPr>
      </w:pPr>
      <w:r>
        <w:rPr>
          <w:rFonts w:hint="eastAsia" w:ascii="黑体" w:hAnsi="黑体" w:eastAsia="黑体" w:cs="黑体"/>
          <w:kern w:val="0"/>
          <w:sz w:val="32"/>
          <w:szCs w:val="32"/>
        </w:rPr>
        <w:t>（2018年度）</w:t>
      </w:r>
    </w:p>
    <w:p>
      <w:pPr>
        <w:spacing w:line="540" w:lineRule="exact"/>
        <w:jc w:val="center"/>
        <w:rPr>
          <w:rFonts w:ascii="黑体" w:hAnsi="黑体" w:eastAsia="黑体" w:cs="黑体"/>
          <w:kern w:val="0"/>
          <w:sz w:val="32"/>
          <w:szCs w:val="32"/>
        </w:rPr>
      </w:pPr>
    </w:p>
    <w:p>
      <w:pPr>
        <w:spacing w:line="540" w:lineRule="exact"/>
        <w:jc w:val="center"/>
        <w:rPr>
          <w:rFonts w:ascii="黑体" w:hAnsi="黑体" w:eastAsia="黑体" w:cs="黑体"/>
          <w:kern w:val="0"/>
          <w:sz w:val="32"/>
          <w:szCs w:val="32"/>
        </w:rPr>
      </w:pPr>
    </w:p>
    <w:p>
      <w:pPr>
        <w:spacing w:line="540" w:lineRule="exact"/>
        <w:jc w:val="center"/>
        <w:rPr>
          <w:rFonts w:ascii="黑体" w:hAnsi="黑体" w:eastAsia="黑体" w:cs="黑体"/>
          <w:kern w:val="0"/>
          <w:sz w:val="32"/>
          <w:szCs w:val="32"/>
        </w:rPr>
      </w:pPr>
    </w:p>
    <w:p>
      <w:pPr>
        <w:spacing w:line="540" w:lineRule="exact"/>
        <w:jc w:val="center"/>
        <w:rPr>
          <w:rFonts w:ascii="黑体" w:hAnsi="黑体" w:eastAsia="黑体" w:cs="黑体"/>
          <w:kern w:val="0"/>
          <w:sz w:val="32"/>
          <w:szCs w:val="32"/>
        </w:rPr>
      </w:pPr>
    </w:p>
    <w:p>
      <w:pPr>
        <w:spacing w:line="540" w:lineRule="exact"/>
        <w:jc w:val="center"/>
        <w:rPr>
          <w:rFonts w:ascii="黑体" w:hAnsi="黑体" w:eastAsia="黑体" w:cs="黑体"/>
          <w:kern w:val="0"/>
          <w:sz w:val="32"/>
          <w:szCs w:val="32"/>
        </w:rPr>
      </w:pPr>
    </w:p>
    <w:p>
      <w:pPr>
        <w:spacing w:line="540" w:lineRule="exact"/>
        <w:jc w:val="center"/>
        <w:rPr>
          <w:rFonts w:ascii="黑体" w:hAnsi="黑体" w:eastAsia="黑体" w:cs="黑体"/>
          <w:kern w:val="0"/>
          <w:sz w:val="32"/>
          <w:szCs w:val="32"/>
        </w:rPr>
      </w:pPr>
    </w:p>
    <w:p>
      <w:pPr>
        <w:spacing w:line="540" w:lineRule="exact"/>
        <w:jc w:val="center"/>
        <w:rPr>
          <w:rFonts w:ascii="黑体" w:hAnsi="黑体" w:eastAsia="黑体" w:cs="黑体"/>
          <w:kern w:val="0"/>
          <w:sz w:val="32"/>
          <w:szCs w:val="32"/>
        </w:rPr>
      </w:pPr>
    </w:p>
    <w:p>
      <w:pPr>
        <w:spacing w:line="540" w:lineRule="exact"/>
        <w:rPr>
          <w:rFonts w:ascii="黑体" w:hAnsi="黑体" w:eastAsia="黑体" w:cs="黑体"/>
          <w:kern w:val="0"/>
          <w:sz w:val="32"/>
          <w:szCs w:val="32"/>
        </w:rPr>
      </w:pPr>
    </w:p>
    <w:p>
      <w:pPr>
        <w:spacing w:line="700" w:lineRule="exact"/>
        <w:jc w:val="left"/>
        <w:rPr>
          <w:rFonts w:ascii="黑体" w:hAnsi="黑体" w:eastAsia="黑体" w:cs="黑体"/>
          <w:kern w:val="0"/>
          <w:sz w:val="32"/>
          <w:szCs w:val="32"/>
        </w:rPr>
      </w:pPr>
      <w:r>
        <w:rPr>
          <w:rFonts w:hint="eastAsia" w:ascii="黑体" w:hAnsi="黑体" w:eastAsia="黑体" w:cs="黑体"/>
          <w:kern w:val="0"/>
          <w:sz w:val="32"/>
          <w:szCs w:val="32"/>
        </w:rPr>
        <w:t xml:space="preserve">     项目名称：乡村发展项目</w:t>
      </w:r>
    </w:p>
    <w:p>
      <w:pPr>
        <w:spacing w:line="700" w:lineRule="exact"/>
        <w:jc w:val="left"/>
        <w:rPr>
          <w:rFonts w:ascii="黑体" w:hAnsi="黑体" w:eastAsia="黑体" w:cs="黑体"/>
          <w:kern w:val="0"/>
          <w:sz w:val="32"/>
          <w:szCs w:val="32"/>
        </w:rPr>
      </w:pPr>
      <w:r>
        <w:rPr>
          <w:rFonts w:hint="eastAsia" w:ascii="黑体" w:hAnsi="黑体" w:eastAsia="黑体" w:cs="黑体"/>
          <w:kern w:val="0"/>
          <w:sz w:val="32"/>
          <w:szCs w:val="32"/>
        </w:rPr>
        <w:t xml:space="preserve">     实施单位（公章）：洛克乡人民政府</w:t>
      </w:r>
    </w:p>
    <w:p>
      <w:pPr>
        <w:spacing w:line="700" w:lineRule="exact"/>
        <w:ind w:firstLine="755" w:firstLineChars="236"/>
        <w:jc w:val="left"/>
        <w:rPr>
          <w:rFonts w:ascii="黑体" w:hAnsi="黑体" w:eastAsia="黑体" w:cs="黑体"/>
          <w:kern w:val="0"/>
          <w:sz w:val="32"/>
          <w:szCs w:val="32"/>
        </w:rPr>
      </w:pPr>
      <w:r>
        <w:rPr>
          <w:rFonts w:hint="eastAsia" w:ascii="黑体" w:hAnsi="黑体" w:eastAsia="黑体" w:cs="黑体"/>
          <w:kern w:val="0"/>
          <w:sz w:val="32"/>
          <w:szCs w:val="32"/>
        </w:rPr>
        <w:t>主管部门（公章）：洛克乡人民政府</w:t>
      </w:r>
    </w:p>
    <w:p>
      <w:pPr>
        <w:spacing w:line="700" w:lineRule="exact"/>
        <w:ind w:firstLine="755" w:firstLineChars="236"/>
        <w:jc w:val="left"/>
        <w:rPr>
          <w:rFonts w:ascii="黑体" w:hAnsi="黑体" w:eastAsia="黑体" w:cs="黑体"/>
          <w:kern w:val="0"/>
          <w:sz w:val="32"/>
          <w:szCs w:val="32"/>
        </w:rPr>
      </w:pPr>
      <w:r>
        <w:rPr>
          <w:rFonts w:hint="eastAsia" w:ascii="黑体" w:hAnsi="黑体" w:eastAsia="黑体" w:cs="黑体"/>
          <w:kern w:val="0"/>
          <w:sz w:val="32"/>
          <w:szCs w:val="32"/>
        </w:rPr>
        <w:t>项目负责人（签章）：唐东华</w:t>
      </w:r>
    </w:p>
    <w:p>
      <w:pPr>
        <w:spacing w:line="700" w:lineRule="exact"/>
        <w:ind w:firstLine="755" w:firstLineChars="236"/>
        <w:jc w:val="left"/>
        <w:rPr>
          <w:rFonts w:ascii="黑体" w:hAnsi="黑体" w:eastAsia="黑体" w:cs="黑体"/>
          <w:kern w:val="0"/>
          <w:sz w:val="32"/>
          <w:szCs w:val="32"/>
        </w:rPr>
      </w:pPr>
      <w:r>
        <w:rPr>
          <w:rFonts w:hint="eastAsia" w:ascii="黑体" w:hAnsi="黑体" w:eastAsia="黑体" w:cs="黑体"/>
          <w:kern w:val="0"/>
          <w:sz w:val="32"/>
          <w:szCs w:val="32"/>
        </w:rPr>
        <w:t>填报时间：2018年12月25日</w:t>
      </w:r>
    </w:p>
    <w:p>
      <w:pPr>
        <w:spacing w:line="540" w:lineRule="exact"/>
        <w:jc w:val="center"/>
        <w:rPr>
          <w:rFonts w:hAnsi="宋体" w:eastAsia="仿宋_GB2312" w:cs="宋体"/>
          <w:kern w:val="0"/>
          <w:sz w:val="30"/>
          <w:szCs w:val="30"/>
        </w:rPr>
      </w:pPr>
    </w:p>
    <w:p>
      <w:pPr>
        <w:spacing w:line="560" w:lineRule="exact"/>
        <w:ind w:firstLine="624" w:firstLineChars="200"/>
        <w:rPr>
          <w:rStyle w:val="19"/>
          <w:rFonts w:ascii="黑体" w:hAnsi="黑体" w:eastAsia="黑体"/>
          <w:b w:val="0"/>
          <w:spacing w:val="-4"/>
          <w:sz w:val="32"/>
          <w:szCs w:val="32"/>
        </w:rPr>
      </w:pPr>
      <w:r>
        <w:rPr>
          <w:rStyle w:val="19"/>
          <w:rFonts w:hint="eastAsia" w:ascii="黑体" w:hAnsi="黑体" w:eastAsia="黑体"/>
          <w:b w:val="0"/>
          <w:spacing w:val="-4"/>
          <w:sz w:val="32"/>
          <w:szCs w:val="32"/>
        </w:rPr>
        <w:t>一、项目概况</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（一）项目单位基本情况</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叶城县洛克乡属党政机关行政部门，乡科级行政单位，辖13个行政村，全乡有维、回、汉农牧民24000多人，农户4200户，全乡维吾尔族占98%，主要以种植核桃、小麦、玉米、设施农业为主，是叶城县城郊农业大乡。</w:t>
      </w:r>
    </w:p>
    <w:p>
      <w:pPr>
        <w:spacing w:line="560" w:lineRule="exact"/>
        <w:ind w:firstLine="640" w:firstLineChars="200"/>
        <w:rPr>
          <w:rFonts w:ascii="仿宋_GB2312" w:hAnsi="仿宋" w:eastAsia="仿宋_GB2312"/>
          <w:bCs/>
          <w:sz w:val="32"/>
          <w:szCs w:val="32"/>
        </w:rPr>
      </w:pPr>
      <w:bookmarkStart w:id="0" w:name="_GoBack"/>
      <w:bookmarkEnd w:id="0"/>
      <w:r>
        <w:rPr>
          <w:rFonts w:hint="eastAsia" w:ascii="仿宋_GB2312" w:hAnsi="仿宋" w:eastAsia="仿宋_GB2312"/>
          <w:bCs/>
          <w:sz w:val="32"/>
          <w:szCs w:val="32"/>
        </w:rPr>
        <w:t>编制人数92人，其中：行政人员编制57人，参照公务员管理的事业单位人员编制4人，全额拨款事业单位人员编制23人。 实有在职人数94人，其中：行政在职49人，参照公务员管理的事业单位人员14人，事业在职10人，工勤在职人数7人。离退休人员14人，其中：离休人员0人，退休人员14人。</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（二）项目预算绩效目标设定情况</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洛克乡2018年乡扶贫支出3001.67万元，其中：庭院经济建设1897万元，牲畜良种繁育333.03万元，建设用地复垦99.12万元，节水灌溉项目26.86万元，农村环境治理项目390.29万元，贫困村环境整治255.37万元，主要用于为贫困户改造庭院及周边环境、发展养殖业。按年度工作计划，该项目的顺利实施，将为全乡贫困户增加收入，为洛克乡如期脱贫提供有力保证。</w:t>
      </w:r>
    </w:p>
    <w:p>
      <w:pPr>
        <w:spacing w:line="560" w:lineRule="exact"/>
        <w:ind w:firstLine="624" w:firstLineChars="200"/>
        <w:rPr>
          <w:rStyle w:val="19"/>
          <w:rFonts w:ascii="黑体" w:hAnsi="黑体" w:eastAsia="黑体"/>
          <w:b w:val="0"/>
          <w:spacing w:val="-4"/>
          <w:sz w:val="32"/>
          <w:szCs w:val="32"/>
        </w:rPr>
      </w:pPr>
      <w:r>
        <w:rPr>
          <w:rStyle w:val="19"/>
          <w:rFonts w:hint="eastAsia" w:ascii="黑体" w:hAnsi="黑体" w:eastAsia="黑体"/>
          <w:b w:val="0"/>
          <w:spacing w:val="-4"/>
          <w:sz w:val="32"/>
          <w:szCs w:val="32"/>
        </w:rPr>
        <w:t>二、项目资金使用及管理情况</w:t>
      </w:r>
    </w:p>
    <w:p>
      <w:pPr>
        <w:adjustRightInd w:val="0"/>
        <w:snapToGrid w:val="0"/>
        <w:spacing w:line="560" w:lineRule="exact"/>
        <w:ind w:firstLine="640" w:firstLineChars="200"/>
        <w:outlineLvl w:val="0"/>
        <w:rPr>
          <w:rFonts w:ascii="仿宋_GB2312" w:hAnsi="仿宋" w:eastAsia="仿宋_GB2312"/>
          <w:bCs/>
          <w:sz w:val="32"/>
          <w:szCs w:val="32"/>
        </w:rPr>
      </w:pPr>
      <w:r>
        <w:rPr>
          <w:rFonts w:hint="eastAsia" w:ascii="仿宋_GB2312" w:hAnsi="仿宋" w:eastAsia="仿宋_GB2312"/>
          <w:bCs/>
          <w:sz w:val="32"/>
          <w:szCs w:val="32"/>
        </w:rPr>
        <w:t>（一）项目资金安排落实、总投入等情况分析</w:t>
      </w:r>
    </w:p>
    <w:p>
      <w:pPr>
        <w:adjustRightInd w:val="0"/>
        <w:snapToGrid w:val="0"/>
        <w:spacing w:line="560" w:lineRule="exact"/>
        <w:ind w:firstLine="640" w:firstLineChars="200"/>
        <w:outlineLvl w:val="0"/>
        <w:rPr>
          <w:rStyle w:val="19"/>
          <w:rFonts w:ascii="楷体" w:hAnsi="楷体" w:eastAsia="楷体"/>
          <w:b w:val="0"/>
          <w:color w:val="000000" w:themeColor="text1"/>
          <w:spacing w:val="-4"/>
          <w:sz w:val="30"/>
          <w:szCs w:val="30"/>
        </w:rPr>
      </w:pPr>
      <w:r>
        <w:rPr>
          <w:rFonts w:hint="eastAsia" w:ascii="仿宋_GB2312" w:hAnsi="仿宋" w:eastAsia="仿宋_GB2312"/>
          <w:bCs/>
          <w:sz w:val="32"/>
          <w:szCs w:val="32"/>
        </w:rPr>
        <w:t>根据新财扶【2017】47号、喀地财扶【2017】30号，新财建【461】号、喀地财建【2018】9号、新财建【459】号、喀地财建【2018】11号、新财扶【2018】16号、喀地财扶【2018】27号文件要求，本项目资金3001.67万元，其中财政资金3001.67万元，其他资金0万元，资金到位3001.67万元；资金到位率100%。</w:t>
      </w:r>
    </w:p>
    <w:p>
      <w:pPr>
        <w:adjustRightInd w:val="0"/>
        <w:snapToGrid w:val="0"/>
        <w:spacing w:line="560" w:lineRule="exact"/>
        <w:ind w:firstLine="640" w:firstLineChars="200"/>
        <w:outlineLvl w:val="0"/>
        <w:rPr>
          <w:rFonts w:ascii="仿宋_GB2312" w:hAnsi="仿宋" w:eastAsia="仿宋_GB2312"/>
          <w:bCs/>
          <w:sz w:val="32"/>
          <w:szCs w:val="32"/>
        </w:rPr>
      </w:pPr>
      <w:r>
        <w:rPr>
          <w:rFonts w:hint="eastAsia" w:ascii="仿宋_GB2312" w:hAnsi="仿宋" w:eastAsia="仿宋_GB2312"/>
          <w:bCs/>
          <w:sz w:val="32"/>
          <w:szCs w:val="32"/>
        </w:rPr>
        <w:t xml:space="preserve">（二）项目资金实际使用情况分析   </w:t>
      </w:r>
    </w:p>
    <w:p>
      <w:pPr>
        <w:adjustRightInd w:val="0"/>
        <w:snapToGrid w:val="0"/>
        <w:spacing w:line="560" w:lineRule="exact"/>
        <w:ind w:firstLine="640" w:firstLineChars="200"/>
        <w:outlineLvl w:val="0"/>
        <w:rPr>
          <w:rFonts w:ascii="仿宋_GB2312" w:hAnsi="仿宋" w:eastAsia="仿宋_GB2312"/>
          <w:bCs/>
          <w:sz w:val="32"/>
          <w:szCs w:val="32"/>
        </w:rPr>
      </w:pPr>
      <w:r>
        <w:rPr>
          <w:rFonts w:hint="eastAsia" w:ascii="仿宋_GB2312" w:hAnsi="仿宋" w:eastAsia="仿宋_GB2312"/>
          <w:bCs/>
          <w:sz w:val="32"/>
          <w:szCs w:val="32"/>
        </w:rPr>
        <w:t>根据本年上级下达乡村发展项目资金的文件，到位资金3001.67万元，本项目实际支付资金3001.67万元，预算执行率100%，项目资金主要用于支付乡村发展项目款3001.67万元、结余0万元。</w:t>
      </w:r>
    </w:p>
    <w:p>
      <w:pPr>
        <w:adjustRightInd w:val="0"/>
        <w:snapToGrid w:val="0"/>
        <w:spacing w:line="560" w:lineRule="exact"/>
        <w:ind w:firstLine="640" w:firstLineChars="200"/>
        <w:outlineLvl w:val="0"/>
        <w:rPr>
          <w:rFonts w:ascii="仿宋_GB2312" w:hAnsi="仿宋" w:eastAsia="仿宋_GB2312"/>
          <w:bCs/>
          <w:sz w:val="32"/>
          <w:szCs w:val="32"/>
        </w:rPr>
      </w:pPr>
      <w:r>
        <w:rPr>
          <w:rFonts w:hint="eastAsia" w:ascii="仿宋_GB2312" w:hAnsi="仿宋" w:eastAsia="仿宋_GB2312"/>
          <w:bCs/>
          <w:sz w:val="32"/>
          <w:szCs w:val="32"/>
        </w:rPr>
        <w:t>根据中央和自治区项目资金管理办法的要求，洛克乡人民政府严格按照项目资金规定的专项资金支持的项目条件和范围要求，严格按照有关规定使用管理项目资金。</w:t>
      </w:r>
    </w:p>
    <w:p>
      <w:pPr>
        <w:adjustRightInd w:val="0"/>
        <w:snapToGrid w:val="0"/>
        <w:spacing w:line="560" w:lineRule="exact"/>
        <w:ind w:firstLine="640" w:firstLineChars="200"/>
        <w:outlineLvl w:val="0"/>
        <w:rPr>
          <w:rFonts w:ascii="仿宋_GB2312" w:hAnsi="仿宋" w:eastAsia="仿宋_GB2312"/>
          <w:bCs/>
          <w:sz w:val="32"/>
          <w:szCs w:val="32"/>
        </w:rPr>
      </w:pPr>
      <w:r>
        <w:rPr>
          <w:rFonts w:hint="eastAsia" w:ascii="仿宋_GB2312" w:hAnsi="仿宋" w:eastAsia="仿宋_GB2312"/>
          <w:bCs/>
          <w:sz w:val="32"/>
          <w:szCs w:val="32"/>
        </w:rPr>
        <w:t>（三）项目资金管理情况分析</w:t>
      </w:r>
    </w:p>
    <w:p>
      <w:pPr>
        <w:adjustRightInd w:val="0"/>
        <w:snapToGrid w:val="0"/>
        <w:spacing w:line="560" w:lineRule="exact"/>
        <w:ind w:firstLine="640" w:firstLineChars="200"/>
        <w:rPr>
          <w:rStyle w:val="19"/>
          <w:rFonts w:ascii="仿宋" w:hAnsi="仿宋" w:eastAsia="仿宋"/>
          <w:b w:val="0"/>
          <w:color w:val="000000" w:themeColor="text1"/>
          <w:spacing w:val="-4"/>
          <w:sz w:val="32"/>
          <w:szCs w:val="32"/>
        </w:rPr>
      </w:pPr>
      <w:r>
        <w:rPr>
          <w:rFonts w:hint="eastAsia" w:ascii="仿宋_GB2312" w:hAnsi="仿宋" w:eastAsia="仿宋_GB2312"/>
          <w:bCs/>
          <w:sz w:val="32"/>
          <w:szCs w:val="32"/>
        </w:rPr>
        <w:t>本项目资金严格按照《洛克乡庭院经济项目管理制度》，</w:t>
      </w:r>
      <w:r>
        <w:rPr>
          <w:rStyle w:val="19"/>
          <w:rFonts w:hint="eastAsia" w:ascii="仿宋" w:hAnsi="仿宋" w:eastAsia="仿宋"/>
          <w:b w:val="0"/>
          <w:color w:val="000000" w:themeColor="text1"/>
          <w:spacing w:val="-4"/>
          <w:sz w:val="32"/>
          <w:szCs w:val="32"/>
        </w:rPr>
        <w:t>《</w:t>
      </w:r>
      <w:r>
        <w:rPr>
          <w:rFonts w:hint="eastAsia" w:ascii="仿宋_GB2312" w:hAnsi="仿宋" w:eastAsia="仿宋_GB2312"/>
          <w:bCs/>
          <w:sz w:val="32"/>
          <w:szCs w:val="32"/>
        </w:rPr>
        <w:t>洛克乡建设用地复垦项目管理制度》、《洛克乡农村环境治理项目管理制度》、《洛克乡贫困村环境整治项目管理制度》支付资金；资金支付由本单位分管地区领导、主管财务领导、地区财政局等各级部门审批审核；资金的支付有完整的审批程序和手续符合制度要求；不存在截留、挤占、挪用、虚列支出等情况。</w:t>
      </w:r>
    </w:p>
    <w:p>
      <w:pPr>
        <w:spacing w:line="560" w:lineRule="exact"/>
        <w:ind w:firstLine="624" w:firstLineChars="200"/>
        <w:rPr>
          <w:rStyle w:val="19"/>
          <w:rFonts w:ascii="黑体" w:hAnsi="黑体" w:eastAsia="黑体"/>
          <w:b w:val="0"/>
          <w:spacing w:val="-4"/>
          <w:sz w:val="32"/>
          <w:szCs w:val="32"/>
        </w:rPr>
      </w:pPr>
      <w:r>
        <w:rPr>
          <w:rStyle w:val="19"/>
          <w:rFonts w:hint="eastAsia" w:ascii="黑体" w:hAnsi="黑体" w:eastAsia="黑体"/>
          <w:b w:val="0"/>
          <w:spacing w:val="-4"/>
          <w:sz w:val="32"/>
          <w:szCs w:val="32"/>
        </w:rPr>
        <w:t>三、项目组织实施情况</w:t>
      </w:r>
    </w:p>
    <w:p>
      <w:pPr>
        <w:adjustRightInd w:val="0"/>
        <w:snapToGrid w:val="0"/>
        <w:spacing w:line="560" w:lineRule="exact"/>
        <w:ind w:firstLine="640" w:firstLineChars="200"/>
        <w:outlineLvl w:val="0"/>
        <w:rPr>
          <w:rFonts w:ascii="仿宋_GB2312" w:hAnsi="仿宋" w:eastAsia="仿宋_GB2312"/>
          <w:bCs/>
          <w:sz w:val="32"/>
          <w:szCs w:val="32"/>
        </w:rPr>
      </w:pPr>
      <w:r>
        <w:rPr>
          <w:rFonts w:hint="eastAsia" w:ascii="仿宋_GB2312" w:hAnsi="仿宋" w:eastAsia="仿宋_GB2312"/>
          <w:bCs/>
          <w:sz w:val="32"/>
          <w:szCs w:val="32"/>
        </w:rPr>
        <w:t>（一）项目组织情况分析</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为保证项目质量和成本控制，我单位积极与上级部门对接，进行了乡村发展项目前期准备工作，为保质保量完成提供了强有力的技术支撑，有效地推进了项目工作，项目实施完成后，由本项目相关人员于2018年12月25日完成检查验收，检查验收合格后按合同规定支付款项。</w:t>
      </w:r>
    </w:p>
    <w:p>
      <w:pPr>
        <w:adjustRightInd w:val="0"/>
        <w:snapToGrid w:val="0"/>
        <w:spacing w:line="560" w:lineRule="exact"/>
        <w:ind w:firstLine="640" w:firstLineChars="200"/>
        <w:rPr>
          <w:rFonts w:ascii="仿宋" w:hAnsi="仿宋" w:eastAsia="仿宋"/>
          <w:bCs/>
          <w:color w:val="000000" w:themeColor="text1"/>
          <w:sz w:val="30"/>
          <w:szCs w:val="30"/>
        </w:rPr>
      </w:pPr>
      <w:r>
        <w:rPr>
          <w:rFonts w:hint="eastAsia" w:ascii="仿宋_GB2312" w:hAnsi="仿宋" w:eastAsia="仿宋_GB2312"/>
          <w:bCs/>
          <w:sz w:val="32"/>
          <w:szCs w:val="32"/>
        </w:rPr>
        <w:t>本项目不存在调整情况。</w:t>
      </w:r>
    </w:p>
    <w:p>
      <w:pPr>
        <w:adjustRightInd w:val="0"/>
        <w:snapToGrid w:val="0"/>
        <w:spacing w:line="560" w:lineRule="exact"/>
        <w:ind w:firstLine="640" w:firstLineChars="200"/>
        <w:outlineLvl w:val="0"/>
        <w:rPr>
          <w:rFonts w:ascii="仿宋_GB2312" w:hAnsi="仿宋" w:eastAsia="仿宋_GB2312"/>
          <w:bCs/>
          <w:sz w:val="32"/>
          <w:szCs w:val="32"/>
        </w:rPr>
      </w:pPr>
      <w:r>
        <w:rPr>
          <w:rFonts w:hint="eastAsia" w:ascii="仿宋_GB2312" w:hAnsi="仿宋" w:eastAsia="仿宋_GB2312"/>
          <w:bCs/>
          <w:sz w:val="32"/>
          <w:szCs w:val="32"/>
        </w:rPr>
        <w:t>（二）项目管理情况分析</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项目实施过程中，我单位建立了《洛克乡庭院经济项目管理制度》，《洛克乡建设用地复垦项目管理制度》、《洛克乡农村环境治理项目管理制度》、《洛克乡贫困村环境整治项目管理制度》保障项目的顺利实施。项目的实施遵守相关法律法规和业务管理规定，项目资料齐全并及时装订、归档。已建立《资金管理制度》，不定期对项目进度情况进行督导检查，对检查过程中发现的问题及时督促整改，确保了项目按时保质完成。</w:t>
      </w:r>
    </w:p>
    <w:p>
      <w:pPr>
        <w:spacing w:line="560" w:lineRule="exact"/>
        <w:ind w:firstLine="624" w:firstLineChars="200"/>
        <w:rPr>
          <w:rStyle w:val="19"/>
          <w:rFonts w:ascii="黑体" w:hAnsi="黑体" w:eastAsia="黑体"/>
          <w:b w:val="0"/>
        </w:rPr>
      </w:pPr>
      <w:r>
        <w:rPr>
          <w:rStyle w:val="19"/>
          <w:rFonts w:hint="eastAsia" w:ascii="黑体" w:hAnsi="黑体" w:eastAsia="黑体"/>
          <w:b w:val="0"/>
          <w:spacing w:val="-4"/>
          <w:sz w:val="32"/>
          <w:szCs w:val="32"/>
        </w:rPr>
        <w:t>四、项目绩效情况</w:t>
      </w:r>
    </w:p>
    <w:p>
      <w:pPr>
        <w:adjustRightInd w:val="0"/>
        <w:snapToGrid w:val="0"/>
        <w:spacing w:line="560" w:lineRule="exact"/>
        <w:ind w:firstLine="640" w:firstLineChars="200"/>
        <w:outlineLvl w:val="0"/>
        <w:rPr>
          <w:rFonts w:ascii="仿宋_GB2312" w:hAnsi="仿宋" w:eastAsia="仿宋_GB2312"/>
          <w:bCs/>
          <w:sz w:val="32"/>
          <w:szCs w:val="32"/>
        </w:rPr>
      </w:pPr>
      <w:r>
        <w:rPr>
          <w:rFonts w:hint="eastAsia" w:ascii="仿宋_GB2312" w:hAnsi="仿宋" w:eastAsia="仿宋_GB2312"/>
          <w:bCs/>
          <w:sz w:val="32"/>
          <w:szCs w:val="32"/>
        </w:rPr>
        <w:t>（一）项目绩效目标完成情况分析</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本项目共设置一级指标3个，二级指标7个，三级指标18个，其中已完成三级指标18个，指标完成率为100%。根据年初设定的绩效目标，此项目自评得分为91分。</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1.产出指标完成情况分析</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（1）项目完成数量</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三级指标中数量指标为6条，庭院经济受益户1897户，牲畜良种养殖羊3330只，建设用地复垦991.2亩，节水灌溉项目1个农村环境治理项目1277个，农村环境治理1561户，已全部完成，完成率100%。</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（2）项目完成质量</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洛克乡2018年扶贫项目3001.67万元，设备购置合格率100%，庭院经济建设达标率100%。</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（3）项目实施进度</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乡村发展项目资金，资金拨付及时率100%，严格按照自己管理办法，资金到位及时发放，按期完成了项目资金的发放，取得了良好的资金使用效果</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（4）项目成本节约情况</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 xml:space="preserve">  草原生态项目资金，庭院经济10000元/户，牲畜良种养殖羊1000元/只，建设用地复垦1000元/亩，节水灌溉项目</w:t>
      </w:r>
      <w:r>
        <w:rPr>
          <w:rFonts w:ascii="仿宋_GB2312" w:hAnsi="仿宋" w:eastAsia="仿宋_GB2312"/>
          <w:bCs/>
          <w:sz w:val="32"/>
          <w:szCs w:val="32"/>
        </w:rPr>
        <w:t>268600</w:t>
      </w:r>
      <w:r>
        <w:rPr>
          <w:rFonts w:hint="eastAsia" w:ascii="仿宋_GB2312" w:hAnsi="仿宋" w:eastAsia="仿宋_GB2312"/>
          <w:bCs/>
          <w:sz w:val="32"/>
          <w:szCs w:val="32"/>
        </w:rPr>
        <w:t>元，农村环境治理项目</w:t>
      </w:r>
      <w:r>
        <w:rPr>
          <w:rFonts w:ascii="仿宋_GB2312" w:hAnsi="仿宋" w:eastAsia="仿宋_GB2312"/>
          <w:bCs/>
          <w:sz w:val="32"/>
          <w:szCs w:val="32"/>
        </w:rPr>
        <w:t>3056.3</w:t>
      </w:r>
      <w:r>
        <w:rPr>
          <w:rFonts w:hint="eastAsia" w:ascii="仿宋_GB2312" w:hAnsi="仿宋" w:eastAsia="仿宋_GB2312"/>
          <w:bCs/>
          <w:sz w:val="32"/>
          <w:szCs w:val="32"/>
        </w:rPr>
        <w:t xml:space="preserve">元，农村环境治理1635.94元，已全部完成，完成率100%。严格按照补贴标准发放补贴，按时发放，充分发挥了资金效益 </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2.效益指标完成情况分析</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（1）项目实施的经济效益分析</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乡村发展项目对洛克乡整体社会服务能力提升起到了很好效果，总体提升30%。</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（2）项目实施的社会效益分析</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无　</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（3）项目实施的生态效益分析</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无</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（4）项目实施的可持续影响分析</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乡村发展项目资金，通过项目的实施，农民经济收入持续增长率100%，为打赢脱贫攻坚战提供了保障。</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3.满意度指标完成情况分析</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按计划完成项目实施，已做满意度调查问卷，服务对象满意率达95%，服务对象满意度指标完成。</w:t>
      </w:r>
    </w:p>
    <w:p>
      <w:pPr>
        <w:adjustRightInd w:val="0"/>
        <w:snapToGrid w:val="0"/>
        <w:spacing w:line="560" w:lineRule="exact"/>
        <w:ind w:firstLine="640" w:firstLineChars="200"/>
        <w:outlineLvl w:val="0"/>
        <w:rPr>
          <w:rFonts w:ascii="仿宋_GB2312" w:hAnsi="仿宋" w:eastAsia="仿宋_GB2312"/>
          <w:bCs/>
          <w:sz w:val="32"/>
          <w:szCs w:val="32"/>
        </w:rPr>
      </w:pPr>
      <w:r>
        <w:rPr>
          <w:rFonts w:hint="eastAsia" w:ascii="仿宋_GB2312" w:hAnsi="仿宋" w:eastAsia="仿宋_GB2312"/>
          <w:bCs/>
          <w:sz w:val="32"/>
          <w:szCs w:val="32"/>
        </w:rPr>
        <w:t>（二）项目绩效目标未完成原因分析</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洛克乡2018年扶贫项目3001.67万元，其中庭院经济建设1897万元，牲畜良种繁育333.03万元，建设用地复垦99.12万元，节水灌溉项目26.86万元，农村环境治理项目390.29万元，贫困村环境整治255.37万元，2019年本项目绩效目标全部达成，不存在未完成原因分析。</w:t>
      </w:r>
    </w:p>
    <w:p>
      <w:pPr>
        <w:spacing w:line="560" w:lineRule="exact"/>
        <w:ind w:firstLine="624" w:firstLineChars="200"/>
        <w:rPr>
          <w:rStyle w:val="19"/>
          <w:rFonts w:ascii="黑体" w:hAnsi="黑体" w:eastAsia="黑体"/>
          <w:b w:val="0"/>
          <w:spacing w:val="-4"/>
          <w:sz w:val="32"/>
          <w:szCs w:val="32"/>
        </w:rPr>
      </w:pPr>
      <w:r>
        <w:rPr>
          <w:rStyle w:val="19"/>
          <w:rFonts w:hint="eastAsia" w:ascii="黑体" w:hAnsi="黑体" w:eastAsia="黑体"/>
          <w:b w:val="0"/>
          <w:spacing w:val="-4"/>
          <w:sz w:val="32"/>
          <w:szCs w:val="32"/>
        </w:rPr>
        <w:t>五、其他需要说明的问题</w:t>
      </w:r>
    </w:p>
    <w:p>
      <w:pPr>
        <w:adjustRightInd w:val="0"/>
        <w:snapToGrid w:val="0"/>
        <w:spacing w:line="560" w:lineRule="exact"/>
        <w:ind w:firstLine="640" w:firstLineChars="200"/>
        <w:outlineLvl w:val="0"/>
        <w:rPr>
          <w:rFonts w:ascii="仿宋_GB2312" w:hAnsi="仿宋" w:eastAsia="仿宋_GB2312"/>
          <w:bCs/>
          <w:sz w:val="32"/>
          <w:szCs w:val="32"/>
        </w:rPr>
      </w:pPr>
      <w:r>
        <w:rPr>
          <w:rFonts w:hint="eastAsia" w:ascii="仿宋_GB2312" w:hAnsi="仿宋" w:eastAsia="仿宋_GB2312"/>
          <w:bCs/>
          <w:sz w:val="32"/>
          <w:szCs w:val="32"/>
        </w:rPr>
        <w:t>（一）后续工作计划</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2018年乡村发展项目已全部实施完毕</w:t>
      </w:r>
    </w:p>
    <w:p>
      <w:pPr>
        <w:adjustRightInd w:val="0"/>
        <w:snapToGrid w:val="0"/>
        <w:spacing w:line="560" w:lineRule="exact"/>
        <w:ind w:firstLine="640" w:firstLineChars="200"/>
        <w:rPr>
          <w:rStyle w:val="19"/>
          <w:rFonts w:ascii="仿宋" w:hAnsi="仿宋" w:eastAsia="仿宋"/>
          <w:b w:val="0"/>
          <w:spacing w:val="-4"/>
          <w:sz w:val="32"/>
          <w:szCs w:val="32"/>
        </w:rPr>
      </w:pPr>
      <w:r>
        <w:rPr>
          <w:rFonts w:hint="eastAsia" w:ascii="仿宋_GB2312" w:hAnsi="仿宋" w:eastAsia="仿宋_GB2312"/>
          <w:bCs/>
          <w:sz w:val="32"/>
          <w:szCs w:val="32"/>
        </w:rPr>
        <w:t>通过对乡村发展项目的投入和管理，实现领域大事不出，小事不出，确保工作和谐发展。</w:t>
      </w:r>
    </w:p>
    <w:p>
      <w:pPr>
        <w:adjustRightInd w:val="0"/>
        <w:snapToGrid w:val="0"/>
        <w:spacing w:line="560" w:lineRule="exact"/>
        <w:ind w:firstLine="640" w:firstLineChars="200"/>
        <w:outlineLvl w:val="0"/>
        <w:rPr>
          <w:rFonts w:ascii="仿宋_GB2312" w:hAnsi="仿宋" w:eastAsia="仿宋_GB2312"/>
          <w:bCs/>
          <w:sz w:val="32"/>
          <w:szCs w:val="32"/>
        </w:rPr>
      </w:pPr>
      <w:r>
        <w:rPr>
          <w:rFonts w:hint="eastAsia" w:ascii="仿宋_GB2312" w:hAnsi="仿宋" w:eastAsia="仿宋_GB2312"/>
          <w:bCs/>
          <w:sz w:val="32"/>
          <w:szCs w:val="32"/>
        </w:rPr>
        <w:t>（二）主要经验及做法、存在问题和建议</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1、主要经验及做法</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洛克乡2018年扶贫项目在实施过程中，严格按照项目的相关要求，保质保量的进行实施该项目，在资金拨付上，也严格按照财政的相关制度。</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2、存在的问题</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年在开展此项工作中，由于经验不足，还存在前期工作准备不是太充分的情况。</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3、建议</w:t>
      </w:r>
    </w:p>
    <w:p>
      <w:pPr>
        <w:adjustRightInd w:val="0"/>
        <w:snapToGrid w:val="0"/>
        <w:spacing w:line="560" w:lineRule="exact"/>
        <w:ind w:firstLine="640" w:firstLineChars="200"/>
        <w:rPr>
          <w:rFonts w:ascii="仿宋" w:hAnsi="仿宋" w:eastAsia="仿宋"/>
          <w:bCs/>
          <w:color w:val="000000" w:themeColor="text1"/>
          <w:spacing w:val="-4"/>
          <w:sz w:val="30"/>
          <w:szCs w:val="30"/>
        </w:rPr>
      </w:pPr>
      <w:r>
        <w:rPr>
          <w:rFonts w:hint="eastAsia" w:ascii="仿宋_GB2312" w:hAnsi="仿宋" w:eastAsia="仿宋_GB2312"/>
          <w:bCs/>
          <w:sz w:val="32"/>
          <w:szCs w:val="32"/>
        </w:rPr>
        <w:t>年初做好资金计划，按照项目进度及时拨付资金，使资金使用效益最大化，减少不必要的浪费，节约成本。</w:t>
      </w:r>
    </w:p>
    <w:p>
      <w:pPr>
        <w:adjustRightInd w:val="0"/>
        <w:snapToGrid w:val="0"/>
        <w:spacing w:line="560" w:lineRule="exact"/>
        <w:ind w:firstLine="640" w:firstLineChars="200"/>
        <w:outlineLvl w:val="0"/>
        <w:rPr>
          <w:rFonts w:ascii="仿宋_GB2312" w:hAnsi="仿宋" w:eastAsia="仿宋_GB2312"/>
          <w:bCs/>
          <w:sz w:val="32"/>
          <w:szCs w:val="32"/>
        </w:rPr>
      </w:pPr>
      <w:r>
        <w:rPr>
          <w:rFonts w:hint="eastAsia" w:ascii="仿宋_GB2312" w:hAnsi="仿宋" w:eastAsia="仿宋_GB2312"/>
          <w:bCs/>
          <w:sz w:val="32"/>
          <w:szCs w:val="32"/>
        </w:rPr>
        <w:t>（三）其他</w:t>
      </w:r>
    </w:p>
    <w:p>
      <w:pPr>
        <w:adjustRightInd w:val="0"/>
        <w:snapToGrid w:val="0"/>
        <w:spacing w:line="560" w:lineRule="exact"/>
        <w:ind w:firstLine="640" w:firstLineChars="200"/>
        <w:outlineLvl w:val="0"/>
        <w:rPr>
          <w:rFonts w:ascii="仿宋_GB2312" w:hAnsi="仿宋" w:eastAsia="仿宋_GB2312"/>
          <w:bCs/>
          <w:sz w:val="32"/>
          <w:szCs w:val="32"/>
        </w:rPr>
      </w:pPr>
      <w:r>
        <w:rPr>
          <w:rFonts w:hint="eastAsia" w:ascii="仿宋_GB2312" w:hAnsi="仿宋" w:eastAsia="仿宋_GB2312"/>
          <w:bCs/>
          <w:sz w:val="32"/>
          <w:szCs w:val="32"/>
        </w:rPr>
        <w:t>无其他说明内容</w:t>
      </w:r>
    </w:p>
    <w:p>
      <w:pPr>
        <w:spacing w:line="560" w:lineRule="exact"/>
        <w:ind w:firstLine="624" w:firstLineChars="200"/>
        <w:rPr>
          <w:rStyle w:val="19"/>
          <w:rFonts w:ascii="黑体" w:hAnsi="黑体" w:eastAsia="黑体"/>
          <w:b w:val="0"/>
          <w:spacing w:val="-4"/>
          <w:sz w:val="32"/>
          <w:szCs w:val="32"/>
        </w:rPr>
      </w:pPr>
      <w:r>
        <w:rPr>
          <w:rStyle w:val="19"/>
          <w:rFonts w:hint="eastAsia" w:ascii="黑体" w:hAnsi="黑体" w:eastAsia="黑体"/>
          <w:b w:val="0"/>
          <w:spacing w:val="-4"/>
          <w:sz w:val="32"/>
          <w:szCs w:val="32"/>
        </w:rPr>
        <w:t>六、项目评价工作情况</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本次评价通过文件研读、实地调研、数据分析等方式，全面了解乡村发展资金的使用效率和效果，项目管理过程合法合规，按期完成了预期绩效目标等。同时，通过开展自我评价来总结经验和教训，为乡村发展项目今后的开展提供参考建议。</w:t>
      </w:r>
    </w:p>
    <w:p>
      <w:pPr>
        <w:spacing w:line="560" w:lineRule="exact"/>
        <w:ind w:firstLine="624" w:firstLineChars="200"/>
        <w:rPr>
          <w:rStyle w:val="19"/>
          <w:rFonts w:ascii="黑体" w:hAnsi="黑体" w:eastAsia="黑体"/>
          <w:b w:val="0"/>
          <w:spacing w:val="-4"/>
          <w:sz w:val="32"/>
          <w:szCs w:val="32"/>
        </w:rPr>
      </w:pPr>
      <w:r>
        <w:rPr>
          <w:rStyle w:val="19"/>
          <w:rFonts w:hint="eastAsia" w:ascii="黑体" w:hAnsi="黑体" w:eastAsia="黑体"/>
          <w:b w:val="0"/>
          <w:spacing w:val="-4"/>
          <w:sz w:val="32"/>
          <w:szCs w:val="32"/>
        </w:rPr>
        <w:t>七、附表</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《喀什地区财政项目支出绩效自评表》</w:t>
      </w:r>
    </w:p>
    <w:p>
      <w:pPr>
        <w:spacing w:line="540" w:lineRule="exact"/>
        <w:ind w:firstLine="567"/>
        <w:rPr>
          <w:rStyle w:val="19"/>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0000000000000000000"/>
    <w:charset w:val="7A"/>
    <w:family w:val="auto"/>
    <w:pitch w:val="default"/>
    <w:sig w:usb0="00000000" w:usb1="00000000" w:usb2="00000000" w:usb3="00000000" w:csb0="0004009F" w:csb1="DFD70000"/>
  </w:font>
  <w:font w:name="仿宋_GB2312">
    <w:altName w:val="仿宋"/>
    <w:panose1 w:val="00000000000000000000"/>
    <w:charset w:val="7A"/>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A6457"/>
    <w:rsid w:val="00056465"/>
    <w:rsid w:val="00121AE4"/>
    <w:rsid w:val="00136BCC"/>
    <w:rsid w:val="00146AAD"/>
    <w:rsid w:val="001B23F1"/>
    <w:rsid w:val="001B3A40"/>
    <w:rsid w:val="00220617"/>
    <w:rsid w:val="00311626"/>
    <w:rsid w:val="00321CBD"/>
    <w:rsid w:val="00347D87"/>
    <w:rsid w:val="003C2CF9"/>
    <w:rsid w:val="003E14D0"/>
    <w:rsid w:val="004366A8"/>
    <w:rsid w:val="00502BA7"/>
    <w:rsid w:val="005162F1"/>
    <w:rsid w:val="00535153"/>
    <w:rsid w:val="00554F82"/>
    <w:rsid w:val="0056390D"/>
    <w:rsid w:val="005719B0"/>
    <w:rsid w:val="005D10D6"/>
    <w:rsid w:val="00616A64"/>
    <w:rsid w:val="0063597F"/>
    <w:rsid w:val="00656E69"/>
    <w:rsid w:val="00787515"/>
    <w:rsid w:val="007A593B"/>
    <w:rsid w:val="007C1329"/>
    <w:rsid w:val="007D32F0"/>
    <w:rsid w:val="007E6716"/>
    <w:rsid w:val="00855E3A"/>
    <w:rsid w:val="008E6B23"/>
    <w:rsid w:val="008F2612"/>
    <w:rsid w:val="00922CB9"/>
    <w:rsid w:val="0099379F"/>
    <w:rsid w:val="00994993"/>
    <w:rsid w:val="009C3394"/>
    <w:rsid w:val="009E5CD9"/>
    <w:rsid w:val="009F29F7"/>
    <w:rsid w:val="00A26421"/>
    <w:rsid w:val="00A4293B"/>
    <w:rsid w:val="00A67D50"/>
    <w:rsid w:val="00A8691A"/>
    <w:rsid w:val="00AA78D4"/>
    <w:rsid w:val="00AC1946"/>
    <w:rsid w:val="00B27BB7"/>
    <w:rsid w:val="00B40063"/>
    <w:rsid w:val="00B41F61"/>
    <w:rsid w:val="00BA2447"/>
    <w:rsid w:val="00BA46E6"/>
    <w:rsid w:val="00BF7355"/>
    <w:rsid w:val="00C56C72"/>
    <w:rsid w:val="00C87A8E"/>
    <w:rsid w:val="00C95952"/>
    <w:rsid w:val="00CA6457"/>
    <w:rsid w:val="00CB0722"/>
    <w:rsid w:val="00D17F2E"/>
    <w:rsid w:val="00D30354"/>
    <w:rsid w:val="00D35A5E"/>
    <w:rsid w:val="00DD1016"/>
    <w:rsid w:val="00DD2DD9"/>
    <w:rsid w:val="00DF42A0"/>
    <w:rsid w:val="00E32AE0"/>
    <w:rsid w:val="00E5558C"/>
    <w:rsid w:val="00E564B5"/>
    <w:rsid w:val="00E769FE"/>
    <w:rsid w:val="00EA2CBE"/>
    <w:rsid w:val="00EC4179"/>
    <w:rsid w:val="00F1564F"/>
    <w:rsid w:val="00F32FEE"/>
    <w:rsid w:val="00FA6B9D"/>
    <w:rsid w:val="00FB10BB"/>
    <w:rsid w:val="00FC3B55"/>
    <w:rsid w:val="00FD2927"/>
    <w:rsid w:val="00FE11B9"/>
    <w:rsid w:val="02E37DE9"/>
    <w:rsid w:val="083F0C01"/>
    <w:rsid w:val="09684C76"/>
    <w:rsid w:val="0D291126"/>
    <w:rsid w:val="0D5D5A45"/>
    <w:rsid w:val="126F6E47"/>
    <w:rsid w:val="128946BB"/>
    <w:rsid w:val="144C4385"/>
    <w:rsid w:val="17E421EC"/>
    <w:rsid w:val="1DDF7C8B"/>
    <w:rsid w:val="21F13119"/>
    <w:rsid w:val="27320BFD"/>
    <w:rsid w:val="27372294"/>
    <w:rsid w:val="28042683"/>
    <w:rsid w:val="2F302415"/>
    <w:rsid w:val="333D40A2"/>
    <w:rsid w:val="345C6562"/>
    <w:rsid w:val="347362C2"/>
    <w:rsid w:val="36A600CC"/>
    <w:rsid w:val="3E596303"/>
    <w:rsid w:val="401254AB"/>
    <w:rsid w:val="413631A1"/>
    <w:rsid w:val="41871FC0"/>
    <w:rsid w:val="45976C65"/>
    <w:rsid w:val="4858426B"/>
    <w:rsid w:val="506F375A"/>
    <w:rsid w:val="50DD221E"/>
    <w:rsid w:val="563D2790"/>
    <w:rsid w:val="5B792C0C"/>
    <w:rsid w:val="62161282"/>
    <w:rsid w:val="68BC63F1"/>
    <w:rsid w:val="6A123310"/>
    <w:rsid w:val="6B0F3594"/>
    <w:rsid w:val="6B4E5E61"/>
    <w:rsid w:val="705F3557"/>
    <w:rsid w:val="706D7E1F"/>
    <w:rsid w:val="71B273B7"/>
    <w:rsid w:val="74AF6B03"/>
    <w:rsid w:val="774E41F4"/>
    <w:rsid w:val="7A851CC1"/>
    <w:rsid w:val="7CA2789D"/>
    <w:rsid w:val="7CBE2642"/>
    <w:rsid w:val="7E3B0ABA"/>
    <w:rsid w:val="7F726E5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Normal (Web)"/>
    <w:basedOn w:val="1"/>
    <w:qFormat/>
    <w:uiPriority w:val="99"/>
    <w:rPr>
      <w:rFonts w:ascii="Calibri" w:hAnsi="Calibri"/>
      <w:sz w:val="24"/>
      <w:szCs w:val="20"/>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qFormat/>
    <w:uiPriority w:val="9"/>
    <w:rPr>
      <w:rFonts w:asciiTheme="majorHAnsi" w:hAnsiTheme="majorHAnsi" w:eastAsiaTheme="majorEastAsia"/>
      <w:b/>
      <w:bCs/>
      <w:kern w:val="32"/>
      <w:sz w:val="32"/>
      <w:szCs w:val="32"/>
    </w:rPr>
  </w:style>
  <w:style w:type="character" w:customStyle="1" w:styleId="22">
    <w:name w:val="标题 2 Char"/>
    <w:basedOn w:val="18"/>
    <w:link w:val="3"/>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qFormat/>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6"/>
    <w:qFormat/>
    <w:uiPriority w:val="10"/>
    <w:rPr>
      <w:rFonts w:asciiTheme="majorHAnsi" w:hAnsiTheme="majorHAnsi" w:eastAsiaTheme="majorEastAsia"/>
      <w:b/>
      <w:bCs/>
      <w:kern w:val="28"/>
      <w:sz w:val="32"/>
      <w:szCs w:val="32"/>
    </w:rPr>
  </w:style>
  <w:style w:type="character" w:customStyle="1" w:styleId="31">
    <w:name w:val="副标题 Char"/>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unhideWhenUsed/>
    <w:qFormat/>
    <w:uiPriority w:val="39"/>
    <w:pPr>
      <w:outlineLvl w:val="9"/>
    </w:pPr>
    <w:rPr>
      <w:lang w:eastAsia="en-US" w:bidi="en-US"/>
    </w:rPr>
  </w:style>
  <w:style w:type="character" w:customStyle="1" w:styleId="44">
    <w:name w:val="页眉 Char"/>
    <w:basedOn w:val="18"/>
    <w:link w:val="13"/>
    <w:qFormat/>
    <w:uiPriority w:val="99"/>
    <w:rPr>
      <w:rFonts w:ascii="Calibri" w:hAnsi="Calibri" w:eastAsia="宋体"/>
      <w:kern w:val="2"/>
      <w:sz w:val="18"/>
      <w:szCs w:val="18"/>
    </w:rPr>
  </w:style>
  <w:style w:type="character" w:customStyle="1" w:styleId="45">
    <w:name w:val="页脚 Char"/>
    <w:basedOn w:val="18"/>
    <w:link w:val="12"/>
    <w:qFormat/>
    <w:uiPriority w:val="99"/>
    <w:rPr>
      <w:rFonts w:ascii="Calibri" w:hAnsi="Calibri" w:eastAsia="宋体"/>
      <w:kern w:val="2"/>
      <w:sz w:val="18"/>
      <w:szCs w:val="18"/>
    </w:rPr>
  </w:style>
  <w:style w:type="character" w:customStyle="1" w:styleId="46">
    <w:name w:val="批注框文本 Char"/>
    <w:basedOn w:val="18"/>
    <w:link w:val="11"/>
    <w:semiHidden/>
    <w:qFormat/>
    <w:uiPriority w:val="99"/>
    <w:rPr>
      <w:rFonts w:ascii="Times New Roman" w:hAnsi="Times New Roman" w:eastAsia="宋体"/>
      <w:kern w:val="2"/>
      <w:sz w:val="18"/>
      <w:szCs w:val="18"/>
    </w:rPr>
  </w:style>
  <w:style w:type="character" w:customStyle="1" w:styleId="47">
    <w:name w:val="font31"/>
    <w:basedOn w:val="18"/>
    <w:qFormat/>
    <w:uiPriority w:val="0"/>
    <w:rPr>
      <w:rFonts w:hint="eastAsia" w:ascii="宋体" w:hAnsi="宋体" w:eastAsia="宋体" w:cs="宋体"/>
      <w:color w:val="000000"/>
      <w:sz w:val="24"/>
      <w:szCs w:val="24"/>
      <w:u w:val="none"/>
    </w:rPr>
  </w:style>
  <w:style w:type="character" w:customStyle="1" w:styleId="48">
    <w:name w:val="font01"/>
    <w:basedOn w:val="18"/>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450</Words>
  <Characters>2569</Characters>
  <Lines>21</Lines>
  <Paragraphs>6</Paragraphs>
  <TotalTime>0</TotalTime>
  <ScaleCrop>false</ScaleCrop>
  <LinksUpToDate>false</LinksUpToDate>
  <CharactersWithSpaces>3013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2019-05-29T08:11:00Z</dcterms:created>
  <dc:creator>赵 恺（预算处）</dc:creator>
  <cp:lastModifiedBy>Administrator</cp:lastModifiedBy>
  <cp:lastPrinted>2018-12-31T10:56:00Z</cp:lastPrinted>
  <dcterms:modified xsi:type="dcterms:W3CDTF">2023-11-24T09:42:11Z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