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b/>
          <w:kern w:val="0"/>
          <w:sz w:val="44"/>
          <w:szCs w:val="44"/>
        </w:rPr>
      </w:pPr>
      <w:r>
        <w:rPr>
          <w:rFonts w:hint="eastAsia" w:ascii="黑体" w:hAnsi="黑体" w:eastAsia="黑体" w:cs="黑体"/>
          <w:b/>
          <w:kern w:val="0"/>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ascii="黑体" w:hAnsi="黑体" w:eastAsia="黑体" w:cs="黑体"/>
          <w:kern w:val="0"/>
          <w:sz w:val="32"/>
          <w:szCs w:val="32"/>
        </w:rPr>
      </w:pPr>
      <w:r>
        <w:rPr>
          <w:rFonts w:hint="eastAsia" w:ascii="黑体" w:hAnsi="黑体" w:eastAsia="黑体" w:cs="黑体"/>
          <w:kern w:val="0"/>
          <w:sz w:val="32"/>
          <w:szCs w:val="32"/>
        </w:rPr>
        <w:t>（2018年度）</w:t>
      </w:r>
    </w:p>
    <w:p>
      <w:pPr>
        <w:spacing w:line="540" w:lineRule="exact"/>
        <w:jc w:val="center"/>
        <w:rPr>
          <w:rFonts w:ascii="黑体" w:hAnsi="黑体" w:eastAsia="黑体" w:cs="黑体"/>
          <w:color w:val="000000" w:themeColor="text1"/>
          <w:kern w:val="0"/>
          <w:sz w:val="32"/>
          <w:szCs w:val="32"/>
        </w:rPr>
      </w:pPr>
    </w:p>
    <w:p>
      <w:pPr>
        <w:spacing w:line="540" w:lineRule="exact"/>
        <w:jc w:val="center"/>
        <w:rPr>
          <w:rFonts w:ascii="黑体" w:hAnsi="黑体" w:eastAsia="黑体" w:cs="黑体"/>
          <w:color w:val="000000" w:themeColor="text1"/>
          <w:kern w:val="0"/>
          <w:sz w:val="32"/>
          <w:szCs w:val="32"/>
        </w:rPr>
      </w:pPr>
    </w:p>
    <w:p>
      <w:pPr>
        <w:spacing w:line="540" w:lineRule="exact"/>
        <w:jc w:val="center"/>
        <w:rPr>
          <w:rFonts w:ascii="黑体" w:hAnsi="黑体" w:eastAsia="黑体" w:cs="黑体"/>
          <w:color w:val="000000" w:themeColor="text1"/>
          <w:kern w:val="0"/>
          <w:sz w:val="32"/>
          <w:szCs w:val="32"/>
        </w:rPr>
      </w:pPr>
    </w:p>
    <w:p>
      <w:pPr>
        <w:spacing w:line="540" w:lineRule="exact"/>
        <w:jc w:val="center"/>
        <w:rPr>
          <w:rFonts w:ascii="黑体" w:hAnsi="黑体" w:eastAsia="黑体" w:cs="黑体"/>
          <w:color w:val="000000" w:themeColor="text1"/>
          <w:kern w:val="0"/>
          <w:sz w:val="32"/>
          <w:szCs w:val="32"/>
        </w:rPr>
      </w:pPr>
    </w:p>
    <w:p>
      <w:pPr>
        <w:spacing w:line="540" w:lineRule="exact"/>
        <w:jc w:val="center"/>
        <w:rPr>
          <w:rFonts w:ascii="黑体" w:hAnsi="黑体" w:eastAsia="黑体" w:cs="黑体"/>
          <w:color w:val="000000" w:themeColor="text1"/>
          <w:kern w:val="0"/>
          <w:sz w:val="32"/>
          <w:szCs w:val="32"/>
        </w:rPr>
      </w:pPr>
    </w:p>
    <w:p>
      <w:pPr>
        <w:spacing w:line="540" w:lineRule="exact"/>
        <w:jc w:val="center"/>
        <w:rPr>
          <w:rFonts w:ascii="黑体" w:hAnsi="黑体" w:eastAsia="黑体" w:cs="黑体"/>
          <w:color w:val="000000" w:themeColor="text1"/>
          <w:kern w:val="0"/>
          <w:sz w:val="32"/>
          <w:szCs w:val="32"/>
        </w:rPr>
      </w:pPr>
    </w:p>
    <w:p>
      <w:pPr>
        <w:spacing w:line="540" w:lineRule="exact"/>
        <w:jc w:val="center"/>
        <w:rPr>
          <w:rFonts w:ascii="黑体" w:hAnsi="黑体" w:eastAsia="黑体" w:cs="黑体"/>
          <w:color w:val="000000" w:themeColor="text1"/>
          <w:kern w:val="0"/>
          <w:sz w:val="32"/>
          <w:szCs w:val="32"/>
        </w:rPr>
      </w:pPr>
    </w:p>
    <w:p>
      <w:pPr>
        <w:spacing w:line="540" w:lineRule="exact"/>
        <w:rPr>
          <w:rFonts w:ascii="黑体" w:hAnsi="黑体" w:eastAsia="黑体" w:cs="黑体"/>
          <w:color w:val="000000" w:themeColor="text1"/>
          <w:kern w:val="0"/>
          <w:sz w:val="32"/>
          <w:szCs w:val="32"/>
        </w:rPr>
      </w:pPr>
    </w:p>
    <w:p>
      <w:pPr>
        <w:spacing w:line="700" w:lineRule="exact"/>
        <w:jc w:val="left"/>
        <w:rPr>
          <w:rFonts w:hint="eastAsia"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 xml:space="preserve">     项目名称：村运转经费项目</w:t>
      </w:r>
    </w:p>
    <w:p>
      <w:pPr>
        <w:spacing w:line="700" w:lineRule="exact"/>
        <w:jc w:val="left"/>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 xml:space="preserve">     实施单位（公章）：洛克乡人民政府</w:t>
      </w:r>
    </w:p>
    <w:p>
      <w:pPr>
        <w:spacing w:line="700" w:lineRule="exact"/>
        <w:ind w:firstLine="755" w:firstLineChars="236"/>
        <w:jc w:val="left"/>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主管部门（公章）：洛克乡人民政府</w:t>
      </w:r>
    </w:p>
    <w:p>
      <w:pPr>
        <w:spacing w:line="700" w:lineRule="exact"/>
        <w:ind w:firstLine="755" w:firstLineChars="236"/>
        <w:jc w:val="left"/>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项目负责人（签章）：唐东华</w:t>
      </w:r>
    </w:p>
    <w:p>
      <w:pPr>
        <w:spacing w:line="700" w:lineRule="exact"/>
        <w:ind w:firstLine="755" w:firstLineChars="236"/>
        <w:jc w:val="left"/>
        <w:rPr>
          <w:rFonts w:ascii="黑体" w:hAnsi="黑体" w:eastAsia="黑体" w:cs="黑体"/>
          <w:color w:val="000000" w:themeColor="text1"/>
          <w:kern w:val="0"/>
          <w:sz w:val="32"/>
          <w:szCs w:val="32"/>
        </w:rPr>
      </w:pPr>
      <w:r>
        <w:rPr>
          <w:rFonts w:hint="eastAsia" w:ascii="黑体" w:hAnsi="黑体" w:eastAsia="黑体" w:cs="黑体"/>
          <w:color w:val="000000" w:themeColor="text1"/>
          <w:kern w:val="0"/>
          <w:sz w:val="32"/>
          <w:szCs w:val="32"/>
        </w:rPr>
        <w:t>填报时间：2018年12月25日</w:t>
      </w:r>
    </w:p>
    <w:p>
      <w:pPr>
        <w:spacing w:line="540" w:lineRule="exact"/>
        <w:jc w:val="center"/>
        <w:rPr>
          <w:rFonts w:ascii="黑体" w:hAnsi="黑体" w:eastAsia="黑体" w:cs="黑体"/>
          <w:color w:val="000000" w:themeColor="text1"/>
          <w:kern w:val="0"/>
          <w:sz w:val="32"/>
          <w:szCs w:val="32"/>
        </w:rPr>
      </w:pP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一、项目概况</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（一）项目单位基本情况</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叶城县洛克乡属党政机关行政部门，乡科级行政单位，辖13个行政村，全乡有维、回、汉农牧民24000多人，农户4200户，全乡维吾尔族占98%，主要以种植核桃、小麦、玉米、设施农业为主，是叶城县城郊及农业大乡。</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编制人数92人，其中：行政人员编制57人，参照公务员管理的事业单位人员编制4人，全额拨款事业单位人员编制23人。 实有在职人数94人，其中：行政在职49人，参照公务员管理的事业单位人员14人，事业在职10人，工勤在职人数7人。离退休人员14人，其中：离休人员0人，退休人员14人。</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（二）项目预算绩效目标设定情况</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洛克乡人民政府村运转经费项目支出240.18万元，按照乡党委的安排部署，并且严格按照会计制度的要求支出，达到使各村各项工作正常运转的效果。</w:t>
      </w: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二、项目资金使用及管理情况</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（一）项目资金安排落实、总投入等情况分析</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根据新财行【2015】335号、喀地财行【2017】12号文件要求，本项目资金240.18万元，其中财政资金240.18万元，其他资金0万元，资金到位240.18万元；资金到位率100%。</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（包括财政资金、自筹资金等）</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 xml:space="preserve">（二）项目资金实际使用情况分析   </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根据本年上级下达村运转经费资金的文件，到位资金240.18万元，本项目实际支付资金240.18万元，预算执行率100%。项目资金主要用于支付村级办公费用240.18万元。</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根据中央和自治区项目资金管理办法的要求，洛克乡人民政府严格按照项目资金规定的专项资金支持的项目条件和范围要求，严格按照有关规定使用管理项目资金。</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（三）项目资金管理情况分析</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本项目资金严格按照项目资金管理办法和地区财政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三、项目组织实施情况</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（一）项目组织情况分析</w:t>
      </w:r>
    </w:p>
    <w:p>
      <w:pPr>
        <w:adjustRightInd w:val="0"/>
        <w:snapToGrid w:val="0"/>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为保证项目质量和成本控制，我单位积极与县财政对接，进行了前期准备工作，制定《项目工作方案》，为保质保量完成提供了强有力的技术支撑，有效地推进了项目工作，项目实施完成后，由本项目相关人员于2018年12月25日完成检查验收，检查验收合格后按合同规定支付款项。”</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本项目不存在调整情况。</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（二）项目管理情况分析</w:t>
      </w:r>
    </w:p>
    <w:p>
      <w:pPr>
        <w:adjustRightInd w:val="0"/>
        <w:snapToGrid w:val="0"/>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项目实施过程中，我单位建立了《项目管理制度》保障项目的顺利实施。项目的实施遵守相关法律法规和业务管理规定，项目资料齐全并及时装订、归档。已建立《资金管理制度》，不定期对项目进度情况进行督导检查，对检查过程中发现的问题及时督促整改，确保了项目按时保质完成。</w:t>
      </w:r>
    </w:p>
    <w:p>
      <w:pPr>
        <w:spacing w:line="560" w:lineRule="exact"/>
        <w:ind w:firstLine="624" w:firstLineChars="200"/>
        <w:rPr>
          <w:rStyle w:val="19"/>
          <w:rFonts w:ascii="黑体" w:hAnsi="黑体" w:eastAsia="黑体"/>
          <w:b w:val="0"/>
          <w:color w:val="000000" w:themeColor="text1"/>
        </w:rPr>
      </w:pPr>
      <w:r>
        <w:rPr>
          <w:rStyle w:val="19"/>
          <w:rFonts w:hint="eastAsia" w:ascii="黑体" w:hAnsi="黑体" w:eastAsia="黑体"/>
          <w:b w:val="0"/>
          <w:color w:val="000000" w:themeColor="text1"/>
          <w:spacing w:val="-4"/>
          <w:sz w:val="32"/>
          <w:szCs w:val="32"/>
        </w:rPr>
        <w:t>四、项目绩效情况</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（一）项目绩效目标完成情况分析</w:t>
      </w:r>
    </w:p>
    <w:p>
      <w:pPr>
        <w:adjustRightInd w:val="0"/>
        <w:snapToGrid w:val="0"/>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本项目共设置一级指标3个，二级指标8个，三级指标9个，其中已完成三级指标9个，指标完成率为100%。根据年初设定的绩效目标，此项目自评得分为92分。</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1.产出指标完成情况分析</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（1）项目完成数量</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数量指标1个，经费保障人数24018人，已全部完成。</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（2）项目完成质量</w:t>
      </w:r>
    </w:p>
    <w:p>
      <w:pPr>
        <w:adjustRightInd w:val="0"/>
        <w:snapToGrid w:val="0"/>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截止2018年年度自评工作，该项目经费保障率100%，单位严格按照年度预期设定目标全部完成，完成率100%。</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（3）项目实施进度</w:t>
      </w:r>
    </w:p>
    <w:p>
      <w:pPr>
        <w:adjustRightInd w:val="0"/>
        <w:snapToGrid w:val="0"/>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截止2018年年度自评评价时，资金拨付及时率100%，资金大涨及时率100%，我单位严格按照前期制定的项目实施方案，为保证项目进度与资金支出进度相统一的原则，全部完成，完成率100%。</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（4）项目成本节约情况</w:t>
      </w:r>
    </w:p>
    <w:p>
      <w:pPr>
        <w:adjustRightInd w:val="0"/>
        <w:snapToGrid w:val="0"/>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 xml:space="preserve">   截止2018年年度自评评价时，严格按照人均经费100元/人标准，完成率100%。</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2.效益指标完成情况分析</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（1）项目实施的经济效益分析</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无</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（2）项目实施的社会效益分析</w:t>
      </w:r>
    </w:p>
    <w:p>
      <w:pPr>
        <w:adjustRightInd w:val="0"/>
        <w:snapToGrid w:val="0"/>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通过该项目实施，有效提升提高为民服务办事效率，提高基层建设水平。村级运转经费项目的实施有效提高为民服务办事效率，我乡严格按照资金使用要求支付资金，拒绝浪费。</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（3）项目实施的生态效益分析</w:t>
      </w:r>
    </w:p>
    <w:p>
      <w:pPr>
        <w:adjustRightInd w:val="0"/>
        <w:snapToGrid w:val="0"/>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在村运转经费项目实施中，节约用电、水、耗材同比下降10%，我乡镇严格按照中央八项规定，</w:t>
      </w:r>
      <w:r>
        <w:rPr>
          <w:rFonts w:hint="eastAsia" w:ascii="仿宋_GB2312" w:hAnsi="仿宋" w:eastAsia="仿宋_GB2312"/>
          <w:bCs/>
          <w:color w:val="000000" w:themeColor="text1"/>
          <w:sz w:val="32"/>
          <w:szCs w:val="32"/>
          <w:lang w:eastAsia="zh-CN"/>
        </w:rPr>
        <w:t>厉</w:t>
      </w:r>
      <w:bookmarkStart w:id="0" w:name="_GoBack"/>
      <w:bookmarkEnd w:id="0"/>
      <w:r>
        <w:rPr>
          <w:rFonts w:hint="eastAsia" w:ascii="仿宋_GB2312" w:hAnsi="仿宋" w:eastAsia="仿宋_GB2312"/>
          <w:bCs/>
          <w:color w:val="000000" w:themeColor="text1"/>
          <w:sz w:val="32"/>
          <w:szCs w:val="32"/>
        </w:rPr>
        <w:t>行节约，减少不必要开支。</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（4）项目实施的可持续影响分析</w:t>
      </w:r>
    </w:p>
    <w:p>
      <w:pPr>
        <w:adjustRightInd w:val="0"/>
        <w:snapToGrid w:val="0"/>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村运转经费保障期限为一年，对村级建设和发展提供了动力，村级开展工作有经费保障，</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3.满意度指标完成情况分析</w:t>
      </w:r>
    </w:p>
    <w:p>
      <w:pPr>
        <w:adjustRightInd w:val="0"/>
        <w:snapToGrid w:val="0"/>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按计划完成项目实施，已做满意度调查问卷，干部满意率98%，服务对象满意度指标完成。</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（二）项目绩效目标未完成原因分析</w:t>
      </w:r>
    </w:p>
    <w:p>
      <w:pPr>
        <w:adjustRightInd w:val="0"/>
        <w:snapToGrid w:val="0"/>
        <w:spacing w:line="560" w:lineRule="exact"/>
        <w:ind w:firstLine="640" w:firstLineChars="200"/>
        <w:rPr>
          <w:rFonts w:ascii="仿宋" w:hAnsi="仿宋" w:eastAsia="仿宋"/>
          <w:bCs/>
          <w:color w:val="000000" w:themeColor="text1"/>
          <w:spacing w:val="-4"/>
          <w:sz w:val="30"/>
          <w:szCs w:val="30"/>
        </w:rPr>
      </w:pPr>
      <w:r>
        <w:rPr>
          <w:rFonts w:hint="eastAsia" w:ascii="仿宋_GB2312" w:hAnsi="仿宋" w:eastAsia="仿宋_GB2312"/>
          <w:bCs/>
          <w:color w:val="000000" w:themeColor="text1"/>
          <w:sz w:val="32"/>
          <w:szCs w:val="32"/>
        </w:rPr>
        <w:t>2019年本项目绩效目标全部达成，不存在未完成原因分析。</w:t>
      </w: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五、其他需要说明的问题</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（一）后续工作计划</w:t>
      </w:r>
    </w:p>
    <w:p>
      <w:pPr>
        <w:adjustRightInd w:val="0"/>
        <w:snapToGrid w:val="0"/>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洛克乡人民政府村运转经费项目中，顺利完成支出任务，在下一年度工作中，继续压缩经费，严格执行各项支出。</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（二）主要经验及做法、存在问题和建议</w:t>
      </w:r>
    </w:p>
    <w:p>
      <w:pPr>
        <w:adjustRightInd w:val="0"/>
        <w:snapToGrid w:val="0"/>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主要经验及做法</w:t>
      </w:r>
    </w:p>
    <w:p>
      <w:pPr>
        <w:adjustRightInd w:val="0"/>
        <w:snapToGrid w:val="0"/>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洛克乡人民政府在2018年村运转经费项目中，严把支出关，确保了村运转经费用在关键地方，有效地杜绝了挤占挪用、虚报冒领等套取财政资金违规行为。</w:t>
      </w:r>
    </w:p>
    <w:p>
      <w:pPr>
        <w:adjustRightInd w:val="0"/>
        <w:snapToGrid w:val="0"/>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存在的问题</w:t>
      </w:r>
    </w:p>
    <w:p>
      <w:pPr>
        <w:adjustRightInd w:val="0"/>
        <w:snapToGrid w:val="0"/>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资金使用范围太广泛，缺少明确的资金使用界限。</w:t>
      </w:r>
    </w:p>
    <w:p>
      <w:pPr>
        <w:adjustRightInd w:val="0"/>
        <w:snapToGrid w:val="0"/>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建议</w:t>
      </w:r>
    </w:p>
    <w:p>
      <w:pPr>
        <w:adjustRightInd w:val="0"/>
        <w:snapToGrid w:val="0"/>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年初做好资金计划，按照项目进度及时拨付资金，使资金使用效益最大化，减少不必要的浪费，节约成本。</w:t>
      </w:r>
    </w:p>
    <w:p>
      <w:pPr>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（三）其他</w:t>
      </w:r>
    </w:p>
    <w:p>
      <w:pPr>
        <w:adjustRightInd w:val="0"/>
        <w:snapToGrid w:val="0"/>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无其他说明内容</w:t>
      </w: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六、项目评价工作情况</w:t>
      </w:r>
    </w:p>
    <w:p>
      <w:pPr>
        <w:adjustRightInd w:val="0"/>
        <w:snapToGrid w:val="0"/>
        <w:spacing w:line="560" w:lineRule="exact"/>
        <w:ind w:firstLine="640" w:firstLineChars="200"/>
        <w:rPr>
          <w:rFonts w:ascii="仿宋_GB2312" w:hAnsi="仿宋" w:eastAsia="仿宋_GB2312"/>
          <w:bCs/>
          <w:color w:val="000000" w:themeColor="text1"/>
          <w:sz w:val="32"/>
          <w:szCs w:val="32"/>
        </w:rPr>
      </w:pPr>
      <w:r>
        <w:rPr>
          <w:rFonts w:hint="eastAsia" w:ascii="仿宋_GB2312" w:hAnsi="仿宋" w:eastAsia="仿宋_GB2312"/>
          <w:bCs/>
          <w:color w:val="000000" w:themeColor="text1"/>
          <w:sz w:val="32"/>
          <w:szCs w:val="32"/>
        </w:rPr>
        <w:t>本次评价通过文件研读、实地调研、数据分析等方式，全面了解村运转经费项目资金的使用效率和效果，项目管理过程是否规范，是否完成了预期绩效目标等。同时，通过开展自我评价来总结经验和教训，为洛克乡人民政府村运转项目今后的开展提供参考建议。</w:t>
      </w:r>
    </w:p>
    <w:p>
      <w:pPr>
        <w:spacing w:line="560" w:lineRule="exact"/>
        <w:ind w:firstLine="624" w:firstLineChars="20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七、附表</w:t>
      </w:r>
    </w:p>
    <w:tbl>
      <w:tblPr>
        <w:tblStyle w:val="17"/>
        <w:tblW w:w="8382" w:type="dxa"/>
        <w:tblInd w:w="0" w:type="dxa"/>
        <w:tblLayout w:type="fixed"/>
        <w:tblCellMar>
          <w:top w:w="15" w:type="dxa"/>
          <w:left w:w="15" w:type="dxa"/>
          <w:bottom w:w="15" w:type="dxa"/>
          <w:right w:w="15" w:type="dxa"/>
        </w:tblCellMar>
      </w:tblPr>
      <w:tblGrid>
        <w:gridCol w:w="8382"/>
      </w:tblGrid>
      <w:tr>
        <w:tblPrEx>
          <w:tblCellMar>
            <w:top w:w="15" w:type="dxa"/>
            <w:left w:w="15" w:type="dxa"/>
            <w:bottom w:w="15" w:type="dxa"/>
            <w:right w:w="15" w:type="dxa"/>
          </w:tblCellMar>
        </w:tblPrEx>
        <w:trPr>
          <w:trHeight w:val="510" w:hRule="atLeast"/>
        </w:trPr>
        <w:tc>
          <w:tcPr>
            <w:tcW w:w="8382" w:type="dxa"/>
            <w:shd w:val="clear" w:color="auto" w:fill="auto"/>
            <w:vAlign w:val="center"/>
          </w:tcPr>
          <w:p>
            <w:pPr>
              <w:widowControl/>
              <w:spacing w:line="560" w:lineRule="exact"/>
              <w:ind w:firstLine="640" w:firstLineChars="200"/>
              <w:textAlignment w:val="center"/>
              <w:rPr>
                <w:rFonts w:ascii="宋体" w:hAnsi="宋体" w:cs="宋体"/>
                <w:bCs/>
                <w:color w:val="000000"/>
                <w:sz w:val="32"/>
                <w:szCs w:val="32"/>
              </w:rPr>
            </w:pPr>
            <w:r>
              <w:rPr>
                <w:rFonts w:hint="eastAsia" w:ascii="仿宋_GB2312" w:hAnsi="仿宋" w:eastAsia="仿宋_GB2312"/>
                <w:bCs/>
                <w:color w:val="000000" w:themeColor="text1"/>
                <w:sz w:val="32"/>
                <w:szCs w:val="32"/>
              </w:rPr>
              <w:t>《喀什地区财政项目支出绩效自评表》</w:t>
            </w:r>
          </w:p>
        </w:tc>
      </w:tr>
    </w:tbl>
    <w:p>
      <w:pPr>
        <w:spacing w:line="560" w:lineRule="exact"/>
        <w:ind w:firstLine="624" w:firstLineChars="200"/>
        <w:rPr>
          <w:rStyle w:val="19"/>
          <w:rFonts w:ascii="仿宋" w:hAnsi="仿宋" w:eastAsia="仿宋"/>
          <w:b w:val="0"/>
          <w:spacing w:val="-4"/>
          <w:sz w:val="32"/>
          <w:szCs w:val="32"/>
        </w:rPr>
      </w:pPr>
    </w:p>
    <w:p>
      <w:pPr>
        <w:spacing w:line="560" w:lineRule="exact"/>
        <w:ind w:firstLine="624" w:firstLineChars="200"/>
        <w:rPr>
          <w:rStyle w:val="19"/>
          <w:rFonts w:ascii="仿宋" w:hAnsi="仿宋" w:eastAsia="仿宋"/>
          <w:b w:val="0"/>
          <w:spacing w:val="-4"/>
          <w:sz w:val="32"/>
          <w:szCs w:val="32"/>
        </w:rPr>
      </w:pPr>
    </w:p>
    <w:p>
      <w:pPr>
        <w:spacing w:line="560" w:lineRule="exact"/>
        <w:ind w:firstLine="624" w:firstLineChars="200"/>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7A"/>
    <w:family w:val="auto"/>
    <w:pitch w:val="default"/>
    <w:sig w:usb0="00000000" w:usb1="00000000" w:usb2="00000000" w:usb3="00000000" w:csb0="0004009F" w:csb1="DFD70000"/>
  </w:font>
  <w:font w:name="仿宋_GB2312">
    <w:panose1 w:val="02010609030101010101"/>
    <w:charset w:val="7A"/>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10108C"/>
    <w:rsid w:val="00121AE4"/>
    <w:rsid w:val="00136BCC"/>
    <w:rsid w:val="00146AAD"/>
    <w:rsid w:val="00187587"/>
    <w:rsid w:val="001B23F1"/>
    <w:rsid w:val="001B3A40"/>
    <w:rsid w:val="00220617"/>
    <w:rsid w:val="00311626"/>
    <w:rsid w:val="00321CBD"/>
    <w:rsid w:val="00347D87"/>
    <w:rsid w:val="003C2CF9"/>
    <w:rsid w:val="003F47B8"/>
    <w:rsid w:val="004366A8"/>
    <w:rsid w:val="00502BA7"/>
    <w:rsid w:val="005162F1"/>
    <w:rsid w:val="00535153"/>
    <w:rsid w:val="00554F82"/>
    <w:rsid w:val="0056390D"/>
    <w:rsid w:val="005719B0"/>
    <w:rsid w:val="00592824"/>
    <w:rsid w:val="005A2787"/>
    <w:rsid w:val="005D10D6"/>
    <w:rsid w:val="0063597F"/>
    <w:rsid w:val="00656E69"/>
    <w:rsid w:val="007A593B"/>
    <w:rsid w:val="007D32F0"/>
    <w:rsid w:val="007E6716"/>
    <w:rsid w:val="00855E3A"/>
    <w:rsid w:val="008B63C3"/>
    <w:rsid w:val="008E6B23"/>
    <w:rsid w:val="008F2612"/>
    <w:rsid w:val="00922CB9"/>
    <w:rsid w:val="00965B1B"/>
    <w:rsid w:val="0099379F"/>
    <w:rsid w:val="009E5CD9"/>
    <w:rsid w:val="00A26421"/>
    <w:rsid w:val="00A4293B"/>
    <w:rsid w:val="00A67D50"/>
    <w:rsid w:val="00A8691A"/>
    <w:rsid w:val="00A9083A"/>
    <w:rsid w:val="00AA78D4"/>
    <w:rsid w:val="00AC1946"/>
    <w:rsid w:val="00B40063"/>
    <w:rsid w:val="00B41F61"/>
    <w:rsid w:val="00BA2447"/>
    <w:rsid w:val="00BA46E6"/>
    <w:rsid w:val="00BF7355"/>
    <w:rsid w:val="00C56C72"/>
    <w:rsid w:val="00C87A8E"/>
    <w:rsid w:val="00C95952"/>
    <w:rsid w:val="00CA6457"/>
    <w:rsid w:val="00CB0722"/>
    <w:rsid w:val="00D17F2E"/>
    <w:rsid w:val="00D30354"/>
    <w:rsid w:val="00D35A5E"/>
    <w:rsid w:val="00DD1016"/>
    <w:rsid w:val="00DF42A0"/>
    <w:rsid w:val="00E32AE0"/>
    <w:rsid w:val="00E46165"/>
    <w:rsid w:val="00E52B53"/>
    <w:rsid w:val="00E564B5"/>
    <w:rsid w:val="00E769FE"/>
    <w:rsid w:val="00EA2CBE"/>
    <w:rsid w:val="00F32FEE"/>
    <w:rsid w:val="00FB10BB"/>
    <w:rsid w:val="00FC3B55"/>
    <w:rsid w:val="00FE11B9"/>
    <w:rsid w:val="01B80D1A"/>
    <w:rsid w:val="02E37DE9"/>
    <w:rsid w:val="0D532D96"/>
    <w:rsid w:val="0D5D5A45"/>
    <w:rsid w:val="0F8A2CFC"/>
    <w:rsid w:val="140F1665"/>
    <w:rsid w:val="15607F8A"/>
    <w:rsid w:val="163545B3"/>
    <w:rsid w:val="17E421EC"/>
    <w:rsid w:val="18452527"/>
    <w:rsid w:val="1C284105"/>
    <w:rsid w:val="229350C1"/>
    <w:rsid w:val="291771FE"/>
    <w:rsid w:val="2DDE7778"/>
    <w:rsid w:val="347362C2"/>
    <w:rsid w:val="34BB750D"/>
    <w:rsid w:val="419B2EC6"/>
    <w:rsid w:val="43346D5D"/>
    <w:rsid w:val="4362707B"/>
    <w:rsid w:val="48FF2964"/>
    <w:rsid w:val="494E66E2"/>
    <w:rsid w:val="56487EC9"/>
    <w:rsid w:val="5BFC4C0A"/>
    <w:rsid w:val="5EE5194E"/>
    <w:rsid w:val="5F05451F"/>
    <w:rsid w:val="61CB032B"/>
    <w:rsid w:val="7DCA4E18"/>
    <w:rsid w:val="7DDA7A5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 w:type="character" w:customStyle="1" w:styleId="47">
    <w:name w:val="font41"/>
    <w:basedOn w:val="18"/>
    <w:qFormat/>
    <w:uiPriority w:val="0"/>
    <w:rPr>
      <w:rFonts w:hint="eastAsia" w:ascii="宋体" w:hAnsi="宋体" w:eastAsia="宋体" w:cs="宋体"/>
      <w:color w:val="000000"/>
      <w:sz w:val="24"/>
      <w:szCs w:val="24"/>
      <w:u w:val="none"/>
    </w:rPr>
  </w:style>
  <w:style w:type="character" w:customStyle="1" w:styleId="48">
    <w:name w:val="font11"/>
    <w:basedOn w:val="18"/>
    <w:qFormat/>
    <w:uiPriority w:val="0"/>
    <w:rPr>
      <w:rFonts w:hint="default" w:ascii="Times New Roman" w:hAnsi="Times New Roman" w:cs="Times New Roman"/>
      <w:color w:val="000000"/>
      <w:sz w:val="24"/>
      <w:szCs w:val="24"/>
      <w:u w:val="none"/>
    </w:rPr>
  </w:style>
  <w:style w:type="character" w:customStyle="1" w:styleId="49">
    <w:name w:val="font21"/>
    <w:basedOn w:val="18"/>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384</Words>
  <Characters>2192</Characters>
  <Lines>18</Lines>
  <Paragraphs>5</Paragraphs>
  <TotalTime>0</TotalTime>
  <ScaleCrop>false</ScaleCrop>
  <LinksUpToDate>false</LinksUpToDate>
  <CharactersWithSpaces>2571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2023-12-13T04:42:09Z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