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项目名称：</w:t>
      </w:r>
      <w:r>
        <w:rPr>
          <w:rFonts w:hint="eastAsia" w:ascii="仿宋_GB2312" w:hAnsi="仿宋_GB2312" w:eastAsia="仿宋_GB2312" w:cs="仿宋_GB2312"/>
          <w:sz w:val="36"/>
          <w:szCs w:val="36"/>
        </w:rPr>
        <w:t>农贸市场</w:t>
      </w:r>
      <w:r>
        <w:rPr>
          <w:rFonts w:ascii="仿宋_GB2312" w:hAnsi="仿宋_GB2312" w:eastAsia="仿宋_GB2312" w:cs="仿宋_GB2312"/>
          <w:sz w:val="36"/>
          <w:szCs w:val="36"/>
        </w:rPr>
        <w:t>建设项目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叶城县萨依巴格乡属党政机关行政部门，乡科级行政单位，辖21个行政村；全乡共有农牧民28560多人，农户4950户，主要以种植核桃、小麦、玉米、设施农业为主，是叶城县农业大乡。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项目资金21.12万元，用于萨依巴格乡17村农贸市场建设，让农民在市场上交易，增加家庭收入，早日脱贫致富，为脱贫攻坚战打下坚实基础。　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以201.63元/平方米的价格修建面积为1047.46平方米的萨依巴格乡17村市场，2018年实施的农贸市场建设项目，增加村集体收入年均1988元左右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根据《新财农〔2017〕127号、喀地财农［2018］1号》安排，2018年农贸市场建设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项目（自治区财政专项扶贫资金）总额为21.11万元，上级实际拨付21.11万元。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根据《新财农〔2017〕127号、喀地财农［2018］1号》安排，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本项目实际支付资金21.11万元，预算执行率100%项目资金主要用于支付萨依巴格乡2018年农贸市场项目建设，合计21.11万元。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本项目支出符合《行政单位财务管理制度及办法》，包括会计人员集中核算工作管理制度、财务收支审批制度、财务稽核制度、财务牵制制度、会计主管岗位职责等制度规定，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17村农贸市场建设实施方案》保障项目的顺利实施。项目的实施遵守相关法律法规和业务管理规定，项目资料齐全并及时归档。已建立《农贸市场日常检查监督检查机制》，安排专人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本项目共设置一级指标3个，二级指标8个，三级指标9个，其中已完成三级指标9个，指标完成率为100%。根据年初设定的绩效目标，此项目自评得分为9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按照文件要求，萨依巴格乡建设土地硬化及彩钢顶棚面积。1047.46平方米。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萨依巴格乡建设地面硬化质量合格率100%，萨依巴格乡建设彩钢顶棚质量合格率100%。该项目已经全部实施完毕。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项目资金21.11万元，该资金按照申报目标的进度进行，按时完成了支付。该项目已经全部实施完毕。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土地硬化及彩钢顶棚单价201.63元/平方米。该项目已经全部实施完毕。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通过项目实施，增加村集体收入0.19万元/年，提高全乡生活水平。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按照项目实施效果，群众贫困户脱贫能力提升。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通过实施该项目，满足农产品交易率100%，截止2018年该项目已经全部实施完毕。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不存在未完成情况:“2018年本项目绩效目标全部达成，不存在未完成原因分析。”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纪检谈话室经费项目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1、主要经验及做法：萨依巴格乡人民政府在2018年农贸市场项目中，严把支出关，确保了在关键地方，有效地杜绝了挤占挪用、虚报冒领等套取财政资金违规行为。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黑体" w:hAnsi="黑体" w:eastAsia="黑体"/>
          <w:b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Cs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查阅农贸市场项目立项、招投标、报账手续等档案资料是否齐全，查看会计记账凭证项目资金是否使用正确和资金是否支付完毕，与受益群众进行座谈等方式了解项目实施的效果及带来的社会效益。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Cs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57E6C"/>
    <w:rsid w:val="00342326"/>
    <w:rsid w:val="00386F2E"/>
    <w:rsid w:val="00C13E7F"/>
    <w:rsid w:val="00EE5D86"/>
    <w:rsid w:val="00FC12DD"/>
    <w:rsid w:val="03B32451"/>
    <w:rsid w:val="050F1E8C"/>
    <w:rsid w:val="05B201F3"/>
    <w:rsid w:val="07815041"/>
    <w:rsid w:val="082A0F47"/>
    <w:rsid w:val="084A7821"/>
    <w:rsid w:val="1734297A"/>
    <w:rsid w:val="1B845695"/>
    <w:rsid w:val="1BBC4E16"/>
    <w:rsid w:val="1E8548FE"/>
    <w:rsid w:val="217571E2"/>
    <w:rsid w:val="26976B24"/>
    <w:rsid w:val="28B87EFE"/>
    <w:rsid w:val="29077BE3"/>
    <w:rsid w:val="2B64653F"/>
    <w:rsid w:val="2F4B2A3D"/>
    <w:rsid w:val="3164422E"/>
    <w:rsid w:val="34FE15B3"/>
    <w:rsid w:val="36FD18CD"/>
    <w:rsid w:val="3F143C52"/>
    <w:rsid w:val="435A2206"/>
    <w:rsid w:val="446423AA"/>
    <w:rsid w:val="44E23E6D"/>
    <w:rsid w:val="452B12F5"/>
    <w:rsid w:val="45B12322"/>
    <w:rsid w:val="46DA362C"/>
    <w:rsid w:val="4A3D6801"/>
    <w:rsid w:val="4BC95391"/>
    <w:rsid w:val="4FDD1914"/>
    <w:rsid w:val="510757D6"/>
    <w:rsid w:val="51451436"/>
    <w:rsid w:val="54986F0A"/>
    <w:rsid w:val="599A586D"/>
    <w:rsid w:val="5E0346E4"/>
    <w:rsid w:val="61FE4D01"/>
    <w:rsid w:val="64BA0052"/>
    <w:rsid w:val="6CBB5D96"/>
    <w:rsid w:val="6F503607"/>
    <w:rsid w:val="76137C1A"/>
    <w:rsid w:val="76425D7F"/>
    <w:rsid w:val="77DD38BA"/>
    <w:rsid w:val="7A34685F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353</Words>
  <Characters>2018</Characters>
  <Lines>16</Lines>
  <Paragraphs>4</Paragraphs>
  <TotalTime>0</TotalTime>
  <ScaleCrop>false</ScaleCrop>
  <LinksUpToDate>false</LinksUpToDate>
  <CharactersWithSpaces>2367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