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rPr>
          <w:rFonts w:ascii="黑体" w:hAnsi="黑体" w:eastAsia="黑体" w:cs="黑体"/>
          <w:kern w:val="0"/>
          <w:sz w:val="32"/>
          <w:szCs w:val="32"/>
        </w:rPr>
      </w:pP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项目名称：投递员补助项目</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实施单位（公章）：西合休乡人民政府</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主管部门（公章）：西合休乡人民政府</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项目负责人（签章）：苏少文</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60" w:lineRule="exact"/>
        <w:jc w:val="center"/>
        <w:rPr>
          <w:rFonts w:ascii="黑体" w:hAnsi="黑体" w:eastAsia="黑体" w:cs="黑体"/>
          <w:kern w:val="0"/>
          <w:sz w:val="32"/>
          <w:szCs w:val="32"/>
        </w:rPr>
      </w:pPr>
    </w:p>
    <w:p>
      <w:pPr>
        <w:spacing w:line="560" w:lineRule="exact"/>
        <w:rPr>
          <w:rStyle w:val="18"/>
          <w:rFonts w:ascii="黑体" w:hAnsi="黑体" w:eastAsia="黑体" w:cs="黑体"/>
          <w:b w:val="0"/>
          <w:spacing w:val="-4"/>
          <w:sz w:val="32"/>
          <w:szCs w:val="32"/>
        </w:rPr>
      </w:pPr>
    </w:p>
    <w:p>
      <w:pPr>
        <w:spacing w:line="56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br w:type="page"/>
      </w:r>
    </w:p>
    <w:p>
      <w:pPr>
        <w:spacing w:line="560" w:lineRule="exact"/>
        <w:ind w:firstLine="567"/>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一、项目概况</w:t>
      </w:r>
    </w:p>
    <w:p>
      <w:pPr>
        <w:spacing w:line="560" w:lineRule="exact"/>
        <w:ind w:firstLine="567"/>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（一）项目单位基本情况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西合休乡属机关行政部门，乡科级行政单位，辖9个行政村；全乡374个村民小组共有农牧民6628人，农户1682户，全乡维吾尔族占83.22%，柯尔克孜族占16.78%，全乡总耕地面积0.62万亩，农业人均占有耕地0.42万亩、畜牧业和设施农业，属于叶城县以畜牧业为主的山区乡之一。</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经济社会发展、社会事务管理、基层组织建设等全面工作。以全面建设社会主义新农村为根本出发点，不断深化美丽乡、村建设，脱贫攻坚，不断铸牢全乡经济社会发展基础，为全乡提供社会服务。</w:t>
      </w:r>
      <w:bookmarkStart w:id="0" w:name="_GoBack"/>
      <w:bookmarkEnd w:id="0"/>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编制人数60人，其中：行政人员编制41人，参照公务员管理的事业单位人员编制1人，全额拨款事业单位人员编制16 人，工勤编制2人。实有在职人数79人，其中：行政在职58人，参照公务员管理的事业单位人员 10人，事业在职11人，工勤在职人数0人。退休人员 15人，遗属供养人员10人。</w:t>
      </w:r>
    </w:p>
    <w:p>
      <w:pPr>
        <w:spacing w:line="560" w:lineRule="exact"/>
        <w:ind w:firstLine="564" w:firstLineChars="181"/>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新财建【2018】93号、喀地财建【2018】40号文件要求。西合休乡人民政府投递员补助项目支出0.12万元，按照乡党委的安排部署，并且严格按照会计制度的要求支出，保证邮递员误餐有补助，提高其工资积极性。</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西合休乡人民政府投递员补助项目为行政单位项目支出。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西合休乡人民政府投递员补助项目资金主要用于投递员补助。</w:t>
      </w:r>
    </w:p>
    <w:p>
      <w:pPr>
        <w:spacing w:line="560" w:lineRule="exact"/>
        <w:ind w:firstLine="567"/>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二、项目资金使用及管理情况</w:t>
      </w:r>
    </w:p>
    <w:p>
      <w:pPr>
        <w:spacing w:line="560" w:lineRule="exact"/>
        <w:ind w:firstLine="564" w:firstLineChars="181"/>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西合休乡人民政府投递员补助项目预算安排总额为0.12万元，其中财政资金0.12万元，自筹资金0万元，2018年实际收到预算资金0.12万元。</w:t>
      </w:r>
    </w:p>
    <w:p>
      <w:pPr>
        <w:spacing w:line="560" w:lineRule="exact"/>
        <w:ind w:firstLine="564" w:firstLineChars="181"/>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西合休乡人民政府投递员补助项目实际支付资金0.12万元，预算执行率100%，项目资金主要用于支付投递员补助。</w:t>
      </w:r>
    </w:p>
    <w:p>
      <w:pPr>
        <w:spacing w:line="560" w:lineRule="exact"/>
        <w:ind w:firstLine="564" w:firstLineChars="181"/>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邮递员补助经费资金符合《行政单位财务管理制度及办法》，包括会计人员集中核算工作管理制度、财务收支审批制度、财务稽核制度、财务牵制制度、会计主管岗位职责等制度规定，资金的拨付有完整的审批程序和手续，不存在截留、挤占、挪用等情况。</w:t>
      </w:r>
    </w:p>
    <w:p>
      <w:pPr>
        <w:spacing w:line="560" w:lineRule="exact"/>
        <w:ind w:firstLine="567"/>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三、项目组织实施情况</w:t>
      </w:r>
    </w:p>
    <w:p>
      <w:pPr>
        <w:spacing w:line="560" w:lineRule="exact"/>
        <w:ind w:firstLine="564" w:firstLineChars="181"/>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（一）项目组织情况分析</w:t>
      </w:r>
    </w:p>
    <w:p>
      <w:pPr>
        <w:spacing w:line="560" w:lineRule="exact"/>
        <w:ind w:firstLine="564" w:firstLineChars="181"/>
        <w:rPr>
          <w:rStyle w:val="18"/>
          <w:rFonts w:ascii="仿宋_GB2312" w:hAnsi="仿宋_GB2312" w:eastAsia="仿宋_GB2312" w:cs="仿宋_GB2312"/>
          <w:b w:val="0"/>
          <w:color w:val="000000" w:themeColor="text1"/>
          <w:spacing w:val="-4"/>
          <w:sz w:val="32"/>
          <w:szCs w:val="32"/>
        </w:rPr>
      </w:pPr>
      <w:r>
        <w:rPr>
          <w:rStyle w:val="18"/>
          <w:rFonts w:hint="eastAsia" w:ascii="仿宋_GB2312" w:hAnsi="仿宋_GB2312" w:eastAsia="仿宋_GB2312" w:cs="仿宋_GB2312"/>
          <w:b w:val="0"/>
          <w:color w:val="000000" w:themeColor="text1"/>
          <w:spacing w:val="-4"/>
          <w:sz w:val="32"/>
          <w:szCs w:val="32"/>
        </w:rPr>
        <w:t>西合休乡人民政府投递员补助项目属于新增项目,由本单位自行发放到个人手中。实施过程均按照本单位制定的管理制度执行。本项目不存在调整情况。本项目不存在检查验收程序。</w:t>
      </w:r>
    </w:p>
    <w:p>
      <w:pPr>
        <w:spacing w:line="560" w:lineRule="exact"/>
        <w:ind w:firstLine="564" w:firstLineChars="181"/>
        <w:rPr>
          <w:rStyle w:val="18"/>
          <w:rFonts w:ascii="仿宋_GB2312" w:hAnsi="仿宋_GB2312" w:eastAsia="仿宋_GB2312" w:cs="仿宋_GB2312"/>
          <w:b w:val="0"/>
          <w:bCs w:val="0"/>
          <w:spacing w:val="-4"/>
          <w:sz w:val="32"/>
          <w:szCs w:val="32"/>
        </w:rPr>
      </w:pPr>
      <w:r>
        <w:rPr>
          <w:rStyle w:val="18"/>
          <w:rFonts w:hint="eastAsia" w:ascii="仿宋_GB2312" w:hAnsi="仿宋_GB2312" w:eastAsia="仿宋_GB2312" w:cs="仿宋_GB2312"/>
          <w:b w:val="0"/>
          <w:bCs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18"/>
          <w:rFonts w:hint="eastAsia" w:ascii="仿宋_GB2312" w:hAnsi="仿宋_GB2312" w:eastAsia="仿宋_GB2312" w:cs="仿宋_GB2312"/>
          <w:b w:val="0"/>
          <w:color w:val="000000" w:themeColor="text1"/>
          <w:spacing w:val="-4"/>
          <w:sz w:val="32"/>
          <w:szCs w:val="32"/>
        </w:rPr>
        <w:t>西合休乡人民政府</w:t>
      </w:r>
      <w:r>
        <w:rPr>
          <w:rFonts w:hint="eastAsia" w:ascii="仿宋_GB2312" w:hAnsi="仿宋_GB2312" w:eastAsia="仿宋_GB2312" w:cs="仿宋_GB2312"/>
          <w:bCs/>
          <w:color w:val="000000" w:themeColor="text1"/>
          <w:spacing w:val="-4"/>
          <w:sz w:val="32"/>
          <w:szCs w:val="32"/>
        </w:rPr>
        <w:t>邮递员补助项目支出过程中，根据《基本预算支出管理办法》等，基本支出严格遵守相关法律法规和业务管理规定，支出资料齐全并及时归档，</w:t>
      </w:r>
      <w:r>
        <w:rPr>
          <w:rFonts w:hint="eastAsia" w:ascii="仿宋_GB2312" w:hAnsi="仿宋_GB2312" w:eastAsia="仿宋_GB2312" w:cs="仿宋_GB2312"/>
          <w:bCs/>
          <w:color w:val="000000"/>
          <w:spacing w:val="-4"/>
          <w:sz w:val="32"/>
          <w:szCs w:val="32"/>
        </w:rPr>
        <w:t>确保邮递员补助按时发放。</w:t>
      </w:r>
    </w:p>
    <w:p>
      <w:pPr>
        <w:spacing w:line="560" w:lineRule="exact"/>
        <w:ind w:firstLine="567"/>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四、项目绩效情况</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（一）项目绩效目标完成情况分析</w:t>
      </w:r>
    </w:p>
    <w:p>
      <w:pPr>
        <w:widowControl/>
        <w:spacing w:line="560" w:lineRule="exact"/>
        <w:ind w:firstLine="312" w:firstLineChars="100"/>
        <w:jc w:val="left"/>
        <w:rPr>
          <w:rFonts w:ascii="仿宋_GB2312" w:hAnsi="仿宋_GB2312" w:eastAsia="仿宋_GB2312" w:cs="仿宋_GB2312"/>
          <w:kern w:val="0"/>
          <w:sz w:val="32"/>
          <w:szCs w:val="32"/>
        </w:rPr>
      </w:pPr>
      <w:r>
        <w:rPr>
          <w:rFonts w:hint="eastAsia" w:ascii="仿宋_GB2312" w:hAnsi="仿宋_GB2312" w:eastAsia="仿宋_GB2312" w:cs="仿宋_GB2312"/>
          <w:bCs/>
          <w:color w:val="000000"/>
          <w:spacing w:val="-4"/>
          <w:sz w:val="32"/>
          <w:szCs w:val="32"/>
        </w:rPr>
        <w:t>西合休乡工作经费项目共设置一级指标3个，二级指标7个，三级指标9个，其中已完成三级指标9个，指标完成率为100%。</w:t>
      </w:r>
      <w:r>
        <w:rPr>
          <w:rFonts w:hint="eastAsia" w:ascii="仿宋_GB2312" w:hAnsi="仿宋_GB2312" w:eastAsia="仿宋_GB2312" w:cs="仿宋_GB2312"/>
          <w:kern w:val="0"/>
          <w:sz w:val="32"/>
          <w:szCs w:val="32"/>
        </w:rPr>
        <w:t>根据年初设定的绩效目标，此项目自评得分为</w:t>
      </w:r>
      <w:r>
        <w:rPr>
          <w:rFonts w:hint="eastAsia" w:ascii="仿宋_GB2312" w:hAnsi="仿宋_GB2312" w:eastAsia="仿宋_GB2312" w:cs="仿宋_GB2312"/>
          <w:kern w:val="0"/>
          <w:sz w:val="32"/>
          <w:szCs w:val="32"/>
          <w:lang w:val="en-US" w:eastAsia="zh-CN"/>
        </w:rPr>
        <w:t>89</w:t>
      </w:r>
      <w:r>
        <w:rPr>
          <w:rFonts w:hint="eastAsia" w:ascii="仿宋_GB2312" w:hAnsi="仿宋_GB2312" w:eastAsia="仿宋_GB2312" w:cs="仿宋_GB2312"/>
          <w:kern w:val="0"/>
          <w:sz w:val="32"/>
          <w:szCs w:val="32"/>
        </w:rPr>
        <w:t>分。</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1.产出指标完成情况分析</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截止2018年年度自评工作，西合休乡投递员补助项目共计保障投递员人数1人，已全部执行，完成年度设定的预期目标，完成率100%。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截止2018年年度自评工作，工作开展资金保障率100%，已全部覆盖，我单位严格按照年度预期设定目标，为保证投递员生活质量的提高，补助资金发放及时，覆盖范围全面，项目完成质量良好。</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（3）项目实施进度</w:t>
      </w:r>
    </w:p>
    <w:p>
      <w:pPr>
        <w:widowControl/>
        <w:spacing w:line="560" w:lineRule="exact"/>
        <w:ind w:firstLine="312" w:firstLineChars="100"/>
        <w:jc w:val="lef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截止2018年年度自评评价时，我单位严格按照前期制定的项目实施方案，为保证项目进度与资金支出进度相统一的原则，西合休乡投递员补助项目资金到位及时率和资金发放及时率100%，已全部及时发放。</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截止2018年，西合休投递员补助项目</w:t>
      </w:r>
      <w:r>
        <w:rPr>
          <w:rFonts w:hint="eastAsia" w:ascii="仿宋_GB2312" w:hAnsi="仿宋_GB2312" w:eastAsia="仿宋_GB2312" w:cs="仿宋_GB2312"/>
          <w:bCs/>
          <w:sz w:val="32"/>
          <w:szCs w:val="32"/>
        </w:rPr>
        <w:t>人均经费月保障金额100元/人/年</w:t>
      </w:r>
      <w:r>
        <w:rPr>
          <w:rFonts w:hint="eastAsia" w:ascii="仿宋_GB2312" w:hAnsi="仿宋_GB2312" w:eastAsia="仿宋_GB2312" w:cs="仿宋_GB2312"/>
          <w:bCs/>
          <w:spacing w:val="-4"/>
          <w:sz w:val="32"/>
          <w:szCs w:val="32"/>
        </w:rPr>
        <w:t>，已全部按预算成本发放，无成本节约情况。</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2.效益指标完成情况分析</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8"/>
          <w:rFonts w:hint="eastAsia" w:ascii="仿宋_GB2312" w:hAnsi="仿宋_GB2312" w:eastAsia="仿宋_GB2312" w:cs="仿宋_GB2312"/>
          <w:b w:val="0"/>
          <w:spacing w:val="-4"/>
          <w:sz w:val="32"/>
          <w:szCs w:val="32"/>
        </w:rPr>
        <w:t>投递员补助项目资金</w:t>
      </w:r>
      <w:r>
        <w:rPr>
          <w:rFonts w:hint="eastAsia" w:ascii="仿宋_GB2312" w:hAnsi="仿宋_GB2312" w:eastAsia="仿宋_GB2312" w:cs="仿宋_GB2312"/>
          <w:bCs/>
          <w:spacing w:val="-4"/>
          <w:sz w:val="32"/>
          <w:szCs w:val="32"/>
        </w:rPr>
        <w:t>的实施，增加了农牧民投递员生活补贴0.12万元，提高了投递员的生活质量。</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项目实施的社会效益分析</w:t>
      </w:r>
    </w:p>
    <w:p>
      <w:pPr>
        <w:spacing w:line="560" w:lineRule="exact"/>
        <w:ind w:firstLine="312" w:firstLineChars="1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18"/>
          <w:rFonts w:hint="eastAsia" w:ascii="仿宋_GB2312" w:hAnsi="仿宋_GB2312" w:eastAsia="仿宋_GB2312" w:cs="仿宋_GB2312"/>
          <w:b w:val="0"/>
          <w:spacing w:val="-4"/>
          <w:sz w:val="32"/>
          <w:szCs w:val="32"/>
        </w:rPr>
        <w:t>投递员补助项目</w:t>
      </w:r>
      <w:r>
        <w:rPr>
          <w:rFonts w:hint="eastAsia" w:ascii="仿宋_GB2312" w:hAnsi="仿宋_GB2312" w:eastAsia="仿宋_GB2312" w:cs="仿宋_GB2312"/>
          <w:bCs/>
          <w:spacing w:val="-4"/>
          <w:sz w:val="32"/>
          <w:szCs w:val="32"/>
        </w:rPr>
        <w:t>的实施，</w:t>
      </w:r>
      <w:r>
        <w:rPr>
          <w:rStyle w:val="18"/>
          <w:rFonts w:hint="eastAsia" w:ascii="仿宋_GB2312" w:hAnsi="仿宋_GB2312" w:eastAsia="仿宋_GB2312" w:cs="仿宋_GB2312"/>
          <w:b w:val="0"/>
          <w:spacing w:val="-4"/>
          <w:sz w:val="32"/>
          <w:szCs w:val="32"/>
        </w:rPr>
        <w:t>经费开展保障持续率100%</w:t>
      </w:r>
      <w:r>
        <w:rPr>
          <w:rFonts w:hint="eastAsia" w:ascii="仿宋_GB2312" w:hAnsi="仿宋_GB2312" w:eastAsia="仿宋_GB2312" w:cs="仿宋_GB2312"/>
          <w:bCs/>
          <w:spacing w:val="-4"/>
          <w:sz w:val="32"/>
          <w:szCs w:val="32"/>
        </w:rPr>
        <w:t>。加强了</w:t>
      </w:r>
      <w:r>
        <w:rPr>
          <w:rStyle w:val="18"/>
          <w:rFonts w:hint="eastAsia" w:ascii="仿宋_GB2312" w:hAnsi="仿宋_GB2312" w:eastAsia="仿宋_GB2312" w:cs="仿宋_GB2312"/>
          <w:b w:val="0"/>
          <w:spacing w:val="-4"/>
          <w:sz w:val="32"/>
          <w:szCs w:val="32"/>
        </w:rPr>
        <w:t>投递员</w:t>
      </w:r>
      <w:r>
        <w:rPr>
          <w:rFonts w:hint="eastAsia" w:ascii="仿宋_GB2312" w:hAnsi="仿宋_GB2312" w:eastAsia="仿宋_GB2312" w:cs="仿宋_GB2312"/>
          <w:bCs/>
          <w:spacing w:val="-4"/>
          <w:sz w:val="32"/>
          <w:szCs w:val="32"/>
        </w:rPr>
        <w:t>的幸福感，也是对国家政策对待的服务水平产生较大提升。</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（3）项目实施的生态效益分析</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无</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（4）项目实施的可持续影响分析</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影响可持续时间1年，夯实工作基础明显改善。</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3.满意度指标完成情况分析</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按计划完成项目实施，已做满意度调查问卷，满意率达92%，服务对象满意度指标完成。</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经济性：经济效益为增加邮递员年收入0.12万元，确保了低投入、高效率。</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效率性：乡镇严格按照县委、县人民政府的要求，该项目100%的完成，开展工作。</w:t>
      </w:r>
    </w:p>
    <w:p>
      <w:pPr>
        <w:widowControl/>
        <w:spacing w:line="560" w:lineRule="exact"/>
        <w:ind w:firstLine="312" w:firstLineChars="100"/>
        <w:jc w:val="left"/>
        <w:rPr>
          <w:rFonts w:ascii="仿宋_GB2312" w:hAnsi="仿宋_GB2312" w:eastAsia="仿宋_GB2312" w:cs="仿宋_GB2312"/>
          <w:bCs/>
          <w:color w:val="000000"/>
          <w:spacing w:val="-4"/>
          <w:sz w:val="32"/>
          <w:szCs w:val="32"/>
        </w:rPr>
      </w:pPr>
      <w:r>
        <w:rPr>
          <w:rFonts w:hint="eastAsia" w:ascii="仿宋_GB2312" w:hAnsi="仿宋_GB2312" w:eastAsia="仿宋_GB2312" w:cs="仿宋_GB2312"/>
          <w:bCs/>
          <w:color w:val="000000"/>
          <w:spacing w:val="-4"/>
          <w:sz w:val="32"/>
          <w:szCs w:val="32"/>
        </w:rPr>
        <w:t>效益性：通过工作的开展，为新农村建设创造了良好的社会氛围。</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（二）项目绩效目标未完成原因分析</w:t>
      </w:r>
    </w:p>
    <w:p>
      <w:pPr>
        <w:spacing w:line="560" w:lineRule="exact"/>
        <w:ind w:firstLine="564" w:firstLineChars="181"/>
        <w:rPr>
          <w:rFonts w:ascii="仿宋_GB2312" w:hAnsi="仿宋_GB2312" w:eastAsia="仿宋_GB2312" w:cs="仿宋_GB2312"/>
          <w:spacing w:val="-4"/>
          <w:sz w:val="32"/>
          <w:szCs w:val="32"/>
        </w:rPr>
      </w:pPr>
      <w:r>
        <w:rPr>
          <w:rFonts w:hint="eastAsia" w:ascii="仿宋_GB2312" w:hAnsi="仿宋_GB2312" w:eastAsia="仿宋_GB2312" w:cs="仿宋_GB2312"/>
          <w:color w:val="000000" w:themeColor="text1"/>
          <w:spacing w:val="-4"/>
          <w:sz w:val="32"/>
          <w:szCs w:val="32"/>
        </w:rPr>
        <w:t>2018年本项目绩效目标全部达成，不存在未完成原因分析。</w:t>
      </w:r>
    </w:p>
    <w:p>
      <w:pPr>
        <w:spacing w:line="560" w:lineRule="exact"/>
        <w:ind w:firstLine="567"/>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五、其他需要说明的问题</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（一）后续工作计划</w:t>
      </w:r>
    </w:p>
    <w:p>
      <w:pPr>
        <w:spacing w:line="560" w:lineRule="exact"/>
        <w:ind w:firstLine="564" w:firstLineChars="181"/>
        <w:rPr>
          <w:rFonts w:ascii="仿宋_GB2312" w:hAnsi="仿宋_GB2312" w:eastAsia="仿宋_GB2312" w:cs="仿宋_GB2312"/>
          <w:b/>
          <w:spacing w:val="-4"/>
          <w:sz w:val="32"/>
          <w:szCs w:val="32"/>
        </w:rPr>
      </w:pPr>
      <w:r>
        <w:rPr>
          <w:rFonts w:hint="eastAsia" w:ascii="仿宋_GB2312" w:hAnsi="仿宋_GB2312" w:eastAsia="仿宋_GB2312" w:cs="仿宋_GB2312"/>
          <w:bCs/>
          <w:color w:val="000000" w:themeColor="text1"/>
          <w:spacing w:val="-4"/>
          <w:sz w:val="32"/>
          <w:szCs w:val="32"/>
        </w:rPr>
        <w:t>西合休乡人民政府投递员补助项目项目中，顺利完成支出任务，在下一年度工作中，严格执行各项支出，确保工作取得实效。</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（二）主要经验及做法、存在问题和建议</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1、主要经验及做法：西合休乡人民政府在2018年投递员补助项目中，严把支出关，确保了项目资金用在关键地方，有效地杜绝了挤占挪用、虚报冒领等套取财政资金违规行为。</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2、建议：加强财务人员业务培训，提高工作效率；单位加强财务管理制度的完善，不断提高单位财务的规范管理。</w:t>
      </w:r>
    </w:p>
    <w:p>
      <w:pPr>
        <w:adjustRightInd w:val="0"/>
        <w:snapToGrid w:val="0"/>
        <w:spacing w:line="560" w:lineRule="exact"/>
        <w:ind w:firstLine="624" w:firstLineChars="200"/>
        <w:rPr>
          <w:rStyle w:val="18"/>
          <w:rFonts w:ascii="仿宋_GB2312" w:hAnsi="仿宋_GB2312" w:eastAsia="仿宋_GB2312" w:cs="仿宋_GB2312"/>
          <w:b w:val="0"/>
          <w:color w:val="000000"/>
          <w:spacing w:val="-4"/>
          <w:sz w:val="32"/>
          <w:szCs w:val="32"/>
        </w:rPr>
      </w:pPr>
      <w:r>
        <w:rPr>
          <w:rStyle w:val="18"/>
          <w:rFonts w:hint="eastAsia" w:ascii="仿宋_GB2312" w:hAnsi="仿宋_GB2312" w:eastAsia="仿宋_GB2312" w:cs="仿宋_GB2312"/>
          <w:b w:val="0"/>
          <w:color w:val="000000"/>
          <w:spacing w:val="-4"/>
          <w:sz w:val="32"/>
          <w:szCs w:val="32"/>
        </w:rPr>
        <w:t>（三）其他</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无其他说明内容。</w:t>
      </w:r>
    </w:p>
    <w:p>
      <w:pPr>
        <w:spacing w:line="560" w:lineRule="exact"/>
        <w:ind w:firstLine="567"/>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六、项目评价工作情况</w:t>
      </w:r>
    </w:p>
    <w:p>
      <w:pPr>
        <w:adjustRightInd w:val="0"/>
        <w:snapToGrid w:val="0"/>
        <w:spacing w:line="560" w:lineRule="exact"/>
        <w:ind w:firstLine="624" w:firstLineChars="200"/>
        <w:rPr>
          <w:rFonts w:ascii="仿宋_GB2312" w:hAnsi="仿宋_GB2312" w:eastAsia="仿宋_GB2312" w:cs="仿宋_GB2312"/>
          <w:color w:val="000000" w:themeColor="text1"/>
          <w:spacing w:val="-4"/>
          <w:sz w:val="32"/>
          <w:szCs w:val="32"/>
        </w:rPr>
      </w:pPr>
      <w:r>
        <w:rPr>
          <w:rFonts w:hint="eastAsia" w:ascii="仿宋_GB2312" w:hAnsi="仿宋_GB2312" w:eastAsia="仿宋_GB2312" w:cs="仿宋_GB2312"/>
          <w:color w:val="000000" w:themeColor="text1"/>
          <w:spacing w:val="-4"/>
          <w:sz w:val="32"/>
          <w:szCs w:val="32"/>
        </w:rPr>
        <w:t>本次评价通过文件研读、实地调研、数据分析等方式，全面了解西合休乡人民政府基本支出的使用效率和效果，基本支出管理过程是否规范，是否完成了预期绩效目标等。同时，通过开展自我评价来总结经验和教训，为顺利持续实施喀什地区叶城县西合休乡人民政府基本支出的工作奠定基础。</w:t>
      </w:r>
    </w:p>
    <w:p>
      <w:pPr>
        <w:spacing w:line="560" w:lineRule="exact"/>
        <w:ind w:firstLine="567"/>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七、附表《项目支出绩效目标自评表》</w:t>
      </w:r>
    </w:p>
    <w:p>
      <w:pPr>
        <w:spacing w:line="560" w:lineRule="exact"/>
        <w:ind w:firstLine="640"/>
        <w:rPr>
          <w:rStyle w:val="18"/>
          <w:rFonts w:ascii="仿宋_GB2312" w:hAnsi="仿宋_GB2312" w:eastAsia="仿宋_GB2312" w:cs="仿宋_GB2312"/>
          <w:b w:val="0"/>
          <w:spacing w:val="-4"/>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165E7"/>
    <w:rsid w:val="00056465"/>
    <w:rsid w:val="00121AE4"/>
    <w:rsid w:val="00145636"/>
    <w:rsid w:val="00146AAD"/>
    <w:rsid w:val="00182B66"/>
    <w:rsid w:val="001B3A40"/>
    <w:rsid w:val="001C08CB"/>
    <w:rsid w:val="00216505"/>
    <w:rsid w:val="002F2C36"/>
    <w:rsid w:val="00330E90"/>
    <w:rsid w:val="004366A8"/>
    <w:rsid w:val="00502BA7"/>
    <w:rsid w:val="005162F1"/>
    <w:rsid w:val="00535153"/>
    <w:rsid w:val="00554F82"/>
    <w:rsid w:val="0056390D"/>
    <w:rsid w:val="005719B0"/>
    <w:rsid w:val="005A1BE7"/>
    <w:rsid w:val="005D10D6"/>
    <w:rsid w:val="005D4252"/>
    <w:rsid w:val="006F2ACF"/>
    <w:rsid w:val="00805C6E"/>
    <w:rsid w:val="00855E3A"/>
    <w:rsid w:val="00922CB9"/>
    <w:rsid w:val="009B43EF"/>
    <w:rsid w:val="009E5CD9"/>
    <w:rsid w:val="00A26421"/>
    <w:rsid w:val="00A4293B"/>
    <w:rsid w:val="00A53063"/>
    <w:rsid w:val="00A65E34"/>
    <w:rsid w:val="00A67D50"/>
    <w:rsid w:val="00A8691A"/>
    <w:rsid w:val="00AC1448"/>
    <w:rsid w:val="00AC1946"/>
    <w:rsid w:val="00AD5CD6"/>
    <w:rsid w:val="00B40063"/>
    <w:rsid w:val="00B41F61"/>
    <w:rsid w:val="00BA46E6"/>
    <w:rsid w:val="00BD5612"/>
    <w:rsid w:val="00C56C72"/>
    <w:rsid w:val="00C62BF1"/>
    <w:rsid w:val="00C84B56"/>
    <w:rsid w:val="00CA6457"/>
    <w:rsid w:val="00D17F2E"/>
    <w:rsid w:val="00D30354"/>
    <w:rsid w:val="00D80F24"/>
    <w:rsid w:val="00DF42A0"/>
    <w:rsid w:val="00E25C9D"/>
    <w:rsid w:val="00E769FE"/>
    <w:rsid w:val="00EA2CBE"/>
    <w:rsid w:val="00EB095D"/>
    <w:rsid w:val="00F32FEE"/>
    <w:rsid w:val="00FB10BB"/>
    <w:rsid w:val="011166A3"/>
    <w:rsid w:val="0B490134"/>
    <w:rsid w:val="0BC72582"/>
    <w:rsid w:val="0DDD13D4"/>
    <w:rsid w:val="106B5527"/>
    <w:rsid w:val="160D2BE5"/>
    <w:rsid w:val="16803D85"/>
    <w:rsid w:val="17427702"/>
    <w:rsid w:val="1B5A58AC"/>
    <w:rsid w:val="1CF231A0"/>
    <w:rsid w:val="1EC62792"/>
    <w:rsid w:val="29F50DEB"/>
    <w:rsid w:val="318E2685"/>
    <w:rsid w:val="38095C16"/>
    <w:rsid w:val="38A13D98"/>
    <w:rsid w:val="417655AB"/>
    <w:rsid w:val="498C6359"/>
    <w:rsid w:val="4CAD3458"/>
    <w:rsid w:val="4F1D4EFB"/>
    <w:rsid w:val="53D110C7"/>
    <w:rsid w:val="56D609E1"/>
    <w:rsid w:val="5E3B5D50"/>
    <w:rsid w:val="64200087"/>
    <w:rsid w:val="65127195"/>
    <w:rsid w:val="6CBA7003"/>
    <w:rsid w:val="71A46DA1"/>
    <w:rsid w:val="729D3316"/>
    <w:rsid w:val="74F31E17"/>
    <w:rsid w:val="7C515C6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customStyle="1" w:styleId="31">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引用1"/>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customStyle="1" w:styleId="35">
    <w:name w:val="明显引用1"/>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85858" w:themeColor="text1" w:themeTint="A6"/>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 w:type="character" w:customStyle="1" w:styleId="46">
    <w:name w:val="font61"/>
    <w:basedOn w:val="17"/>
    <w:qFormat/>
    <w:uiPriority w:val="0"/>
    <w:rPr>
      <w:rFonts w:hint="eastAsia" w:ascii="宋体" w:hAnsi="宋体" w:eastAsia="宋体" w:cs="宋体"/>
      <w:color w:val="000000"/>
      <w:sz w:val="24"/>
      <w:szCs w:val="24"/>
      <w:u w:val="none"/>
    </w:rPr>
  </w:style>
  <w:style w:type="character" w:customStyle="1" w:styleId="47">
    <w:name w:val="font21"/>
    <w:basedOn w:val="17"/>
    <w:uiPriority w:val="0"/>
    <w:rPr>
      <w:rFonts w:hint="default" w:ascii="Times New Roman" w:hAnsi="Times New Roman" w:cs="Times New Roman"/>
      <w:color w:val="000000"/>
      <w:sz w:val="24"/>
      <w:szCs w:val="24"/>
      <w:u w:val="none"/>
    </w:rPr>
  </w:style>
  <w:style w:type="character" w:customStyle="1" w:styleId="48">
    <w:name w:val="font11"/>
    <w:basedOn w:val="17"/>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397</Words>
  <Characters>2267</Characters>
  <Lines>18</Lines>
  <Paragraphs>5</Paragraphs>
  <TotalTime>1</TotalTime>
  <ScaleCrop>false</ScaleCrop>
  <LinksUpToDate>false</LinksUpToDate>
  <CharactersWithSpaces>2659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2023-11-25T04:05:57Z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