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仿宋" w:hAnsi="仿宋" w:eastAsia="仿宋" w:cs="宋体"/>
          <w:kern w:val="0"/>
          <w:sz w:val="32"/>
          <w:szCs w:val="32"/>
        </w:rPr>
      </w:pPr>
    </w:p>
    <w:p>
      <w:pPr>
        <w:spacing w:line="560" w:lineRule="exact"/>
        <w:jc w:val="center"/>
        <w:rPr>
          <w:rFonts w:ascii="仿宋" w:hAnsi="仿宋" w:eastAsia="仿宋" w:cs="宋体"/>
          <w:kern w:val="0"/>
          <w:sz w:val="32"/>
          <w:szCs w:val="3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spacing w:line="560" w:lineRule="exact"/>
        <w:jc w:val="center"/>
        <w:rPr>
          <w:rFonts w:ascii="华文中宋" w:hAnsi="华文中宋" w:eastAsia="华文中宋" w:cs="宋体"/>
          <w:b/>
          <w:kern w:val="0"/>
          <w:sz w:val="52"/>
          <w:szCs w:val="52"/>
        </w:rPr>
      </w:pPr>
    </w:p>
    <w:p>
      <w:pPr>
        <w:spacing w:line="56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rPr>
          <w:rFonts w:ascii="黑体" w:hAnsi="黑体" w:eastAsia="黑体" w:cs="黑体"/>
          <w:kern w:val="0"/>
          <w:sz w:val="32"/>
          <w:szCs w:val="32"/>
        </w:rPr>
      </w:pPr>
    </w:p>
    <w:p>
      <w:pPr>
        <w:spacing w:line="560" w:lineRule="exact"/>
        <w:jc w:val="left"/>
        <w:rPr>
          <w:rFonts w:hint="eastAsia" w:ascii="黑体" w:hAnsi="黑体" w:eastAsia="黑体" w:cs="黑体"/>
          <w:kern w:val="0"/>
          <w:sz w:val="32"/>
          <w:szCs w:val="32"/>
        </w:rPr>
      </w:pPr>
      <w:r>
        <w:rPr>
          <w:rFonts w:hint="eastAsia" w:ascii="黑体" w:hAnsi="黑体" w:eastAsia="黑体" w:cs="黑体"/>
          <w:kern w:val="0"/>
          <w:sz w:val="32"/>
          <w:szCs w:val="32"/>
        </w:rPr>
        <w:t xml:space="preserve">     项目名称：偏远地区牧民项目　</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实施单位（公章）：叶城县西合休乡人民政府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主管部门（公章）：叶城县西合休乡人民政府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项目负责人（签章）：苏少文</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60" w:lineRule="exact"/>
        <w:jc w:val="center"/>
        <w:rPr>
          <w:rFonts w:ascii="黑体" w:hAnsi="黑体" w:eastAsia="黑体" w:cs="黑体"/>
          <w:kern w:val="0"/>
          <w:sz w:val="32"/>
          <w:szCs w:val="32"/>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（一）项目单位基本情况</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叶城县西合休乡属机关行政部门，乡科级行政单位，辖9个行政村；全乡374个村民小组共有农牧民6628人，农户1682户，全乡总耕地面积0.62万亩，农业人均占有耕地0.42万亩、畜牧业和设施农业，属于叶城县以畜牧业为主的山区乡之一。</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主要职能：负责全乡经济社会发展、社会事务管理、基层组织建设等全面工作。以全面建设社会主义新农村为根本出发点，不断深化美丽乡、村建设，脱贫攻坚，</w:t>
      </w:r>
      <w:bookmarkStart w:id="0" w:name="_GoBack"/>
      <w:bookmarkEnd w:id="0"/>
      <w:r>
        <w:rPr>
          <w:rStyle w:val="19"/>
          <w:rFonts w:hint="eastAsia" w:ascii="仿宋_GB2312" w:hAnsi="仿宋_GB2312" w:eastAsia="仿宋_GB2312" w:cs="仿宋_GB2312"/>
          <w:b w:val="0"/>
          <w:spacing w:val="-4"/>
          <w:sz w:val="32"/>
          <w:szCs w:val="32"/>
        </w:rPr>
        <w:t>不断铸牢全乡经济社会发展基础，为全提供社会服务。</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编制人数60人，其中：行政人员编制41人，参照公务员管理的事业单位人员编制1人，全额拨款事业单位人员编制16 人，工勤编制2人。实有在职人数79人，其中：行政在职58人，参照公务员管理的事业单位人员 10人，事业在职11人，工勤在职人数0人。退休人员 15人，遗属供养人员10人。</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（二）项目预算绩效目标设定情况</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 根据新财行〔2018〕0099号、喀地财行［2018］36号文件， 西合休乡2018年偏远地区牧民补助资金项目5119.69万元，保证西合休乡1562名牧民，正常开展工作充分发挥牧民职能作用。 </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根据新财行〔2018〕0099号、喀地财行［2018］36号文件，本项目资金5119.69万元，其中财政资金5119.69万元，其他资金0万元，资金到位5119.69 万元；资金到位率100%。</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 xml:space="preserve">（二）项目资金实际使用情况分析   </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本项目到位资金5119.69万元，本项目实际支付资金5119.69 万元，预算执行率100%。项目资金主要用于支付西合休乡偏远地区牧民补助，保障他们的生活。</w:t>
      </w:r>
    </w:p>
    <w:p>
      <w:pPr>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西合休乡人民政府</w:t>
      </w:r>
      <w:r>
        <w:rPr>
          <w:rStyle w:val="19"/>
          <w:rFonts w:hint="eastAsia" w:ascii="仿宋_GB2312" w:hAnsi="仿宋_GB2312" w:eastAsia="仿宋_GB2312" w:cs="仿宋_GB2312"/>
          <w:b w:val="0"/>
          <w:spacing w:val="-4"/>
          <w:sz w:val="32"/>
          <w:szCs w:val="32"/>
        </w:rPr>
        <w:t>偏远地区牧民</w:t>
      </w:r>
      <w:r>
        <w:rPr>
          <w:rFonts w:hint="eastAsia" w:ascii="仿宋_GB2312" w:hAnsi="仿宋_GB2312" w:eastAsia="仿宋_GB2312" w:cs="仿宋_GB2312"/>
          <w:bCs/>
          <w:color w:val="000000" w:themeColor="text1"/>
          <w:spacing w:val="-4"/>
          <w:sz w:val="32"/>
          <w:szCs w:val="32"/>
        </w:rPr>
        <w:t>补助经费资金符合《行政单位财务管理制度及办法》，</w:t>
      </w:r>
      <w:r>
        <w:rPr>
          <w:rStyle w:val="19"/>
          <w:rFonts w:hint="eastAsia" w:ascii="仿宋_GB2312" w:hAnsi="仿宋_GB2312" w:eastAsia="仿宋_GB2312" w:cs="仿宋_GB2312"/>
          <w:b w:val="0"/>
          <w:spacing w:val="-4"/>
          <w:sz w:val="32"/>
          <w:szCs w:val="32"/>
        </w:rPr>
        <w:t>严格按照项目资金规定的专项资金支持的项目条件和范围要求，严格按照有关规定使用管理项目资金。</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（三）项目资金管理情况分析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本项目资金严格按照偏远地区牧民补助资金管理办法和地区财政资金管理制度支付资金；资金的支付有完整的审批程序和手续符合制度要求；不存在截留、挤占、挪用、虚列支出等情况。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（一）项目组织情况分析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为保证项目质量和成本控制，我单位积极与县政法委对接，进行了前期规划工作，制定《西合休乡偏远地区牧民补助发放工作方案》，组织我乡偏远地区牧民进行培训工作，为保质保量完成提供了强有力的技术支撑，有效地推进了项目工作，为保证项目质量和成本控制，该经费支出由乡按照“乡财县管”、“国库集中支付”的要求，按实际需求进行申报支出。</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本项目不存在调整情况。</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（二）项目管理情况分析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实施过程中，我单位建立了《偏远地区牧民补助发放制度》保障项目的顺利实施。项目的实施遵守相关法律法规和业务管理规定，项目资料齐全并及时装订、归档。已建立《偏远地区牧民补助发放管理制度》，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（一）项目绩效目标完成情况分析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本项目共设置一级指标3个，二级指标8个，三级指标11个，其中已完成三级指标11个，指标完成率为100%。根据年初设定的绩效目标，此项目自评得分为91分。</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1.产出指标完成情况分析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（1）项目完成数量</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截止2018年年度自评工作，西合休乡</w:t>
      </w:r>
      <w:r>
        <w:rPr>
          <w:rStyle w:val="19"/>
          <w:rFonts w:hint="eastAsia" w:ascii="仿宋_GB2312" w:hAnsi="仿宋_GB2312" w:eastAsia="仿宋_GB2312" w:cs="仿宋_GB2312"/>
          <w:b w:val="0"/>
          <w:spacing w:val="-4"/>
          <w:sz w:val="32"/>
          <w:szCs w:val="32"/>
        </w:rPr>
        <w:t>偏远地区牧民1562人，设立点位70个，农牧民脱贫560户，所有数量指标按照既定方案实施完毕，完成率100%。</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截止2018年年度自评工作，我单位严格按照年度预期设定目标，项目资金保障率100%，项目完成质量良好。</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（3）项目实施进度</w:t>
      </w:r>
    </w:p>
    <w:p>
      <w:pPr>
        <w:adjustRightInd w:val="0"/>
        <w:snapToGrid w:val="0"/>
        <w:spacing w:line="560" w:lineRule="exact"/>
        <w:ind w:firstLine="624" w:firstLineChars="200"/>
        <w:rPr>
          <w:rStyle w:val="19"/>
          <w:rFonts w:ascii="仿宋_GB2312" w:hAnsi="仿宋_GB2312" w:eastAsia="仿宋_GB2312" w:cs="仿宋_GB2312"/>
          <w:b w:val="0"/>
          <w:spacing w:val="-4"/>
          <w:sz w:val="32"/>
          <w:szCs w:val="32"/>
        </w:rPr>
      </w:pPr>
      <w:r>
        <w:rPr>
          <w:rFonts w:hint="eastAsia" w:ascii="仿宋_GB2312" w:hAnsi="仿宋_GB2312" w:eastAsia="仿宋_GB2312" w:cs="仿宋_GB2312"/>
          <w:bCs/>
          <w:spacing w:val="-4"/>
          <w:sz w:val="32"/>
          <w:szCs w:val="32"/>
        </w:rPr>
        <w:t>资金到位及时率100%，</w:t>
      </w:r>
      <w:r>
        <w:rPr>
          <w:rStyle w:val="19"/>
          <w:rFonts w:hint="eastAsia" w:ascii="仿宋_GB2312" w:hAnsi="仿宋_GB2312" w:eastAsia="仿宋_GB2312" w:cs="仿宋_GB2312"/>
          <w:b w:val="0"/>
          <w:spacing w:val="-4"/>
          <w:sz w:val="32"/>
          <w:szCs w:val="32"/>
        </w:rPr>
        <w:t>资金发放及时率100%，项目已完成。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（4）项目成本节约情况</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落实实施使每人每月补助标准2600元/人/月，节约实际生活成本2600元。</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2.效益指标完成情况分析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（1）项目实施的经济效益分析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带动贫困人口脱贫560户，有效促进了脱贫致富 。</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（2）项目实施的社会效益分析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建档立卡贫困人口就业人数1012人，积极开拓就业渠道。</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（3）项目实施的生态效益分析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无</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（4）项目实施的可持续影响分析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项目影响持续年限1年，项目的实施进一步保证了全乡偏远地区牧民正常开展工作，充分发挥职能作用，为全乡工作打下了坚实基础。</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3.满意度指标完成情况分析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按计划完成项目实施，已做满意度调查问卷，偏远地区牧民满意率达98%，服务对象满意度指标完成。</w:t>
      </w:r>
    </w:p>
    <w:p>
      <w:pPr>
        <w:numPr>
          <w:ilvl w:val="0"/>
          <w:numId w:val="1"/>
        </w:num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项目绩效目标未完成原因分析</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不存在未完成情况，2019年本项目绩效目标全部达成，不存在未完成原因分析。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numPr>
          <w:ilvl w:val="0"/>
          <w:numId w:val="1"/>
        </w:num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后续工作计划</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通过2018年开展落实偏远地区牧民生活补贴项目以来，取得了良好的社会效益，使贫困人口脱贫，提高牧民收入，确保牧民安心工作。我们将在下一步的工作中更好总结经验，加强生活补贴的发放率。</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西合休乡在偏远地区牧民生活补贴项目实施过程中，按照上级要求，在年度预算时严格建立管理机制和制度，不断规范补贴审批和发放工作，有效地杜绝了非预算支出，吃空饷、挤占挪用、虚报冒领等套取财政资金违规行为。</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主要经验及做法</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通过预算绩效管理，总结了工作中的较好的经验，如：通过2018年偏远地区牧民生活补贴项目投入，使贫困人口加快脱贫，提高牧民收入，确保牧民安心工作。，感受党的伟大，祖国的温暖。</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1、存在的问题</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通过预算绩效管理，发现了工作中存在的不足，在偏远地区牧民补助项目支出中存在的问题主要人员频繁更换，未及时对接，导致资金发放缓慢。</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2、建议</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年初做好资金计划，按照项目进度及时拨付资金，使资金使用效益最大化，减少不必要的浪费，节约成本，同时前期工作要做好，人员要确定并积极与上级对接。</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（三）其他</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24" w:firstLineChars="20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本次评价通过文件研读、实地调研、数据分析等方式，全面了解偏远地区牧民生活补贴项目项目资金的使用效率和效果，项目管理过程是否规范，是否完成了预期绩效目标等。同时，通过开展自我评价来总结经验和教训，为喀什地区偏远地区牧民生活补贴项目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4" w:firstLineChars="181"/>
        <w:rPr>
          <w:rFonts w:ascii="仿宋_GB2312" w:hAnsi="仿宋_GB2312" w:eastAsia="仿宋_GB2312" w:cs="仿宋_GB2312"/>
          <w:bCs/>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p>
      <w:pPr>
        <w:spacing w:line="560" w:lineRule="exact"/>
        <w:ind w:firstLine="567"/>
        <w:rPr>
          <w:rStyle w:val="19"/>
          <w:rFonts w:ascii="仿宋" w:hAnsi="仿宋" w:eastAsia="仿宋"/>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C269E"/>
    <w:multiLevelType w:val="singleLevel"/>
    <w:tmpl w:val="5DAC269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121AE4"/>
    <w:rsid w:val="00136BCC"/>
    <w:rsid w:val="00146AAD"/>
    <w:rsid w:val="00174FCF"/>
    <w:rsid w:val="001B23F1"/>
    <w:rsid w:val="001B3A40"/>
    <w:rsid w:val="00220617"/>
    <w:rsid w:val="00311626"/>
    <w:rsid w:val="00321CBD"/>
    <w:rsid w:val="00347D87"/>
    <w:rsid w:val="003C2CF9"/>
    <w:rsid w:val="004366A8"/>
    <w:rsid w:val="00440259"/>
    <w:rsid w:val="00450B76"/>
    <w:rsid w:val="00502BA7"/>
    <w:rsid w:val="005162F1"/>
    <w:rsid w:val="00535153"/>
    <w:rsid w:val="00554F82"/>
    <w:rsid w:val="0056390D"/>
    <w:rsid w:val="005719B0"/>
    <w:rsid w:val="005D10D6"/>
    <w:rsid w:val="0063597F"/>
    <w:rsid w:val="00656E69"/>
    <w:rsid w:val="00657D33"/>
    <w:rsid w:val="00772BB1"/>
    <w:rsid w:val="007A593B"/>
    <w:rsid w:val="007D32F0"/>
    <w:rsid w:val="007E6716"/>
    <w:rsid w:val="00855E3A"/>
    <w:rsid w:val="008E169B"/>
    <w:rsid w:val="008E6B23"/>
    <w:rsid w:val="008F2612"/>
    <w:rsid w:val="00922CB9"/>
    <w:rsid w:val="0099379F"/>
    <w:rsid w:val="009E5CD9"/>
    <w:rsid w:val="00A26421"/>
    <w:rsid w:val="00A4293B"/>
    <w:rsid w:val="00A67916"/>
    <w:rsid w:val="00A67D50"/>
    <w:rsid w:val="00A8691A"/>
    <w:rsid w:val="00AA78D4"/>
    <w:rsid w:val="00AC1946"/>
    <w:rsid w:val="00B17AEB"/>
    <w:rsid w:val="00B40063"/>
    <w:rsid w:val="00B41F61"/>
    <w:rsid w:val="00BA2447"/>
    <w:rsid w:val="00BA46E6"/>
    <w:rsid w:val="00BF7355"/>
    <w:rsid w:val="00C56C72"/>
    <w:rsid w:val="00C87A8E"/>
    <w:rsid w:val="00C95952"/>
    <w:rsid w:val="00CA6457"/>
    <w:rsid w:val="00CB0722"/>
    <w:rsid w:val="00CC14F2"/>
    <w:rsid w:val="00D17F2E"/>
    <w:rsid w:val="00D30354"/>
    <w:rsid w:val="00D35A5E"/>
    <w:rsid w:val="00DD1016"/>
    <w:rsid w:val="00DF42A0"/>
    <w:rsid w:val="00E32AE0"/>
    <w:rsid w:val="00E564B5"/>
    <w:rsid w:val="00E769FE"/>
    <w:rsid w:val="00EA2CBE"/>
    <w:rsid w:val="00F32FEE"/>
    <w:rsid w:val="00FB10BB"/>
    <w:rsid w:val="00FC3B55"/>
    <w:rsid w:val="00FE11B9"/>
    <w:rsid w:val="02E37DE9"/>
    <w:rsid w:val="09231E34"/>
    <w:rsid w:val="0D5D5A45"/>
    <w:rsid w:val="1606659B"/>
    <w:rsid w:val="17D50073"/>
    <w:rsid w:val="17E421EC"/>
    <w:rsid w:val="19EC4BD1"/>
    <w:rsid w:val="1AEA26B7"/>
    <w:rsid w:val="1CE10390"/>
    <w:rsid w:val="24685BC7"/>
    <w:rsid w:val="267E7D69"/>
    <w:rsid w:val="27854629"/>
    <w:rsid w:val="2EFA0BA8"/>
    <w:rsid w:val="318462F5"/>
    <w:rsid w:val="31AF0726"/>
    <w:rsid w:val="347362C2"/>
    <w:rsid w:val="38624B2C"/>
    <w:rsid w:val="3F523F4D"/>
    <w:rsid w:val="422C0BA6"/>
    <w:rsid w:val="46896E1E"/>
    <w:rsid w:val="51BD50CB"/>
    <w:rsid w:val="53372369"/>
    <w:rsid w:val="55203991"/>
    <w:rsid w:val="57AA4389"/>
    <w:rsid w:val="57D257D1"/>
    <w:rsid w:val="5D7B587A"/>
    <w:rsid w:val="5D93683C"/>
    <w:rsid w:val="64477237"/>
    <w:rsid w:val="70D258AE"/>
    <w:rsid w:val="75977B07"/>
    <w:rsid w:val="76255A0C"/>
    <w:rsid w:val="7963696E"/>
    <w:rsid w:val="7F7D5A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41"/>
    <w:basedOn w:val="18"/>
    <w:qFormat/>
    <w:uiPriority w:val="0"/>
    <w:rPr>
      <w:rFonts w:hint="eastAsia" w:ascii="宋体" w:hAnsi="宋体" w:eastAsia="宋体" w:cs="宋体"/>
      <w:color w:val="000000"/>
      <w:sz w:val="24"/>
      <w:szCs w:val="24"/>
      <w:u w:val="none"/>
    </w:rPr>
  </w:style>
  <w:style w:type="character" w:customStyle="1" w:styleId="48">
    <w:name w:val="font6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420</Words>
  <Characters>2395</Characters>
  <Lines>19</Lines>
  <Paragraphs>5</Paragraphs>
  <TotalTime>0</TotalTime>
  <ScaleCrop>false</ScaleCrop>
  <LinksUpToDate>false</LinksUpToDate>
  <CharactersWithSpaces>2810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2023-11-25T04:04:38Z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