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喀什地区叶城县吐古其乡部门安居富民建设项目支出绩效评价报告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项目名称：安居富民房建设项目</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实施单位：叶城县吐古其乡人民政府</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评价部门：叶城县吐古其乡人民政府</w:t>
      </w: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2136" w:firstLineChars="600"/>
        <w:rPr>
          <w:rFonts w:ascii="仿宋_GB2312" w:hAnsi="仿宋" w:eastAsia="仿宋_GB2312"/>
          <w:spacing w:val="-2"/>
          <w:sz w:val="36"/>
          <w:szCs w:val="36"/>
        </w:rPr>
      </w:pPr>
    </w:p>
    <w:p>
      <w:pPr>
        <w:autoSpaceDE w:val="0"/>
        <w:autoSpaceDN w:val="0"/>
        <w:spacing w:line="540" w:lineRule="exact"/>
        <w:ind w:firstLine="2848" w:firstLineChars="800"/>
        <w:rPr>
          <w:rFonts w:ascii="仿宋_GB2312" w:hAnsi="仿宋" w:eastAsia="仿宋_GB2312"/>
          <w:spacing w:val="-2"/>
          <w:sz w:val="36"/>
          <w:szCs w:val="36"/>
        </w:rPr>
      </w:pPr>
      <w:r>
        <w:rPr>
          <w:rFonts w:hint="eastAsia" w:ascii="仿宋_GB2312" w:hAnsi="仿宋" w:eastAsia="仿宋_GB2312"/>
          <w:spacing w:val="-2"/>
          <w:sz w:val="36"/>
          <w:szCs w:val="36"/>
        </w:rPr>
        <w:t>二零二零年四月</w:t>
      </w:r>
    </w:p>
    <w:p>
      <w:pPr>
        <w:spacing w:beforeLines="50" w:line="240" w:lineRule="atLeast"/>
        <w:jc w:val="left"/>
        <w:rPr>
          <w:rFonts w:eastAsia="Times New Roman"/>
          <w:sz w:val="28"/>
          <w:szCs w:val="28"/>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pStyle w:val="26"/>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基本情况</w:t>
      </w:r>
    </w:p>
    <w:p>
      <w:pPr>
        <w:pStyle w:val="27"/>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0" w:name="_Toc26401549"/>
      <w:r>
        <w:rPr>
          <w:rFonts w:hint="eastAsia"/>
        </w:rPr>
        <w:t>项目概况</w:t>
      </w:r>
      <w:bookmarkEnd w:id="0"/>
    </w:p>
    <w:p>
      <w:pPr>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叶城县吐古其乡属党政机关行政部门，乡科级行政单位，辖</w:t>
      </w:r>
      <w:r>
        <w:rPr>
          <w:rFonts w:ascii="仿宋_GB2312" w:hAnsi="仿宋_GB2312" w:eastAsia="仿宋_GB2312" w:cs="仿宋_GB2312"/>
          <w:bCs/>
          <w:color w:val="000000"/>
          <w:spacing w:val="-4"/>
          <w:sz w:val="32"/>
          <w:szCs w:val="32"/>
        </w:rPr>
        <w:t>17</w:t>
      </w:r>
      <w:r>
        <w:rPr>
          <w:rFonts w:hint="eastAsia" w:ascii="仿宋_GB2312" w:hAnsi="仿宋_GB2312" w:eastAsia="仿宋_GB2312" w:cs="仿宋_GB2312"/>
          <w:bCs/>
          <w:color w:val="000000"/>
          <w:spacing w:val="-4"/>
          <w:sz w:val="32"/>
          <w:szCs w:val="32"/>
        </w:rPr>
        <w:t>个行政村，</w:t>
      </w:r>
      <w:r>
        <w:rPr>
          <w:rFonts w:ascii="仿宋_GB2312" w:hAnsi="仿宋_GB2312" w:eastAsia="仿宋_GB2312" w:cs="仿宋_GB2312"/>
          <w:bCs/>
          <w:color w:val="000000"/>
          <w:spacing w:val="-4"/>
          <w:sz w:val="32"/>
          <w:szCs w:val="32"/>
        </w:rPr>
        <w:t>65</w:t>
      </w:r>
      <w:r>
        <w:rPr>
          <w:rFonts w:hint="eastAsia" w:ascii="仿宋_GB2312" w:hAnsi="仿宋_GB2312" w:eastAsia="仿宋_GB2312" w:cs="仿宋_GB2312"/>
          <w:bCs/>
          <w:color w:val="000000"/>
          <w:spacing w:val="-4"/>
          <w:sz w:val="32"/>
          <w:szCs w:val="32"/>
        </w:rPr>
        <w:t>个村民小组。全乡有居民</w:t>
      </w:r>
      <w:r>
        <w:rPr>
          <w:rFonts w:ascii="仿宋_GB2312" w:hAnsi="仿宋_GB2312" w:eastAsia="仿宋_GB2312" w:cs="仿宋_GB2312"/>
          <w:bCs/>
          <w:color w:val="000000"/>
          <w:spacing w:val="-4"/>
          <w:sz w:val="32"/>
          <w:szCs w:val="32"/>
        </w:rPr>
        <w:t>25928</w:t>
      </w:r>
      <w:r>
        <w:rPr>
          <w:rFonts w:hint="eastAsia" w:ascii="仿宋_GB2312" w:hAnsi="仿宋_GB2312" w:eastAsia="仿宋_GB2312" w:cs="仿宋_GB2312"/>
          <w:bCs/>
          <w:color w:val="000000"/>
          <w:spacing w:val="-4"/>
          <w:sz w:val="32"/>
          <w:szCs w:val="32"/>
        </w:rPr>
        <w:t>多人，</w:t>
      </w:r>
      <w:r>
        <w:rPr>
          <w:rFonts w:ascii="仿宋_GB2312" w:hAnsi="仿宋_GB2312" w:eastAsia="仿宋_GB2312" w:cs="仿宋_GB2312"/>
          <w:bCs/>
          <w:color w:val="000000"/>
          <w:spacing w:val="-4"/>
          <w:sz w:val="32"/>
          <w:szCs w:val="32"/>
        </w:rPr>
        <w:t>5771</w:t>
      </w:r>
      <w:r>
        <w:rPr>
          <w:rFonts w:hint="eastAsia" w:ascii="仿宋_GB2312" w:hAnsi="仿宋_GB2312" w:eastAsia="仿宋_GB2312" w:cs="仿宋_GB2312"/>
          <w:bCs/>
          <w:color w:val="000000"/>
          <w:spacing w:val="-4"/>
          <w:sz w:val="32"/>
          <w:szCs w:val="32"/>
        </w:rPr>
        <w:t>户，全乡维吾尔族占</w:t>
      </w:r>
      <w:r>
        <w:rPr>
          <w:rFonts w:ascii="仿宋_GB2312" w:hAnsi="仿宋_GB2312" w:eastAsia="仿宋_GB2312" w:cs="仿宋_GB2312"/>
          <w:bCs/>
          <w:color w:val="000000"/>
          <w:spacing w:val="-4"/>
          <w:sz w:val="32"/>
          <w:szCs w:val="32"/>
        </w:rPr>
        <w:t>96.5%</w:t>
      </w:r>
      <w:r>
        <w:rPr>
          <w:rFonts w:hint="eastAsia" w:ascii="仿宋_GB2312" w:hAnsi="仿宋_GB2312" w:eastAsia="仿宋_GB2312" w:cs="仿宋_GB2312"/>
          <w:bCs/>
          <w:color w:val="000000"/>
          <w:spacing w:val="-4"/>
          <w:sz w:val="32"/>
          <w:szCs w:val="32"/>
        </w:rPr>
        <w:t>，主要以种植小麦、玉米、为主的城郊乡。编制情况：行政编制</w:t>
      </w:r>
      <w:r>
        <w:rPr>
          <w:rFonts w:ascii="仿宋_GB2312" w:hAnsi="仿宋_GB2312" w:eastAsia="仿宋_GB2312" w:cs="仿宋_GB2312"/>
          <w:bCs/>
          <w:color w:val="000000"/>
          <w:spacing w:val="-4"/>
          <w:sz w:val="32"/>
          <w:szCs w:val="32"/>
        </w:rPr>
        <w:t>52</w:t>
      </w:r>
      <w:r>
        <w:rPr>
          <w:rFonts w:hint="eastAsia" w:ascii="仿宋_GB2312" w:hAnsi="仿宋_GB2312" w:eastAsia="仿宋_GB2312" w:cs="仿宋_GB2312"/>
          <w:bCs/>
          <w:color w:val="000000"/>
          <w:spacing w:val="-4"/>
          <w:sz w:val="32"/>
          <w:szCs w:val="32"/>
        </w:rPr>
        <w:t>人，其中：党委编制</w:t>
      </w:r>
      <w:r>
        <w:rPr>
          <w:rFonts w:ascii="仿宋_GB2312" w:hAnsi="仿宋_GB2312" w:eastAsia="仿宋_GB2312" w:cs="仿宋_GB2312"/>
          <w:bCs/>
          <w:color w:val="000000"/>
          <w:spacing w:val="-4"/>
          <w:sz w:val="32"/>
          <w:szCs w:val="32"/>
        </w:rPr>
        <w:t>11</w:t>
      </w:r>
      <w:r>
        <w:rPr>
          <w:rFonts w:hint="eastAsia" w:ascii="仿宋_GB2312" w:hAnsi="仿宋_GB2312" w:eastAsia="仿宋_GB2312" w:cs="仿宋_GB2312"/>
          <w:bCs/>
          <w:color w:val="000000"/>
          <w:spacing w:val="-4"/>
          <w:sz w:val="32"/>
          <w:szCs w:val="32"/>
        </w:rPr>
        <w:t>人，政府编制</w:t>
      </w:r>
      <w:r>
        <w:rPr>
          <w:rFonts w:ascii="仿宋_GB2312" w:hAnsi="仿宋_GB2312" w:eastAsia="仿宋_GB2312" w:cs="仿宋_GB2312"/>
          <w:bCs/>
          <w:color w:val="000000"/>
          <w:spacing w:val="-4"/>
          <w:sz w:val="32"/>
          <w:szCs w:val="32"/>
        </w:rPr>
        <w:t>39</w:t>
      </w:r>
      <w:r>
        <w:rPr>
          <w:rFonts w:hint="eastAsia" w:ascii="仿宋_GB2312" w:hAnsi="仿宋_GB2312" w:eastAsia="仿宋_GB2312" w:cs="仿宋_GB2312"/>
          <w:bCs/>
          <w:color w:val="000000"/>
          <w:spacing w:val="-4"/>
          <w:sz w:val="32"/>
          <w:szCs w:val="32"/>
        </w:rPr>
        <w:t>人，政法编制</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人，工勤编制</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人；参照公务员编制</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人；事业编制</w:t>
      </w:r>
      <w:r>
        <w:rPr>
          <w:rFonts w:ascii="仿宋_GB2312" w:hAnsi="仿宋_GB2312" w:eastAsia="仿宋_GB2312" w:cs="仿宋_GB2312"/>
          <w:bCs/>
          <w:color w:val="000000"/>
          <w:spacing w:val="-4"/>
          <w:sz w:val="32"/>
          <w:szCs w:val="32"/>
        </w:rPr>
        <w:t>42</w:t>
      </w:r>
      <w:r>
        <w:rPr>
          <w:rFonts w:hint="eastAsia" w:ascii="仿宋_GB2312" w:hAnsi="仿宋_GB2312" w:eastAsia="仿宋_GB2312" w:cs="仿宋_GB2312"/>
          <w:bCs/>
          <w:color w:val="000000"/>
          <w:spacing w:val="-4"/>
          <w:sz w:val="32"/>
          <w:szCs w:val="32"/>
        </w:rPr>
        <w:t>人，其中含经费自理人员</w:t>
      </w:r>
      <w:r>
        <w:rPr>
          <w:rFonts w:ascii="仿宋_GB2312" w:hAnsi="仿宋_GB2312" w:eastAsia="仿宋_GB2312" w:cs="仿宋_GB2312"/>
          <w:bCs/>
          <w:color w:val="000000"/>
          <w:spacing w:val="-4"/>
          <w:sz w:val="32"/>
          <w:szCs w:val="32"/>
        </w:rPr>
        <w:t>5</w:t>
      </w:r>
      <w:r>
        <w:rPr>
          <w:rFonts w:hint="eastAsia" w:ascii="仿宋_GB2312" w:hAnsi="仿宋_GB2312" w:eastAsia="仿宋_GB2312" w:cs="仿宋_GB2312"/>
          <w:bCs/>
          <w:color w:val="000000"/>
          <w:spacing w:val="-4"/>
          <w:sz w:val="32"/>
          <w:szCs w:val="32"/>
        </w:rPr>
        <w:t>。</w:t>
      </w:r>
    </w:p>
    <w:p>
      <w:pPr>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color w:val="000000"/>
          <w:spacing w:val="-4"/>
          <w:sz w:val="32"/>
          <w:szCs w:val="32"/>
        </w:rPr>
        <w:t>主要职能</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一是负责全乡党政行政管理事务。二是深刻贯彻执行党中央、国务院、自治区、地区及县委、县人民政府的有关</w:t>
      </w:r>
      <w:r>
        <w:rPr>
          <w:rFonts w:hint="eastAsia" w:ascii="仿宋_GB2312" w:hAnsi="仿宋_GB2312" w:eastAsia="仿宋_GB2312" w:cs="仿宋_GB2312"/>
          <w:bCs/>
          <w:color w:val="000000"/>
          <w:spacing w:val="-4"/>
          <w:sz w:val="32"/>
          <w:szCs w:val="32"/>
          <w:lang w:eastAsia="zh-CN"/>
        </w:rPr>
        <w:t>方针</w:t>
      </w:r>
      <w:r>
        <w:rPr>
          <w:rFonts w:hint="eastAsia" w:ascii="仿宋_GB2312" w:hAnsi="仿宋_GB2312" w:eastAsia="仿宋_GB2312" w:cs="仿宋_GB2312"/>
          <w:bCs/>
          <w:color w:val="000000"/>
          <w:spacing w:val="-4"/>
          <w:sz w:val="32"/>
          <w:szCs w:val="32"/>
        </w:rPr>
        <w:t>政策指示，把党的各项优惠政策落实到实处。三是负责全乡经济社会发展、社会事务管理、基层组织建设、综治建设等全面工作，为全乡各族群众提供社会服务</w:t>
      </w:r>
      <w:r>
        <w:rPr>
          <w:rFonts w:hint="eastAsia" w:ascii="仿宋_GB2312" w:hAnsi="仿宋_GB2312" w:eastAsia="仿宋_GB2312" w:cs="仿宋_GB2312"/>
          <w:bCs/>
          <w:sz w:val="32"/>
          <w:szCs w:val="32"/>
        </w:rPr>
        <w:t>主要职能：负责全乡党政行政管理事务。深刻贯彻落实党的</w:t>
      </w:r>
      <w:bookmarkStart w:id="8" w:name="_GoBack"/>
      <w:bookmarkEnd w:id="8"/>
      <w:r>
        <w:rPr>
          <w:rFonts w:hint="eastAsia" w:ascii="仿宋_GB2312" w:hAnsi="仿宋_GB2312" w:eastAsia="仿宋_GB2312" w:cs="仿宋_GB2312"/>
          <w:bCs/>
          <w:sz w:val="32"/>
          <w:szCs w:val="32"/>
        </w:rPr>
        <w:t>十九大精神和二次新疆工作座谈会精神，以习近平总书记</w:t>
      </w:r>
      <w:r>
        <w:rPr>
          <w:rFonts w:hint="eastAsia" w:ascii="仿宋_GB2312" w:hAnsi="仿宋_GB2312" w:eastAsia="仿宋_GB2312" w:cs="仿宋_GB2312"/>
          <w:bCs/>
          <w:sz w:val="32"/>
          <w:szCs w:val="32"/>
          <w:lang w:eastAsia="zh-CN"/>
        </w:rPr>
        <w:t>重要</w:t>
      </w:r>
      <w:r>
        <w:rPr>
          <w:rFonts w:hint="eastAsia" w:ascii="仿宋_GB2312" w:hAnsi="仿宋_GB2312" w:eastAsia="仿宋_GB2312" w:cs="仿宋_GB2312"/>
          <w:bCs/>
          <w:sz w:val="32"/>
          <w:szCs w:val="32"/>
        </w:rPr>
        <w:t>讲话、自治区九届全委会议和陈全国书记系列精神为指导，坚决贯彻执行上级各个部门有关方</w:t>
      </w:r>
      <w:r>
        <w:rPr>
          <w:rFonts w:hint="eastAsia" w:ascii="仿宋_GB2312" w:hAnsi="仿宋_GB2312" w:eastAsia="仿宋_GB2312" w:cs="仿宋_GB2312"/>
          <w:bCs/>
          <w:sz w:val="32"/>
          <w:szCs w:val="32"/>
          <w:lang w:eastAsia="zh-CN"/>
        </w:rPr>
        <w:t>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面建设社会主义新农村为根本出发点，不断深化美丽乡、村建设为总目标，不断铸牢全乡经济社会发展基础，为全乡群众提供社会服务。</w:t>
      </w:r>
    </w:p>
    <w:p>
      <w:pPr>
        <w:pStyle w:val="25"/>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本项目根据</w:t>
      </w:r>
      <w:r>
        <w:rPr>
          <w:rFonts w:hint="eastAsia" w:ascii="仿宋_GB2312" w:hAnsi="仿宋_GB2312" w:eastAsia="仿宋_GB2312" w:cs="仿宋_GB2312"/>
          <w:sz w:val="32"/>
          <w:szCs w:val="32"/>
        </w:rPr>
        <w:t>新财社</w:t>
      </w:r>
      <w:r>
        <w:rPr>
          <w:rFonts w:ascii="仿宋_GB2312" w:hAnsi="仿宋_GB2312" w:eastAsia="仿宋_GB2312" w:cs="仿宋_GB2312"/>
          <w:sz w:val="32"/>
          <w:szCs w:val="32"/>
        </w:rPr>
        <w:t>[2018]257</w:t>
      </w:r>
      <w:r>
        <w:rPr>
          <w:rFonts w:hint="eastAsia" w:ascii="仿宋_GB2312" w:hAnsi="仿宋_GB2312" w:eastAsia="仿宋_GB2312" w:cs="仿宋_GB2312"/>
          <w:sz w:val="32"/>
          <w:szCs w:val="32"/>
        </w:rPr>
        <w:t>号、喀地财社</w:t>
      </w:r>
      <w:r>
        <w:rPr>
          <w:rFonts w:ascii="仿宋_GB2312" w:hAnsi="仿宋_GB2312" w:eastAsia="仿宋_GB2312" w:cs="仿宋_GB2312"/>
          <w:sz w:val="32"/>
          <w:szCs w:val="32"/>
        </w:rPr>
        <w:t>[2018]142</w:t>
      </w:r>
      <w:r>
        <w:rPr>
          <w:rFonts w:hint="eastAsia" w:ascii="仿宋_GB2312" w:hAnsi="仿宋_GB2312" w:eastAsia="仿宋_GB2312" w:cs="仿宋_GB2312"/>
          <w:sz w:val="32"/>
          <w:szCs w:val="32"/>
        </w:rPr>
        <w:t>号、新财建</w:t>
      </w:r>
      <w:r>
        <w:rPr>
          <w:rFonts w:ascii="仿宋_GB2312" w:hAnsi="仿宋_GB2312" w:eastAsia="仿宋_GB2312" w:cs="仿宋_GB2312"/>
          <w:sz w:val="32"/>
          <w:szCs w:val="32"/>
        </w:rPr>
        <w:t>[2019]69</w:t>
      </w:r>
      <w:r>
        <w:rPr>
          <w:rFonts w:hint="eastAsia" w:ascii="仿宋_GB2312" w:hAnsi="仿宋_GB2312" w:eastAsia="仿宋_GB2312" w:cs="仿宋_GB2312"/>
          <w:sz w:val="32"/>
          <w:szCs w:val="32"/>
        </w:rPr>
        <w:t>号、喀地财建</w:t>
      </w:r>
      <w:r>
        <w:rPr>
          <w:rFonts w:ascii="仿宋_GB2312" w:hAnsi="仿宋_GB2312" w:eastAsia="仿宋_GB2312" w:cs="仿宋_GB2312"/>
          <w:sz w:val="32"/>
          <w:szCs w:val="32"/>
        </w:rPr>
        <w:t>[2019]44</w:t>
      </w:r>
      <w:r>
        <w:rPr>
          <w:rFonts w:hint="eastAsia" w:ascii="仿宋_GB2312" w:hAnsi="仿宋_GB2312" w:eastAsia="仿宋_GB2312" w:cs="仿宋_GB2312"/>
          <w:sz w:val="32"/>
          <w:szCs w:val="32"/>
        </w:rPr>
        <w:t>号文件要求</w:t>
      </w:r>
      <w:r>
        <w:rPr>
          <w:rFonts w:hint="eastAsia" w:ascii="仿宋_GB2312" w:hAnsi="仿宋" w:eastAsia="仿宋_GB2312" w:cs="宋体"/>
          <w:sz w:val="32"/>
          <w:szCs w:val="32"/>
        </w:rPr>
        <w:t>政策（文件、会议精神）立项，旨在</w:t>
      </w:r>
      <w:r>
        <w:rPr>
          <w:rFonts w:hint="eastAsia" w:ascii="仿宋_GB2312" w:hAnsi="仿宋_GB2312" w:eastAsia="仿宋_GB2312" w:cs="仿宋_GB2312"/>
          <w:bCs/>
          <w:sz w:val="32"/>
          <w:szCs w:val="32"/>
        </w:rPr>
        <w:t>完善我乡住房保障体系，改善住房保障服务，解决建房困难户经济困难，有效促进建房户就业，提升建房户获得感与幸福感。</w:t>
      </w:r>
    </w:p>
    <w:p>
      <w:pPr>
        <w:pStyle w:val="25"/>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本项目的主管部门为叶城县安居办</w:t>
      </w:r>
      <w:r>
        <w:rPr>
          <w:rFonts w:ascii="仿宋_GB2312" w:hAnsi="仿宋" w:eastAsia="仿宋_GB2312" w:cs="宋体"/>
          <w:sz w:val="32"/>
          <w:szCs w:val="32"/>
        </w:rPr>
        <w:t>,</w:t>
      </w:r>
      <w:r>
        <w:rPr>
          <w:rFonts w:hint="eastAsia" w:ascii="仿宋_GB2312" w:hAnsi="仿宋" w:eastAsia="仿宋_GB2312" w:cs="宋体"/>
          <w:sz w:val="32"/>
          <w:szCs w:val="32"/>
        </w:rPr>
        <w:t>实施单位为叶城县吐古其乡人民政府，主要职责负责对补助的农户进行摸底统计，对符合要求的农户进行全面了解，及时对补助资金进行发放。监督项目进度，对项目完工情况及时验收。</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项目的主要内容为：</w:t>
      </w:r>
      <w:r>
        <w:rPr>
          <w:rFonts w:hint="eastAsia" w:ascii="仿宋_GB2312" w:hAnsi="仿宋_GB2312" w:eastAsia="仿宋_GB2312" w:cs="仿宋_GB2312"/>
          <w:bCs/>
          <w:sz w:val="32"/>
          <w:szCs w:val="32"/>
        </w:rPr>
        <w:t>年度设定的预期目标是用于完善我乡住房保障体系，改善住房保障服务，解决建房困难户经济困难，有效促进建房户就业，提升建房户获得感与幸福感。</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ascii="仿宋_GB2312" w:hAnsi="仿宋" w:eastAsia="仿宋_GB2312" w:cs="宋体"/>
          <w:sz w:val="32"/>
          <w:szCs w:val="32"/>
        </w:rPr>
      </w:pPr>
      <w:r>
        <w:rPr>
          <w:rFonts w:hint="eastAsia" w:ascii="仿宋_GB2312" w:hAnsi="仿宋" w:eastAsia="仿宋_GB2312" w:cs="宋体"/>
          <w:sz w:val="32"/>
          <w:szCs w:val="32"/>
        </w:rPr>
        <w:t>项目的实施情况：</w:t>
      </w:r>
      <w:r>
        <w:rPr>
          <w:rStyle w:val="16"/>
          <w:rFonts w:hint="eastAsia" w:ascii="仿宋_GB2312" w:hAnsi="仿宋_GB2312" w:eastAsia="仿宋_GB2312" w:cs="仿宋_GB2312"/>
          <w:b w:val="0"/>
          <w:spacing w:val="-4"/>
          <w:sz w:val="32"/>
          <w:szCs w:val="32"/>
        </w:rPr>
        <w:t>项目实施过程中，我单位建立了《</w:t>
      </w:r>
      <w:r>
        <w:rPr>
          <w:rFonts w:hint="eastAsia" w:ascii="仿宋_GB2312" w:hAnsi="仿宋_GB2312" w:eastAsia="仿宋_GB2312" w:cs="仿宋_GB2312"/>
          <w:bCs/>
          <w:sz w:val="32"/>
          <w:szCs w:val="32"/>
        </w:rPr>
        <w:t>富民安居房建设项目</w:t>
      </w:r>
      <w:r>
        <w:rPr>
          <w:rStyle w:val="16"/>
          <w:rFonts w:hint="eastAsia" w:ascii="仿宋_GB2312" w:hAnsi="仿宋_GB2312" w:eastAsia="仿宋_GB2312" w:cs="仿宋_GB2312"/>
          <w:b w:val="0"/>
          <w:spacing w:val="-4"/>
          <w:sz w:val="32"/>
          <w:szCs w:val="32"/>
        </w:rPr>
        <w:t>资金执行制度》保障项目的顺利实施。项目的实施遵守相关法律法规和业务管理规定，项目资料齐全并及时装订、归档。已建立《</w:t>
      </w:r>
      <w:r>
        <w:rPr>
          <w:rFonts w:hint="eastAsia" w:ascii="仿宋_GB2312" w:hAnsi="仿宋_GB2312" w:eastAsia="仿宋_GB2312" w:cs="仿宋_GB2312"/>
          <w:bCs/>
          <w:sz w:val="32"/>
          <w:szCs w:val="32"/>
        </w:rPr>
        <w:t>富民安居房建设项目</w:t>
      </w:r>
      <w:r>
        <w:rPr>
          <w:rStyle w:val="16"/>
          <w:rFonts w:hint="eastAsia" w:ascii="仿宋_GB2312" w:hAnsi="仿宋_GB2312" w:eastAsia="仿宋_GB2312" w:cs="仿宋_GB2312"/>
          <w:b w:val="0"/>
          <w:spacing w:val="-4"/>
          <w:sz w:val="32"/>
          <w:szCs w:val="32"/>
        </w:rPr>
        <w:t>管理制度》，不定期对项目进度情况进行督导检查，对检查过程中发现的问题及时督促整改，确保了项目按时保质完成。</w:t>
      </w:r>
    </w:p>
    <w:p>
      <w:pPr>
        <w:pageBreakBefore w:val="0"/>
        <w:widowControl w:val="0"/>
        <w:tabs>
          <w:tab w:val="left" w:pos="7770"/>
        </w:tabs>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b/>
          <w:bCs/>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项目负责人为</w:t>
      </w:r>
      <w:r>
        <w:rPr>
          <w:rFonts w:hint="eastAsia" w:ascii="仿宋_GB2312" w:hAnsi="仿宋" w:eastAsia="仿宋_GB2312" w:cs="宋体"/>
          <w:sz w:val="32"/>
          <w:szCs w:val="32"/>
          <w:lang w:eastAsia="zh-CN"/>
        </w:rPr>
        <w:t>杨艳华</w:t>
      </w:r>
      <w:r>
        <w:rPr>
          <w:rFonts w:hint="eastAsia" w:ascii="仿宋_GB2312" w:hAnsi="仿宋" w:eastAsia="仿宋_GB2312" w:cs="宋体"/>
          <w:sz w:val="32"/>
          <w:szCs w:val="32"/>
        </w:rPr>
        <w:t>，主要职责为对项目进度监督，负责项目资金实时支付。对项目实施完成验收。</w:t>
      </w:r>
    </w:p>
    <w:p>
      <w:pPr>
        <w:pStyle w:val="27"/>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pPr>
      <w:bookmarkStart w:id="1" w:name="_Toc26401550"/>
      <w:r>
        <w:rPr>
          <w:rFonts w:hint="eastAsia"/>
        </w:rPr>
        <w:t>资金</w:t>
      </w:r>
      <w:bookmarkEnd w:id="1"/>
      <w:r>
        <w:rPr>
          <w:rFonts w:hint="eastAsia"/>
        </w:rPr>
        <w:t>投入和使用情况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Cs/>
          <w:sz w:val="32"/>
          <w:szCs w:val="32"/>
        </w:rPr>
        <w:t>吐古其乡</w:t>
      </w:r>
      <w:r>
        <w:rPr>
          <w:rFonts w:ascii="仿宋_GB2312" w:hAnsi="仿宋_GB2312" w:eastAsia="仿宋_GB2312" w:cs="仿宋_GB2312"/>
          <w:bCs/>
          <w:sz w:val="32"/>
          <w:szCs w:val="32"/>
        </w:rPr>
        <w:t>2019</w:t>
      </w:r>
      <w:r>
        <w:rPr>
          <w:rFonts w:hint="eastAsia" w:ascii="仿宋_GB2312" w:hAnsi="仿宋_GB2312" w:eastAsia="仿宋_GB2312" w:cs="仿宋_GB2312"/>
          <w:bCs/>
          <w:sz w:val="32"/>
          <w:szCs w:val="32"/>
        </w:rPr>
        <w:t>年富民安居房建设项目按照</w:t>
      </w:r>
      <w:r>
        <w:rPr>
          <w:rFonts w:hint="eastAsia" w:ascii="仿宋_GB2312" w:hAnsi="仿宋_GB2312" w:eastAsia="仿宋_GB2312" w:cs="仿宋_GB2312"/>
          <w:sz w:val="32"/>
          <w:szCs w:val="32"/>
        </w:rPr>
        <w:t>新财社</w:t>
      </w:r>
      <w:r>
        <w:rPr>
          <w:rFonts w:ascii="仿宋_GB2312" w:hAnsi="仿宋_GB2312" w:eastAsia="仿宋_GB2312" w:cs="仿宋_GB2312"/>
          <w:sz w:val="32"/>
          <w:szCs w:val="32"/>
        </w:rPr>
        <w:t>[2018]257</w:t>
      </w:r>
      <w:r>
        <w:rPr>
          <w:rFonts w:hint="eastAsia" w:ascii="仿宋_GB2312" w:hAnsi="仿宋_GB2312" w:eastAsia="仿宋_GB2312" w:cs="仿宋_GB2312"/>
          <w:sz w:val="32"/>
          <w:szCs w:val="32"/>
        </w:rPr>
        <w:t>号、喀地财社</w:t>
      </w:r>
      <w:r>
        <w:rPr>
          <w:rFonts w:ascii="仿宋_GB2312" w:hAnsi="仿宋_GB2312" w:eastAsia="仿宋_GB2312" w:cs="仿宋_GB2312"/>
          <w:sz w:val="32"/>
          <w:szCs w:val="32"/>
        </w:rPr>
        <w:t>[2018]142</w:t>
      </w:r>
      <w:r>
        <w:rPr>
          <w:rFonts w:hint="eastAsia" w:ascii="仿宋_GB2312" w:hAnsi="仿宋_GB2312" w:eastAsia="仿宋_GB2312" w:cs="仿宋_GB2312"/>
          <w:sz w:val="32"/>
          <w:szCs w:val="32"/>
        </w:rPr>
        <w:t>号、新财建</w:t>
      </w:r>
      <w:r>
        <w:rPr>
          <w:rFonts w:ascii="仿宋_GB2312" w:hAnsi="仿宋_GB2312" w:eastAsia="仿宋_GB2312" w:cs="仿宋_GB2312"/>
          <w:sz w:val="32"/>
          <w:szCs w:val="32"/>
        </w:rPr>
        <w:t>[2019]69</w:t>
      </w:r>
      <w:r>
        <w:rPr>
          <w:rFonts w:hint="eastAsia" w:ascii="仿宋_GB2312" w:hAnsi="仿宋_GB2312" w:eastAsia="仿宋_GB2312" w:cs="仿宋_GB2312"/>
          <w:sz w:val="32"/>
          <w:szCs w:val="32"/>
        </w:rPr>
        <w:t>号、喀地财建</w:t>
      </w:r>
      <w:r>
        <w:rPr>
          <w:rFonts w:ascii="仿宋_GB2312" w:hAnsi="仿宋_GB2312" w:eastAsia="仿宋_GB2312" w:cs="仿宋_GB2312"/>
          <w:sz w:val="32"/>
          <w:szCs w:val="32"/>
        </w:rPr>
        <w:t>[2019]44</w:t>
      </w:r>
      <w:r>
        <w:rPr>
          <w:rFonts w:hint="eastAsia" w:ascii="仿宋_GB2312" w:hAnsi="仿宋_GB2312" w:eastAsia="仿宋_GB2312" w:cs="仿宋_GB2312"/>
          <w:sz w:val="32"/>
          <w:szCs w:val="32"/>
        </w:rPr>
        <w:t>号</w:t>
      </w:r>
      <w:r>
        <w:rPr>
          <w:rFonts w:hint="eastAsia" w:ascii="仿宋_GB2312" w:hAnsi="仿宋_GB2312" w:eastAsia="仿宋_GB2312" w:cs="仿宋_GB2312"/>
          <w:bCs/>
          <w:sz w:val="32"/>
          <w:szCs w:val="32"/>
        </w:rPr>
        <w:t>资金文号文件要求，下达资金预算金额为</w:t>
      </w:r>
      <w:r>
        <w:rPr>
          <w:rFonts w:ascii="仿宋_GB2312" w:eastAsia="仿宋_GB2312" w:cs="仿宋_GB2312"/>
          <w:bCs/>
          <w:sz w:val="32"/>
          <w:szCs w:val="32"/>
        </w:rPr>
        <w:t>2232.61</w:t>
      </w:r>
      <w:r>
        <w:rPr>
          <w:rFonts w:hint="eastAsia" w:ascii="仿宋_GB2312" w:hAnsi="仿宋_GB2312" w:eastAsia="仿宋_GB2312" w:cs="仿宋_GB2312"/>
          <w:bCs/>
          <w:sz w:val="32"/>
          <w:szCs w:val="32"/>
        </w:rPr>
        <w:t>万元</w:t>
      </w:r>
      <w:r>
        <w:rPr>
          <w:rFonts w:hint="eastAsia" w:ascii="仿宋_GB2312" w:hAnsi="仿宋" w:eastAsia="仿宋_GB2312" w:cs="宋体"/>
          <w:sz w:val="32"/>
          <w:szCs w:val="32"/>
        </w:rPr>
        <w:t>，资金来源为自治区专项资金</w:t>
      </w:r>
      <w:r>
        <w:rPr>
          <w:rFonts w:ascii="仿宋_GB2312" w:eastAsia="仿宋_GB2312" w:cs="仿宋_GB2312"/>
          <w:bCs/>
          <w:sz w:val="32"/>
          <w:szCs w:val="32"/>
        </w:rPr>
        <w:t>2232.61</w:t>
      </w:r>
      <w:r>
        <w:rPr>
          <w:rFonts w:hint="eastAsia" w:ascii="仿宋_GB2312" w:hAnsi="仿宋" w:eastAsia="仿宋_GB2312" w:cs="宋体"/>
          <w:sz w:val="32"/>
          <w:szCs w:val="32"/>
        </w:rPr>
        <w:t>万元。</w:t>
      </w:r>
      <w:r>
        <w:rPr>
          <w:rFonts w:hint="eastAsia" w:ascii="仿宋_GB2312" w:hAnsi="仿宋_GB2312" w:eastAsia="仿宋_GB2312" w:cs="仿宋_GB2312"/>
          <w:sz w:val="32"/>
          <w:szCs w:val="32"/>
        </w:rPr>
        <w:t>资金到位率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。本项目实际支付资金</w:t>
      </w:r>
      <w:r>
        <w:rPr>
          <w:rFonts w:ascii="仿宋_GB2312" w:hAnsi="仿宋_GB2312" w:eastAsia="仿宋_GB2312" w:cs="仿宋_GB2312"/>
          <w:sz w:val="32"/>
          <w:szCs w:val="32"/>
        </w:rPr>
        <w:t>2232.61</w:t>
      </w:r>
      <w:r>
        <w:rPr>
          <w:rFonts w:hint="eastAsia" w:ascii="仿宋_GB2312" w:hAnsi="仿宋_GB2312" w:eastAsia="仿宋_GB2312" w:cs="仿宋_GB2312"/>
          <w:sz w:val="32"/>
          <w:szCs w:val="32"/>
        </w:rPr>
        <w:t>万元，预算执行率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自治区项资金的使用范围：</w:t>
      </w:r>
      <w:r>
        <w:rPr>
          <w:rFonts w:hint="eastAsia" w:ascii="仿宋_GB2312" w:hAnsi="仿宋_GB2312" w:eastAsia="仿宋_GB2312" w:cs="仿宋_GB2312"/>
          <w:sz w:val="32"/>
          <w:szCs w:val="32"/>
        </w:rPr>
        <w:t>项目资金主要用于完善我乡住房保障体系，改善住房保障服务，解决建房困难户经济困难，有效促进建房户就业，提升建房户获得感与幸福感。</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叶城县吐古其乡人民叶城县制定了资金管理办法，按照</w:t>
      </w:r>
      <w:r>
        <w:rPr>
          <w:rFonts w:hint="eastAsia" w:ascii="仿宋_GB2312" w:hAnsi="仿宋_GB2312" w:eastAsia="仿宋_GB2312" w:cs="仿宋_GB2312"/>
          <w:sz w:val="32"/>
          <w:szCs w:val="32"/>
        </w:rPr>
        <w:t>新财社</w:t>
      </w:r>
      <w:r>
        <w:rPr>
          <w:rFonts w:ascii="仿宋_GB2312" w:hAnsi="仿宋_GB2312" w:eastAsia="仿宋_GB2312" w:cs="仿宋_GB2312"/>
          <w:sz w:val="32"/>
          <w:szCs w:val="32"/>
        </w:rPr>
        <w:t>[2018]257</w:t>
      </w:r>
      <w:r>
        <w:rPr>
          <w:rFonts w:hint="eastAsia" w:ascii="仿宋_GB2312" w:hAnsi="仿宋_GB2312" w:eastAsia="仿宋_GB2312" w:cs="仿宋_GB2312"/>
          <w:sz w:val="32"/>
          <w:szCs w:val="32"/>
        </w:rPr>
        <w:t>号、喀地财社</w:t>
      </w:r>
      <w:r>
        <w:rPr>
          <w:rFonts w:ascii="仿宋_GB2312" w:hAnsi="仿宋_GB2312" w:eastAsia="仿宋_GB2312" w:cs="仿宋_GB2312"/>
          <w:sz w:val="32"/>
          <w:szCs w:val="32"/>
        </w:rPr>
        <w:t>[2018]142</w:t>
      </w:r>
      <w:r>
        <w:rPr>
          <w:rFonts w:hint="eastAsia" w:ascii="仿宋_GB2312" w:hAnsi="仿宋_GB2312" w:eastAsia="仿宋_GB2312" w:cs="仿宋_GB2312"/>
          <w:sz w:val="32"/>
          <w:szCs w:val="32"/>
        </w:rPr>
        <w:t>号、新财建</w:t>
      </w:r>
      <w:r>
        <w:rPr>
          <w:rFonts w:ascii="仿宋_GB2312" w:hAnsi="仿宋_GB2312" w:eastAsia="仿宋_GB2312" w:cs="仿宋_GB2312"/>
          <w:sz w:val="32"/>
          <w:szCs w:val="32"/>
        </w:rPr>
        <w:t>[2019]69</w:t>
      </w:r>
      <w:r>
        <w:rPr>
          <w:rFonts w:hint="eastAsia" w:ascii="仿宋_GB2312" w:hAnsi="仿宋_GB2312" w:eastAsia="仿宋_GB2312" w:cs="仿宋_GB2312"/>
          <w:sz w:val="32"/>
          <w:szCs w:val="32"/>
        </w:rPr>
        <w:t>号、喀地财建</w:t>
      </w:r>
      <w:r>
        <w:rPr>
          <w:rFonts w:ascii="仿宋_GB2312" w:hAnsi="仿宋_GB2312" w:eastAsia="仿宋_GB2312" w:cs="仿宋_GB2312"/>
          <w:sz w:val="32"/>
          <w:szCs w:val="32"/>
        </w:rPr>
        <w:t>[2019]44</w:t>
      </w:r>
      <w:r>
        <w:rPr>
          <w:rFonts w:hint="eastAsia" w:ascii="仿宋_GB2312" w:hAnsi="仿宋_GB2312" w:eastAsia="仿宋_GB2312" w:cs="仿宋_GB2312"/>
          <w:sz w:val="32"/>
          <w:szCs w:val="32"/>
        </w:rPr>
        <w:t>号</w:t>
      </w:r>
      <w:r>
        <w:rPr>
          <w:rFonts w:hint="eastAsia" w:ascii="仿宋_GB2312" w:hAnsi="仿宋" w:eastAsia="仿宋_GB2312" w:cs="宋体"/>
          <w:sz w:val="32"/>
          <w:szCs w:val="32"/>
        </w:rPr>
        <w:t>文件进行使用。</w:t>
      </w:r>
    </w:p>
    <w:p>
      <w:pPr>
        <w:pStyle w:val="27"/>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pPr>
      <w:bookmarkStart w:id="2" w:name="_Toc26401551"/>
      <w:r>
        <w:rPr>
          <w:rFonts w:hint="eastAsia"/>
        </w:rPr>
        <w:t>绩效目标</w:t>
      </w:r>
      <w:bookmarkEnd w:id="2"/>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总体目标为：叶城县吐古其乡该项目资金</w:t>
      </w:r>
      <w:r>
        <w:rPr>
          <w:rFonts w:ascii="仿宋_GB2312" w:hAnsi="仿宋" w:eastAsia="仿宋_GB2312" w:cs="宋体"/>
          <w:sz w:val="32"/>
          <w:szCs w:val="32"/>
        </w:rPr>
        <w:t>2232.61</w:t>
      </w:r>
      <w:r>
        <w:rPr>
          <w:rFonts w:hint="eastAsia" w:ascii="仿宋_GB2312" w:hAnsi="仿宋" w:eastAsia="仿宋_GB2312" w:cs="宋体"/>
          <w:sz w:val="32"/>
          <w:szCs w:val="32"/>
        </w:rPr>
        <w:t>万元，用于完善我乡住房保障体系，改善住房保障服务，解决建房困难户经济困难，有效促进建房户就业，提升建房户获得感与幸福感。</w:t>
      </w:r>
    </w:p>
    <w:p>
      <w:pPr>
        <w:pStyle w:val="26"/>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textAlignment w:val="auto"/>
      </w:pPr>
      <w:bookmarkStart w:id="3" w:name="_Toc26401552"/>
      <w:r>
        <w:rPr>
          <w:rFonts w:hint="eastAsia"/>
        </w:rPr>
        <w:t>评价工作简述</w:t>
      </w:r>
      <w:bookmarkEnd w:id="3"/>
    </w:p>
    <w:p>
      <w:pPr>
        <w:pStyle w:val="27"/>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pPr>
      <w:bookmarkStart w:id="4" w:name="_Toc26401553"/>
      <w:r>
        <w:rPr>
          <w:rFonts w:hint="eastAsia"/>
        </w:rPr>
        <w:t>评价目的</w:t>
      </w:r>
      <w:bookmarkEnd w:id="4"/>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本次绩效评价遵循财政部《项目支出绩效评价管理办法》（财预〔</w:t>
      </w:r>
      <w:r>
        <w:rPr>
          <w:rFonts w:ascii="仿宋_GB2312" w:hAnsi="仿宋" w:eastAsia="仿宋_GB2312" w:cs="宋体"/>
          <w:sz w:val="32"/>
          <w:szCs w:val="32"/>
        </w:rPr>
        <w:t>2020</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w:t>
      </w:r>
      <w:r>
        <w:rPr>
          <w:rFonts w:hint="eastAsia" w:ascii="仿宋_GB2312" w:hAnsi="仿宋_GB2312" w:eastAsia="仿宋_GB2312" w:cs="仿宋_GB2312"/>
          <w:kern w:val="0"/>
          <w:sz w:val="32"/>
          <w:szCs w:val="32"/>
          <w:shd w:val="clear" w:color="auto" w:fill="FFFFFF"/>
        </w:rPr>
        <w:t>〕</w:t>
      </w:r>
      <w:r>
        <w:rPr>
          <w:rFonts w:ascii="仿宋_GB2312" w:hAnsi="仿宋_GB2312" w:eastAsia="仿宋_GB2312" w:cs="仿宋_GB2312"/>
          <w:kern w:val="0"/>
          <w:sz w:val="32"/>
          <w:szCs w:val="32"/>
          <w:shd w:val="clear" w:color="auto" w:fill="FFFFFF"/>
        </w:rPr>
        <w:t>189</w:t>
      </w:r>
      <w:r>
        <w:rPr>
          <w:rFonts w:hint="eastAsia" w:ascii="仿宋_GB2312" w:hAnsi="仿宋_GB2312" w:eastAsia="仿宋_GB2312" w:cs="仿宋_GB2312"/>
          <w:kern w:val="0"/>
          <w:sz w:val="32"/>
          <w:szCs w:val="32"/>
          <w:shd w:val="clear" w:color="auto" w:fill="FFFFFF"/>
        </w:rPr>
        <w:t>号）</w:t>
      </w:r>
      <w:r>
        <w:rPr>
          <w:rFonts w:hint="eastAsia" w:ascii="仿宋_GB2312" w:hAnsi="仿宋" w:eastAsia="仿宋_GB2312" w:cs="宋体"/>
          <w:sz w:val="32"/>
          <w:szCs w:val="32"/>
        </w:rPr>
        <w:t>等相关政策文件与规定，旨在评价安居富民房建设项目实施前期、过程及效果，评价财政预算资金使用的效率及效益。</w:t>
      </w:r>
    </w:p>
    <w:p>
      <w:pPr>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通过部门项目支出绩效自评</w:t>
      </w:r>
      <w:r>
        <w:rPr>
          <w:rFonts w:ascii="仿宋_GB2312" w:hAnsi="仿宋" w:eastAsia="仿宋_GB2312" w:cs="宋体"/>
          <w:sz w:val="32"/>
          <w:szCs w:val="32"/>
        </w:rPr>
        <w:t>,</w:t>
      </w:r>
      <w:r>
        <w:rPr>
          <w:rFonts w:hint="eastAsia" w:ascii="仿宋_GB2312" w:hAnsi="仿宋" w:eastAsia="仿宋_GB2312" w:cs="宋体"/>
          <w:sz w:val="32"/>
          <w:szCs w:val="32"/>
        </w:rPr>
        <w:t>进一步严格落实《预算法》以及党中央、国务院关于加强预算绩效管理的指示精神</w:t>
      </w:r>
      <w:r>
        <w:rPr>
          <w:rFonts w:ascii="仿宋_GB2312" w:hAnsi="仿宋" w:eastAsia="仿宋_GB2312" w:cs="宋体"/>
          <w:sz w:val="32"/>
          <w:szCs w:val="32"/>
        </w:rPr>
        <w:t>,</w:t>
      </w:r>
      <w:r>
        <w:rPr>
          <w:rFonts w:hint="eastAsia" w:ascii="仿宋_GB2312" w:hAnsi="仿宋" w:eastAsia="仿宋_GB2312" w:cs="宋体"/>
          <w:sz w:val="32"/>
          <w:szCs w:val="32"/>
        </w:rPr>
        <w:t>建立健全“花钱问效”的绩效预算管理机制、提升政府效能。</w:t>
      </w:r>
    </w:p>
    <w:p>
      <w:pPr>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通过部门项目支出绩效评价</w:t>
      </w:r>
      <w:r>
        <w:rPr>
          <w:rFonts w:ascii="仿宋_GB2312" w:hAnsi="仿宋" w:eastAsia="仿宋_GB2312" w:cs="宋体"/>
          <w:sz w:val="32"/>
          <w:szCs w:val="32"/>
        </w:rPr>
        <w:t>,</w:t>
      </w:r>
      <w:r>
        <w:rPr>
          <w:rFonts w:hint="eastAsia" w:ascii="仿宋_GB2312" w:hAnsi="仿宋" w:eastAsia="仿宋_GB2312" w:cs="宋体"/>
          <w:sz w:val="32"/>
          <w:szCs w:val="32"/>
        </w:rPr>
        <w:t>进一步做实绩效目标</w:t>
      </w:r>
      <w:r>
        <w:rPr>
          <w:rFonts w:ascii="仿宋_GB2312" w:hAnsi="仿宋" w:eastAsia="仿宋_GB2312" w:cs="宋体"/>
          <w:sz w:val="32"/>
          <w:szCs w:val="32"/>
        </w:rPr>
        <w:t>,</w:t>
      </w:r>
      <w:r>
        <w:rPr>
          <w:rFonts w:hint="eastAsia" w:ascii="仿宋_GB2312" w:hAnsi="仿宋" w:eastAsia="仿宋_GB2312" w:cs="宋体"/>
          <w:sz w:val="32"/>
          <w:szCs w:val="32"/>
        </w:rPr>
        <w:t>根据项目绩效目标</w:t>
      </w:r>
      <w:r>
        <w:rPr>
          <w:rFonts w:ascii="仿宋_GB2312" w:hAnsi="仿宋" w:eastAsia="仿宋_GB2312" w:cs="宋体"/>
          <w:sz w:val="32"/>
          <w:szCs w:val="32"/>
        </w:rPr>
        <w:t>,</w:t>
      </w:r>
      <w:r>
        <w:rPr>
          <w:rFonts w:hint="eastAsia" w:ascii="仿宋_GB2312" w:hAnsi="仿宋" w:eastAsia="仿宋_GB2312" w:cs="宋体"/>
          <w:sz w:val="32"/>
          <w:szCs w:val="32"/>
        </w:rPr>
        <w:t>细化形成多维度绩效指标</w:t>
      </w:r>
      <w:r>
        <w:rPr>
          <w:rFonts w:ascii="仿宋_GB2312" w:hAnsi="仿宋" w:eastAsia="仿宋_GB2312" w:cs="宋体"/>
          <w:sz w:val="32"/>
          <w:szCs w:val="32"/>
        </w:rPr>
        <w:t>,</w:t>
      </w:r>
      <w:r>
        <w:rPr>
          <w:rFonts w:hint="eastAsia" w:ascii="仿宋_GB2312" w:hAnsi="仿宋" w:eastAsia="仿宋_GB2312" w:cs="宋体"/>
          <w:sz w:val="32"/>
          <w:szCs w:val="32"/>
        </w:rPr>
        <w:t>将绩效指标细化为数量、质量、时效、成本、经济效益、社会效益、可持续影响、服务对象满意度等内容</w:t>
      </w:r>
      <w:r>
        <w:rPr>
          <w:rFonts w:ascii="仿宋_GB2312" w:hAnsi="仿宋" w:eastAsia="仿宋_GB2312" w:cs="宋体"/>
          <w:sz w:val="32"/>
          <w:szCs w:val="32"/>
        </w:rPr>
        <w:t>,</w:t>
      </w:r>
      <w:r>
        <w:rPr>
          <w:rFonts w:hint="eastAsia" w:ascii="仿宋_GB2312" w:hAnsi="仿宋" w:eastAsia="仿宋_GB2312" w:cs="宋体"/>
          <w:sz w:val="32"/>
          <w:szCs w:val="32"/>
        </w:rPr>
        <w:t>保证项目绩效指标设置规范、合理、可衡量。</w:t>
      </w:r>
    </w:p>
    <w:p>
      <w:pPr>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通过项目绩效自评</w:t>
      </w:r>
      <w:r>
        <w:rPr>
          <w:rFonts w:ascii="仿宋_GB2312" w:hAnsi="仿宋" w:eastAsia="仿宋_GB2312" w:cs="宋体"/>
          <w:sz w:val="32"/>
          <w:szCs w:val="32"/>
        </w:rPr>
        <w:t>,</w:t>
      </w:r>
      <w:r>
        <w:rPr>
          <w:rFonts w:hint="eastAsia" w:ascii="仿宋_GB2312" w:hAnsi="仿宋" w:eastAsia="仿宋_GB2312" w:cs="宋体"/>
          <w:sz w:val="32"/>
          <w:szCs w:val="32"/>
        </w:rPr>
        <w:t>进一步纠正对绩效管理理解上的偏差</w:t>
      </w:r>
      <w:r>
        <w:rPr>
          <w:rFonts w:ascii="仿宋_GB2312" w:hAnsi="仿宋" w:eastAsia="仿宋_GB2312" w:cs="宋体"/>
          <w:sz w:val="32"/>
          <w:szCs w:val="32"/>
        </w:rPr>
        <w:t>,</w:t>
      </w:r>
      <w:r>
        <w:rPr>
          <w:rFonts w:hint="eastAsia" w:ascii="仿宋_GB2312" w:hAnsi="仿宋" w:eastAsia="仿宋_GB2312" w:cs="宋体"/>
          <w:sz w:val="32"/>
          <w:szCs w:val="32"/>
        </w:rPr>
        <w:t>建立更加全面科学的绩效指标体系。督促在预算编制中</w:t>
      </w:r>
      <w:r>
        <w:rPr>
          <w:rFonts w:ascii="仿宋_GB2312" w:hAnsi="仿宋" w:eastAsia="仿宋_GB2312" w:cs="宋体"/>
          <w:sz w:val="32"/>
          <w:szCs w:val="32"/>
        </w:rPr>
        <w:t>,</w:t>
      </w:r>
      <w:r>
        <w:rPr>
          <w:rFonts w:hint="eastAsia" w:ascii="仿宋_GB2312" w:hAnsi="仿宋" w:eastAsia="仿宋_GB2312" w:cs="宋体"/>
          <w:sz w:val="32"/>
          <w:szCs w:val="32"/>
        </w:rPr>
        <w:t>将资金申请、绩效目标和具体指标统筹考虑</w:t>
      </w:r>
      <w:r>
        <w:rPr>
          <w:rFonts w:ascii="仿宋_GB2312" w:hAnsi="仿宋" w:eastAsia="仿宋_GB2312" w:cs="宋体"/>
          <w:sz w:val="32"/>
          <w:szCs w:val="32"/>
        </w:rPr>
        <w:t>,</w:t>
      </w:r>
      <w:r>
        <w:rPr>
          <w:rFonts w:hint="eastAsia" w:ascii="仿宋_GB2312" w:hAnsi="仿宋" w:eastAsia="仿宋_GB2312" w:cs="宋体"/>
          <w:sz w:val="32"/>
          <w:szCs w:val="32"/>
        </w:rPr>
        <w:t>形成“花钱必问效、无效必问责”的责任契约机制</w:t>
      </w:r>
      <w:r>
        <w:rPr>
          <w:rFonts w:ascii="仿宋_GB2312" w:hAnsi="仿宋" w:eastAsia="仿宋_GB2312" w:cs="宋体"/>
          <w:sz w:val="32"/>
          <w:szCs w:val="32"/>
        </w:rPr>
        <w:t>,</w:t>
      </w:r>
      <w:r>
        <w:rPr>
          <w:rFonts w:hint="eastAsia" w:ascii="仿宋_GB2312" w:hAnsi="仿宋" w:eastAsia="仿宋_GB2312" w:cs="宋体"/>
          <w:sz w:val="32"/>
          <w:szCs w:val="32"/>
        </w:rPr>
        <w:t>进一步强化预算绩效管理的严肃性和约束力</w:t>
      </w:r>
      <w:r>
        <w:rPr>
          <w:rFonts w:ascii="仿宋_GB2312" w:hAnsi="仿宋" w:eastAsia="仿宋_GB2312" w:cs="宋体"/>
          <w:sz w:val="32"/>
          <w:szCs w:val="32"/>
        </w:rPr>
        <w:t>,</w:t>
      </w:r>
      <w:r>
        <w:rPr>
          <w:rFonts w:hint="eastAsia" w:ascii="仿宋_GB2312" w:hAnsi="仿宋" w:eastAsia="仿宋_GB2312" w:cs="宋体"/>
          <w:sz w:val="32"/>
          <w:szCs w:val="32"/>
        </w:rPr>
        <w:t>推动绩效管理向全方位的绩效预算转变</w:t>
      </w:r>
      <w:r>
        <w:rPr>
          <w:rFonts w:ascii="仿宋_GB2312" w:hAnsi="仿宋" w:eastAsia="仿宋_GB2312" w:cs="宋体"/>
          <w:sz w:val="32"/>
          <w:szCs w:val="32"/>
        </w:rPr>
        <w:t>,</w:t>
      </w:r>
      <w:r>
        <w:rPr>
          <w:rFonts w:hint="eastAsia" w:ascii="仿宋_GB2312" w:hAnsi="仿宋" w:eastAsia="仿宋_GB2312" w:cs="宋体"/>
          <w:sz w:val="32"/>
          <w:szCs w:val="32"/>
        </w:rPr>
        <w:t>逐步建立“以绩效目标为导向</w:t>
      </w:r>
      <w:r>
        <w:rPr>
          <w:rFonts w:ascii="仿宋_GB2312" w:hAnsi="仿宋" w:eastAsia="仿宋_GB2312" w:cs="宋体"/>
          <w:sz w:val="32"/>
          <w:szCs w:val="32"/>
        </w:rPr>
        <w:t>,</w:t>
      </w:r>
      <w:r>
        <w:rPr>
          <w:rFonts w:hint="eastAsia" w:ascii="仿宋_GB2312" w:hAnsi="仿宋" w:eastAsia="仿宋_GB2312" w:cs="宋体"/>
          <w:sz w:val="32"/>
          <w:szCs w:val="32"/>
        </w:rPr>
        <w:t>以绩效评价为手段</w:t>
      </w:r>
      <w:r>
        <w:rPr>
          <w:rFonts w:ascii="仿宋_GB2312" w:hAnsi="仿宋" w:eastAsia="仿宋_GB2312" w:cs="宋体"/>
          <w:sz w:val="32"/>
          <w:szCs w:val="32"/>
        </w:rPr>
        <w:t>,</w:t>
      </w:r>
      <w:r>
        <w:rPr>
          <w:rFonts w:hint="eastAsia" w:ascii="仿宋_GB2312" w:hAnsi="仿宋" w:eastAsia="仿宋_GB2312" w:cs="宋体"/>
          <w:sz w:val="32"/>
          <w:szCs w:val="32"/>
        </w:rPr>
        <w:t>以评价结果应用为保障</w:t>
      </w:r>
      <w:r>
        <w:rPr>
          <w:rFonts w:ascii="仿宋_GB2312" w:hAnsi="仿宋" w:eastAsia="仿宋_GB2312" w:cs="宋体"/>
          <w:sz w:val="32"/>
          <w:szCs w:val="32"/>
        </w:rPr>
        <w:t>,</w:t>
      </w:r>
      <w:r>
        <w:rPr>
          <w:rFonts w:hint="eastAsia" w:ascii="仿宋_GB2312" w:hAnsi="仿宋" w:eastAsia="仿宋_GB2312" w:cs="宋体"/>
          <w:sz w:val="32"/>
          <w:szCs w:val="32"/>
        </w:rPr>
        <w:t>全覆盖、全过程”的绩效预算管理新体制。</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4.</w:t>
      </w:r>
      <w:r>
        <w:rPr>
          <w:rFonts w:hint="eastAsia" w:ascii="仿宋_GB2312" w:hAnsi="仿宋" w:eastAsia="仿宋_GB2312" w:cs="宋体"/>
          <w:sz w:val="32"/>
          <w:szCs w:val="32"/>
        </w:rPr>
        <w:t>通过项目绩效自评</w:t>
      </w:r>
      <w:r>
        <w:rPr>
          <w:rFonts w:ascii="仿宋_GB2312" w:hAnsi="仿宋" w:eastAsia="仿宋_GB2312" w:cs="宋体"/>
          <w:sz w:val="32"/>
          <w:szCs w:val="32"/>
        </w:rPr>
        <w:t>,</w:t>
      </w:r>
      <w:r>
        <w:rPr>
          <w:rFonts w:hint="eastAsia" w:ascii="仿宋_GB2312" w:hAnsi="仿宋" w:eastAsia="仿宋_GB2312" w:cs="宋体"/>
          <w:sz w:val="32"/>
          <w:szCs w:val="32"/>
        </w:rPr>
        <w:t>从绩效的角度发现该项目在决策、实施和管理过程中存在的问题</w:t>
      </w:r>
      <w:r>
        <w:rPr>
          <w:rFonts w:ascii="仿宋_GB2312" w:hAnsi="仿宋" w:eastAsia="仿宋_GB2312" w:cs="宋体"/>
          <w:sz w:val="32"/>
          <w:szCs w:val="32"/>
        </w:rPr>
        <w:t>,</w:t>
      </w:r>
      <w:r>
        <w:rPr>
          <w:rFonts w:hint="eastAsia" w:ascii="仿宋_GB2312" w:hAnsi="仿宋" w:eastAsia="仿宋_GB2312" w:cs="宋体"/>
          <w:sz w:val="32"/>
          <w:szCs w:val="32"/>
        </w:rPr>
        <w:t>寻求解决方案</w:t>
      </w:r>
      <w:r>
        <w:rPr>
          <w:rFonts w:ascii="仿宋_GB2312" w:hAnsi="仿宋" w:eastAsia="仿宋_GB2312" w:cs="宋体"/>
          <w:sz w:val="32"/>
          <w:szCs w:val="32"/>
        </w:rPr>
        <w:t>,</w:t>
      </w:r>
      <w:r>
        <w:rPr>
          <w:rFonts w:hint="eastAsia" w:ascii="仿宋_GB2312" w:hAnsi="仿宋" w:eastAsia="仿宋_GB2312" w:cs="宋体"/>
          <w:sz w:val="32"/>
          <w:szCs w:val="32"/>
        </w:rPr>
        <w:t>为进一步深化项目管理工作提供依据</w:t>
      </w:r>
      <w:r>
        <w:rPr>
          <w:rFonts w:ascii="仿宋_GB2312" w:hAnsi="仿宋" w:eastAsia="仿宋_GB2312" w:cs="宋体"/>
          <w:sz w:val="32"/>
          <w:szCs w:val="32"/>
        </w:rPr>
        <w:t>,</w:t>
      </w:r>
      <w:r>
        <w:rPr>
          <w:rFonts w:hint="eastAsia" w:ascii="仿宋_GB2312" w:hAnsi="仿宋" w:eastAsia="仿宋_GB2312" w:cs="宋体"/>
          <w:sz w:val="32"/>
          <w:szCs w:val="32"/>
        </w:rPr>
        <w:t>以促进项目进一步的推进和后期项目维护和评价工作提供更深一步的理论和实际支持。</w:t>
      </w:r>
    </w:p>
    <w:p>
      <w:pPr>
        <w:pStyle w:val="27"/>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本次绩效评价的对象及范围</w:t>
      </w:r>
      <w:bookmarkStart w:id="5" w:name="_Toc26401554"/>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本次评价对象为安居富民房建设项目资金，评价范围包括专项资金的安排、组织及使用效益。</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1.资金使用范围：</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根据《叶城县扶贫资金管理实施方案》《叶城县扶贫资金管理制度》进行支付，实行实施一个项目，支付一笔资金、报账一笔资金，资金跟着项目走，项目跟着需求走。</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2.项目实施及管理情况：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项目经立项后。由乡、村两级进行组织实施，制定实施方案，实施过程均按照上级管理制度和实施方案执行。</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该项目不存在调整情况。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pPr>
        <w:pStyle w:val="27"/>
        <w:pageBreakBefore w:val="0"/>
        <w:widowControl w:val="0"/>
        <w:numPr>
          <w:ilvl w:val="0"/>
          <w:numId w:val="4"/>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绩效评价原则</w:t>
      </w:r>
      <w:bookmarkEnd w:id="5"/>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7"/>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leftChars="0" w:firstLine="640" w:firstLineChars="200"/>
        <w:textAlignment w:val="auto"/>
        <w:rPr>
          <w:rFonts w:hAnsi="仿宋" w:cs="宋体"/>
          <w:b w:val="0"/>
        </w:rPr>
      </w:pPr>
      <w:r>
        <w:rPr>
          <w:rFonts w:hint="eastAsia" w:hAnsi="仿宋" w:cs="宋体"/>
          <w:b w:val="0"/>
        </w:rPr>
        <w:t>科学公正。绩效评价应当运用科学合理的方法，按照规范的程序，对项目绩效进行客观、公正的反映。</w:t>
      </w:r>
    </w:p>
    <w:p>
      <w:pPr>
        <w:pStyle w:val="27"/>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leftChars="0" w:firstLine="640" w:firstLineChars="200"/>
        <w:textAlignment w:val="auto"/>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7"/>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leftChars="0" w:firstLine="640" w:firstLineChars="200"/>
        <w:textAlignment w:val="auto"/>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7"/>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leftChars="0" w:firstLine="640" w:firstLineChars="200"/>
        <w:textAlignment w:val="auto"/>
        <w:rPr>
          <w:b w:val="0"/>
        </w:rPr>
      </w:pPr>
      <w:r>
        <w:rPr>
          <w:rFonts w:hint="eastAsia" w:hAnsi="仿宋" w:cs="宋体"/>
          <w:b w:val="0"/>
        </w:rPr>
        <w:t>公开透明。绩效评价结果应依法依规公开，并自觉接受社会监督。</w:t>
      </w:r>
      <w:r>
        <w:rPr>
          <w:rFonts w:hint="eastAsia"/>
          <w:b w:val="0"/>
        </w:rPr>
        <w:t>绩效评价体系</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根据以上原则</w:t>
      </w:r>
      <w:r>
        <w:rPr>
          <w:rFonts w:ascii="仿宋_GB2312" w:hAnsi="仿宋" w:eastAsia="仿宋_GB2312" w:cs="宋体"/>
          <w:sz w:val="32"/>
          <w:szCs w:val="32"/>
        </w:rPr>
        <w:t>,</w:t>
      </w:r>
      <w:r>
        <w:rPr>
          <w:rFonts w:hint="eastAsia" w:ascii="仿宋_GB2312" w:hAnsi="仿宋" w:eastAsia="仿宋_GB2312" w:cs="宋体"/>
          <w:sz w:val="32"/>
          <w:szCs w:val="32"/>
        </w:rPr>
        <w:t>绩效评价应遵循如下要求</w:t>
      </w:r>
      <w:r>
        <w:rPr>
          <w:rFonts w:ascii="仿宋_GB2312" w:hAnsi="仿宋" w:eastAsia="仿宋_GB2312" w:cs="宋体"/>
          <w:sz w:val="32"/>
          <w:szCs w:val="32"/>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1</w:t>
      </w:r>
      <w:r>
        <w:rPr>
          <w:rFonts w:hint="eastAsia" w:ascii="仿宋_GB2312" w:hAnsi="仿宋" w:eastAsia="仿宋_GB2312" w:cs="宋体"/>
          <w:sz w:val="32"/>
          <w:szCs w:val="32"/>
        </w:rPr>
        <w:t>）在数据采集时</w:t>
      </w:r>
      <w:r>
        <w:rPr>
          <w:rFonts w:ascii="仿宋_GB2312" w:hAnsi="仿宋" w:eastAsia="仿宋_GB2312" w:cs="宋体"/>
          <w:sz w:val="32"/>
          <w:szCs w:val="32"/>
        </w:rPr>
        <w:t>,</w:t>
      </w:r>
      <w:r>
        <w:rPr>
          <w:rFonts w:hint="eastAsia" w:ascii="仿宋_GB2312" w:hAnsi="仿宋" w:eastAsia="仿宋_GB2312" w:cs="宋体"/>
          <w:sz w:val="32"/>
          <w:szCs w:val="32"/>
        </w:rPr>
        <w:t>采取客观数据</w:t>
      </w:r>
      <w:r>
        <w:rPr>
          <w:rFonts w:ascii="仿宋_GB2312" w:hAnsi="仿宋" w:eastAsia="仿宋_GB2312" w:cs="宋体"/>
          <w:sz w:val="32"/>
          <w:szCs w:val="32"/>
        </w:rPr>
        <w:t>,</w:t>
      </w:r>
      <w:r>
        <w:rPr>
          <w:rFonts w:hint="eastAsia" w:ascii="仿宋_GB2312" w:hAnsi="仿宋" w:eastAsia="仿宋_GB2312" w:cs="宋体"/>
          <w:sz w:val="32"/>
          <w:szCs w:val="32"/>
        </w:rPr>
        <w:t>主管部门审查、社会中介组织复查</w:t>
      </w:r>
      <w:r>
        <w:rPr>
          <w:rFonts w:ascii="仿宋_GB2312" w:hAnsi="仿宋" w:eastAsia="仿宋_GB2312" w:cs="宋体"/>
          <w:sz w:val="32"/>
          <w:szCs w:val="32"/>
        </w:rPr>
        <w:t>,</w:t>
      </w:r>
      <w:r>
        <w:rPr>
          <w:rFonts w:hint="eastAsia" w:ascii="仿宋_GB2312" w:hAnsi="仿宋" w:eastAsia="仿宋_GB2312" w:cs="宋体"/>
          <w:sz w:val="32"/>
          <w:szCs w:val="32"/>
        </w:rPr>
        <w:t>与问卷调查相结合的形式</w:t>
      </w:r>
      <w:r>
        <w:rPr>
          <w:rFonts w:ascii="仿宋_GB2312" w:hAnsi="仿宋" w:eastAsia="仿宋_GB2312" w:cs="宋体"/>
          <w:sz w:val="32"/>
          <w:szCs w:val="32"/>
        </w:rPr>
        <w:t>,</w:t>
      </w:r>
      <w:r>
        <w:rPr>
          <w:rFonts w:hint="eastAsia" w:ascii="仿宋_GB2312" w:hAnsi="仿宋" w:eastAsia="仿宋_GB2312" w:cs="宋体"/>
          <w:sz w:val="32"/>
          <w:szCs w:val="32"/>
        </w:rPr>
        <w:t>以保证各项指标的真实性。</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保证评价结果的真实性、公正性</w:t>
      </w:r>
      <w:r>
        <w:rPr>
          <w:rFonts w:ascii="仿宋_GB2312" w:hAnsi="仿宋" w:eastAsia="仿宋_GB2312" w:cs="宋体"/>
          <w:sz w:val="32"/>
          <w:szCs w:val="32"/>
        </w:rPr>
        <w:t>,</w:t>
      </w:r>
      <w:r>
        <w:rPr>
          <w:rFonts w:hint="eastAsia" w:ascii="仿宋_GB2312" w:hAnsi="仿宋" w:eastAsia="仿宋_GB2312" w:cs="宋体"/>
          <w:sz w:val="32"/>
          <w:szCs w:val="32"/>
        </w:rPr>
        <w:t>提高评价报告的公信力。</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绩教评价报告应当简明扼要</w:t>
      </w:r>
      <w:r>
        <w:rPr>
          <w:rFonts w:ascii="仿宋_GB2312" w:hAnsi="仿宋" w:eastAsia="仿宋_GB2312" w:cs="宋体"/>
          <w:sz w:val="32"/>
          <w:szCs w:val="32"/>
        </w:rPr>
        <w:t>,</w:t>
      </w:r>
      <w:r>
        <w:rPr>
          <w:rFonts w:hint="eastAsia" w:ascii="仿宋_GB2312" w:hAnsi="仿宋" w:eastAsia="仿宋_GB2312" w:cs="宋体"/>
          <w:sz w:val="32"/>
          <w:szCs w:val="32"/>
        </w:rPr>
        <w:t>除了对绩效评价的过程、结果描述外</w:t>
      </w:r>
      <w:r>
        <w:rPr>
          <w:rFonts w:ascii="仿宋_GB2312" w:hAnsi="仿宋" w:eastAsia="仿宋_GB2312" w:cs="宋体"/>
          <w:sz w:val="32"/>
          <w:szCs w:val="32"/>
        </w:rPr>
        <w:t>,</w:t>
      </w:r>
      <w:r>
        <w:rPr>
          <w:rFonts w:hint="eastAsia" w:ascii="仿宋_GB2312" w:hAnsi="仿宋" w:eastAsia="仿宋_GB2312" w:cs="宋体"/>
          <w:sz w:val="32"/>
          <w:szCs w:val="32"/>
        </w:rPr>
        <w:t>还应总结经验</w:t>
      </w:r>
      <w:r>
        <w:rPr>
          <w:rFonts w:ascii="仿宋_GB2312" w:hAnsi="仿宋" w:eastAsia="仿宋_GB2312" w:cs="宋体"/>
          <w:sz w:val="32"/>
          <w:szCs w:val="32"/>
        </w:rPr>
        <w:t>,</w:t>
      </w:r>
      <w:r>
        <w:rPr>
          <w:rFonts w:hint="eastAsia" w:ascii="仿宋_GB2312" w:hAnsi="仿宋" w:eastAsia="仿宋_GB2312" w:cs="宋体"/>
          <w:sz w:val="32"/>
          <w:szCs w:val="32"/>
        </w:rPr>
        <w:t>指出问题</w:t>
      </w:r>
      <w:r>
        <w:rPr>
          <w:rFonts w:ascii="仿宋_GB2312" w:hAnsi="仿宋" w:eastAsia="仿宋_GB2312" w:cs="宋体"/>
          <w:sz w:val="32"/>
          <w:szCs w:val="32"/>
        </w:rPr>
        <w:t>,</w:t>
      </w:r>
      <w:r>
        <w:rPr>
          <w:rFonts w:hint="eastAsia" w:ascii="仿宋_GB2312" w:hAnsi="仿宋" w:eastAsia="仿宋_GB2312" w:cs="宋体"/>
          <w:sz w:val="32"/>
          <w:szCs w:val="32"/>
        </w:rPr>
        <w:t>并就共性问题提出可操作性改进建议。</w:t>
      </w:r>
    </w:p>
    <w:p>
      <w:pPr>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w:t>
      </w:r>
      <w:r>
        <w:rPr>
          <w:rFonts w:ascii="仿宋_GB2312" w:hAnsi="仿宋" w:eastAsia="仿宋_GB2312" w:cs="宋体"/>
          <w:sz w:val="32"/>
          <w:szCs w:val="32"/>
        </w:rPr>
        <w:t>,</w:t>
      </w:r>
      <w:r>
        <w:rPr>
          <w:rFonts w:hint="eastAsia" w:ascii="仿宋_GB2312" w:hAnsi="仿宋" w:eastAsia="仿宋_GB2312" w:cs="宋体"/>
          <w:sz w:val="32"/>
          <w:szCs w:val="32"/>
        </w:rPr>
        <w:t>根据财政部制定的《项目支出绩效评价共性指标体系框架》</w:t>
      </w:r>
      <w:r>
        <w:rPr>
          <w:rFonts w:ascii="仿宋_GB2312" w:hAnsi="仿宋" w:eastAsia="仿宋_GB2312" w:cs="宋体"/>
          <w:sz w:val="32"/>
          <w:szCs w:val="32"/>
        </w:rPr>
        <w:t>,</w:t>
      </w:r>
      <w:r>
        <w:rPr>
          <w:rFonts w:hint="eastAsia" w:ascii="仿宋_GB2312" w:hAnsi="仿宋" w:eastAsia="仿宋_GB2312" w:cs="宋体"/>
          <w:sz w:val="32"/>
          <w:szCs w:val="32"/>
        </w:rPr>
        <w:t>结合安居富民房建设项目特性、吐古其乡实际情况</w:t>
      </w:r>
      <w:r>
        <w:rPr>
          <w:rFonts w:ascii="仿宋_GB2312" w:hAnsi="仿宋" w:eastAsia="仿宋_GB2312" w:cs="宋体"/>
          <w:sz w:val="32"/>
          <w:szCs w:val="32"/>
        </w:rPr>
        <w:t>,</w:t>
      </w:r>
      <w:r>
        <w:rPr>
          <w:rFonts w:hint="eastAsia" w:ascii="仿宋_GB2312" w:hAnsi="仿宋" w:eastAsia="仿宋_GB2312" w:cs="宋体"/>
          <w:sz w:val="32"/>
          <w:szCs w:val="32"/>
        </w:rPr>
        <w:t>本项目按照财预﹝</w:t>
      </w:r>
      <w:r>
        <w:rPr>
          <w:rFonts w:ascii="仿宋_GB2312" w:hAnsi="仿宋" w:eastAsia="仿宋_GB2312" w:cs="宋体"/>
          <w:sz w:val="32"/>
          <w:szCs w:val="32"/>
        </w:rPr>
        <w:t>2020</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号文件制定评价指标体系。</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w:t>
      </w:r>
      <w:r>
        <w:rPr>
          <w:rFonts w:ascii="仿宋_GB2312" w:hAnsi="仿宋" w:eastAsia="仿宋_GB2312" w:cs="宋体"/>
          <w:sz w:val="32"/>
          <w:szCs w:val="32"/>
        </w:rPr>
        <w:t>3</w:t>
      </w:r>
      <w:r>
        <w:rPr>
          <w:rFonts w:hint="eastAsia" w:ascii="仿宋_GB2312" w:hAnsi="仿宋" w:eastAsia="仿宋_GB2312" w:cs="宋体"/>
          <w:sz w:val="32"/>
          <w:szCs w:val="32"/>
        </w:rPr>
        <w:t>个，二级指标</w:t>
      </w:r>
      <w:r>
        <w:rPr>
          <w:rFonts w:ascii="仿宋_GB2312" w:hAnsi="仿宋" w:eastAsia="仿宋_GB2312" w:cs="宋体"/>
          <w:sz w:val="32"/>
          <w:szCs w:val="32"/>
        </w:rPr>
        <w:t>9</w:t>
      </w:r>
      <w:r>
        <w:rPr>
          <w:rFonts w:hint="eastAsia" w:ascii="仿宋_GB2312" w:hAnsi="仿宋" w:eastAsia="仿宋_GB2312" w:cs="宋体"/>
          <w:sz w:val="32"/>
          <w:szCs w:val="32"/>
        </w:rPr>
        <w:t>个，三级指标</w:t>
      </w:r>
      <w:r>
        <w:rPr>
          <w:rFonts w:ascii="仿宋_GB2312" w:hAnsi="仿宋" w:eastAsia="仿宋_GB2312" w:cs="宋体"/>
          <w:sz w:val="32"/>
          <w:szCs w:val="32"/>
        </w:rPr>
        <w:t>11</w:t>
      </w:r>
      <w:r>
        <w:rPr>
          <w:rFonts w:hint="eastAsia" w:ascii="仿宋_GB2312" w:hAnsi="仿宋" w:eastAsia="仿宋_GB2312" w:cs="宋体"/>
          <w:sz w:val="32"/>
          <w:szCs w:val="32"/>
        </w:rPr>
        <w:t>个，分别是立项依据充分性、绩效目标合理性、绩效指标明确性、预算编制科学性。</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过程中一级指标</w:t>
      </w:r>
      <w:r>
        <w:rPr>
          <w:rFonts w:ascii="仿宋_GB2312" w:hAnsi="仿宋" w:eastAsia="仿宋_GB2312" w:cs="宋体"/>
          <w:sz w:val="32"/>
          <w:szCs w:val="32"/>
        </w:rPr>
        <w:t>1</w:t>
      </w:r>
      <w:r>
        <w:rPr>
          <w:rFonts w:hint="eastAsia" w:ascii="仿宋_GB2312" w:hAnsi="仿宋" w:eastAsia="仿宋_GB2312" w:cs="宋体"/>
          <w:sz w:val="32"/>
          <w:szCs w:val="32"/>
        </w:rPr>
        <w:t>个，二级指标</w:t>
      </w:r>
      <w:r>
        <w:rPr>
          <w:rFonts w:ascii="仿宋_GB2312" w:hAnsi="仿宋" w:eastAsia="仿宋_GB2312" w:cs="宋体"/>
          <w:sz w:val="32"/>
          <w:szCs w:val="32"/>
        </w:rPr>
        <w:t>2</w:t>
      </w:r>
      <w:r>
        <w:rPr>
          <w:rFonts w:hint="eastAsia" w:ascii="仿宋_GB2312" w:hAnsi="仿宋" w:eastAsia="仿宋_GB2312" w:cs="宋体"/>
          <w:sz w:val="32"/>
          <w:szCs w:val="32"/>
        </w:rPr>
        <w:t>个，三级指标</w:t>
      </w:r>
      <w:r>
        <w:rPr>
          <w:rFonts w:ascii="仿宋_GB2312" w:hAnsi="仿宋" w:eastAsia="仿宋_GB2312" w:cs="宋体"/>
          <w:sz w:val="32"/>
          <w:szCs w:val="32"/>
        </w:rPr>
        <w:t>6</w:t>
      </w:r>
      <w:r>
        <w:rPr>
          <w:rFonts w:hint="eastAsia" w:ascii="仿宋_GB2312" w:hAnsi="仿宋" w:eastAsia="仿宋_GB2312" w:cs="宋体"/>
          <w:sz w:val="32"/>
          <w:szCs w:val="32"/>
        </w:rPr>
        <w:t>个，分别是资金到位率、预算执行率、资金使用合规性、管理制度健全性、制度执行有效性。</w:t>
      </w:r>
    </w:p>
    <w:p>
      <w:pPr>
        <w:pStyle w:val="27"/>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pPr>
      <w:bookmarkStart w:id="6" w:name="_Toc26401555"/>
      <w:r>
        <w:rPr>
          <w:rFonts w:hint="eastAsia"/>
          <w:lang w:eastAsia="zh-CN"/>
        </w:rPr>
        <w:t>（五）</w:t>
      </w:r>
      <w:r>
        <w:rPr>
          <w:rFonts w:hint="eastAsia"/>
        </w:rPr>
        <w:t>绩效评价方法</w:t>
      </w:r>
      <w:bookmarkEnd w:id="6"/>
    </w:p>
    <w:p>
      <w:pPr>
        <w:pStyle w:val="2"/>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ascii="仿宋_GB2312" w:hAnsi="仿宋" w:eastAsia="仿宋_GB2312" w:cs="宋体"/>
          <w:b w:val="0"/>
          <w:bCs w:val="0"/>
          <w:kern w:val="2"/>
          <w:sz w:val="32"/>
          <w:szCs w:val="32"/>
        </w:rPr>
      </w:pPr>
      <w:r>
        <w:rPr>
          <w:rFonts w:hint="eastAsia" w:ascii="仿宋_GB2312" w:hAnsi="仿宋" w:eastAsia="仿宋_GB2312" w:cs="宋体"/>
          <w:b w:val="0"/>
          <w:bCs w:val="0"/>
          <w:kern w:val="2"/>
          <w:sz w:val="32"/>
          <w:szCs w:val="32"/>
        </w:rPr>
        <w:t>本次绩效评价方法的选用坚持简便有效的原则采用目标比较法。安居富民房建设项目实际完成一般户</w:t>
      </w:r>
      <w:r>
        <w:rPr>
          <w:rFonts w:ascii="仿宋_GB2312" w:hAnsi="仿宋" w:eastAsia="仿宋_GB2312" w:cs="宋体"/>
          <w:b w:val="0"/>
          <w:bCs w:val="0"/>
          <w:kern w:val="2"/>
          <w:sz w:val="32"/>
          <w:szCs w:val="32"/>
        </w:rPr>
        <w:t>567</w:t>
      </w:r>
      <w:r>
        <w:rPr>
          <w:rFonts w:hint="eastAsia" w:ascii="仿宋_GB2312" w:hAnsi="仿宋" w:eastAsia="仿宋_GB2312" w:cs="宋体"/>
          <w:b w:val="0"/>
          <w:bCs w:val="0"/>
          <w:kern w:val="2"/>
          <w:sz w:val="32"/>
          <w:szCs w:val="32"/>
        </w:rPr>
        <w:t>户，低保户</w:t>
      </w:r>
      <w:r>
        <w:rPr>
          <w:rFonts w:ascii="仿宋_GB2312" w:hAnsi="仿宋" w:eastAsia="仿宋_GB2312" w:cs="宋体"/>
          <w:b w:val="0"/>
          <w:bCs w:val="0"/>
          <w:kern w:val="2"/>
          <w:sz w:val="32"/>
          <w:szCs w:val="32"/>
        </w:rPr>
        <w:t>1279</w:t>
      </w:r>
      <w:r>
        <w:rPr>
          <w:rFonts w:hint="eastAsia" w:ascii="仿宋_GB2312" w:hAnsi="仿宋" w:eastAsia="仿宋_GB2312" w:cs="宋体"/>
          <w:b w:val="0"/>
          <w:bCs w:val="0"/>
          <w:kern w:val="2"/>
          <w:sz w:val="32"/>
          <w:szCs w:val="32"/>
        </w:rPr>
        <w:t>户，实现预期目标建设，资金支付率达到</w:t>
      </w:r>
      <w:r>
        <w:rPr>
          <w:rFonts w:ascii="仿宋_GB2312" w:hAnsi="仿宋" w:eastAsia="仿宋_GB2312" w:cs="宋体"/>
          <w:b w:val="0"/>
          <w:bCs w:val="0"/>
          <w:kern w:val="2"/>
          <w:sz w:val="32"/>
          <w:szCs w:val="32"/>
        </w:rPr>
        <w:t>100%</w:t>
      </w:r>
      <w:r>
        <w:rPr>
          <w:rFonts w:hint="eastAsia" w:ascii="仿宋_GB2312" w:hAnsi="仿宋" w:eastAsia="仿宋_GB2312" w:cs="宋体"/>
          <w:b w:val="0"/>
          <w:bCs w:val="0"/>
          <w:kern w:val="2"/>
          <w:sz w:val="32"/>
          <w:szCs w:val="32"/>
        </w:rPr>
        <w:t>。一般户</w:t>
      </w:r>
      <w:r>
        <w:rPr>
          <w:rFonts w:ascii="仿宋_GB2312" w:hAnsi="仿宋" w:eastAsia="仿宋_GB2312" w:cs="宋体"/>
          <w:b w:val="0"/>
          <w:bCs w:val="0"/>
          <w:kern w:val="2"/>
          <w:sz w:val="32"/>
          <w:szCs w:val="32"/>
        </w:rPr>
        <w:t>0.925</w:t>
      </w:r>
      <w:r>
        <w:rPr>
          <w:rFonts w:hint="eastAsia" w:ascii="仿宋_GB2312" w:hAnsi="仿宋" w:eastAsia="仿宋_GB2312" w:cs="宋体"/>
          <w:b w:val="0"/>
          <w:bCs w:val="0"/>
          <w:kern w:val="2"/>
          <w:sz w:val="32"/>
          <w:szCs w:val="32"/>
        </w:rPr>
        <w:t>万元，低保户</w:t>
      </w:r>
      <w:r>
        <w:rPr>
          <w:rFonts w:ascii="仿宋_GB2312" w:hAnsi="仿宋" w:eastAsia="仿宋_GB2312" w:cs="宋体"/>
          <w:b w:val="0"/>
          <w:bCs w:val="0"/>
          <w:kern w:val="2"/>
          <w:sz w:val="32"/>
          <w:szCs w:val="32"/>
        </w:rPr>
        <w:t>1.85</w:t>
      </w:r>
      <w:r>
        <w:rPr>
          <w:rFonts w:hint="eastAsia" w:ascii="仿宋_GB2312" w:hAnsi="仿宋" w:eastAsia="仿宋_GB2312" w:cs="宋体"/>
          <w:b w:val="0"/>
          <w:bCs w:val="0"/>
          <w:kern w:val="2"/>
          <w:sz w:val="32"/>
          <w:szCs w:val="32"/>
        </w:rPr>
        <w:t>万元，用于完善我乡住房保障体系，改善住房保障服务，解决建房困难户经济困难，有效促进建房户就业，提升建房户获得感与幸福感。</w:t>
      </w:r>
    </w:p>
    <w:p>
      <w:pPr>
        <w:pStyle w:val="27"/>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3" w:firstLineChars="200"/>
        <w:textAlignment w:val="auto"/>
      </w:pPr>
      <w:r>
        <w:rPr>
          <w:rFonts w:hint="eastAsia"/>
          <w:lang w:eastAsia="zh-CN"/>
        </w:rPr>
        <w:t>（六）</w:t>
      </w:r>
      <w:r>
        <w:rPr>
          <w:rFonts w:hint="eastAsia"/>
        </w:rPr>
        <w:t>评价标准</w:t>
      </w:r>
    </w:p>
    <w:p>
      <w:pPr>
        <w:pStyle w:val="27"/>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bCs w:val="0"/>
        </w:rPr>
      </w:pPr>
      <w:r>
        <w:rPr>
          <w:rFonts w:hint="eastAsia"/>
        </w:rPr>
        <w:t>项目评价标准采用</w:t>
      </w:r>
      <w:r>
        <w:rPr>
          <w:rFonts w:hint="eastAsia"/>
          <w:bCs w:val="0"/>
        </w:rPr>
        <w:t>计划标准</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pPr>
      <w:r>
        <w:rPr>
          <w:rFonts w:hint="eastAsia" w:ascii="仿宋_GB2312" w:hAnsi="仿宋" w:eastAsia="仿宋_GB2312" w:cs="宋体"/>
          <w:sz w:val="32"/>
          <w:szCs w:val="32"/>
        </w:rPr>
        <w:t>计划标准</w:t>
      </w:r>
      <w:r>
        <w:rPr>
          <w:rFonts w:ascii="仿宋_GB2312" w:hAnsi="仿宋" w:eastAsia="仿宋_GB2312" w:cs="宋体"/>
          <w:sz w:val="32"/>
          <w:szCs w:val="32"/>
        </w:rPr>
        <w:t>:</w:t>
      </w:r>
      <w:r>
        <w:rPr>
          <w:rFonts w:hint="eastAsia" w:ascii="仿宋_GB2312" w:hAnsi="仿宋" w:eastAsia="仿宋_GB2312" w:cs="宋体"/>
          <w:sz w:val="32"/>
          <w:szCs w:val="32"/>
        </w:rPr>
        <w:t>庭院发展项目计划标准为年度预期目标实施一般户</w:t>
      </w:r>
      <w:r>
        <w:rPr>
          <w:rFonts w:ascii="仿宋_GB2312" w:hAnsi="仿宋" w:eastAsia="仿宋_GB2312" w:cs="宋体"/>
          <w:sz w:val="32"/>
          <w:szCs w:val="32"/>
        </w:rPr>
        <w:t>567</w:t>
      </w:r>
      <w:r>
        <w:rPr>
          <w:rFonts w:hint="eastAsia" w:ascii="仿宋_GB2312" w:hAnsi="仿宋" w:eastAsia="仿宋_GB2312" w:cs="宋体"/>
          <w:sz w:val="32"/>
          <w:szCs w:val="32"/>
        </w:rPr>
        <w:t>户，低保户</w:t>
      </w:r>
      <w:r>
        <w:rPr>
          <w:rFonts w:ascii="仿宋_GB2312" w:hAnsi="仿宋" w:eastAsia="仿宋_GB2312" w:cs="宋体"/>
          <w:sz w:val="32"/>
          <w:szCs w:val="32"/>
        </w:rPr>
        <w:t>1279</w:t>
      </w:r>
      <w:r>
        <w:rPr>
          <w:rFonts w:hint="eastAsia" w:ascii="仿宋_GB2312" w:hAnsi="仿宋" w:eastAsia="仿宋_GB2312" w:cs="宋体"/>
          <w:sz w:val="32"/>
          <w:szCs w:val="32"/>
        </w:rPr>
        <w:t>户，合计</w:t>
      </w:r>
      <w:r>
        <w:rPr>
          <w:rFonts w:ascii="仿宋_GB2312" w:hAnsi="仿宋" w:eastAsia="仿宋_GB2312" w:cs="宋体"/>
          <w:sz w:val="32"/>
          <w:szCs w:val="32"/>
        </w:rPr>
        <w:t>1846</w:t>
      </w:r>
      <w:r>
        <w:rPr>
          <w:rFonts w:hint="eastAsia" w:ascii="仿宋_GB2312" w:hAnsi="仿宋" w:eastAsia="仿宋_GB2312" w:cs="宋体"/>
          <w:sz w:val="32"/>
          <w:szCs w:val="32"/>
        </w:rPr>
        <w:t>户，实施该项目是贯彻落实好县委决策部署，全面完成脱贫攻坚任务，彻底改善人居环境，转变农民生活方式，提高农民生活质量，促进文明住行，淡化宗教氛围的重要抓手。是解决新农村建设“只见新房，不见新村”问题的根据途径，项目资金预算数</w:t>
      </w:r>
      <w:r>
        <w:rPr>
          <w:rFonts w:ascii="仿宋_GB2312" w:hAnsi="仿宋" w:eastAsia="仿宋_GB2312" w:cs="宋体"/>
          <w:sz w:val="32"/>
          <w:szCs w:val="32"/>
        </w:rPr>
        <w:t>2232.61</w:t>
      </w:r>
      <w:r>
        <w:rPr>
          <w:rFonts w:hint="eastAsia" w:ascii="仿宋_GB2312" w:hAnsi="仿宋" w:eastAsia="仿宋_GB2312" w:cs="宋体"/>
          <w:sz w:val="32"/>
          <w:szCs w:val="32"/>
        </w:rPr>
        <w:t>万元。已达到该标准。</w:t>
      </w:r>
    </w:p>
    <w:p>
      <w:pPr>
        <w:pStyle w:val="27"/>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firstLine="321" w:firstLineChars="100"/>
        <w:textAlignment w:val="auto"/>
      </w:pPr>
      <w:r>
        <w:rPr>
          <w:rFonts w:hint="eastAsia"/>
          <w:lang w:eastAsia="zh-CN"/>
        </w:rPr>
        <w:t>（</w:t>
      </w:r>
      <w:r>
        <w:rPr>
          <w:rFonts w:hint="eastAsia"/>
          <w:lang w:val="en-US" w:eastAsia="zh-CN"/>
        </w:rPr>
        <w:t>七</w:t>
      </w:r>
      <w:r>
        <w:rPr>
          <w:rFonts w:hint="eastAsia"/>
          <w:lang w:eastAsia="zh-CN"/>
        </w:rPr>
        <w:t>）</w:t>
      </w:r>
      <w:r>
        <w:rPr>
          <w:rFonts w:hint="eastAsia"/>
        </w:rPr>
        <w:t>绩效评价工作过程</w:t>
      </w:r>
    </w:p>
    <w:p>
      <w:pPr>
        <w:pStyle w:val="27"/>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b w:val="0"/>
          <w:bCs w:val="0"/>
        </w:rPr>
      </w:pPr>
      <w:r>
        <w:rPr>
          <w:rFonts w:hint="eastAsia"/>
          <w:b w:val="0"/>
          <w:bCs w:val="0"/>
          <w:lang w:val="en-US" w:eastAsia="zh-CN"/>
        </w:rPr>
        <w:t>1.</w:t>
      </w:r>
      <w:r>
        <w:rPr>
          <w:rFonts w:hint="eastAsia"/>
          <w:b w:val="0"/>
          <w:bCs w:val="0"/>
        </w:rPr>
        <w:t>本次评价成立了评价工作组，成员如下：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7"/>
              <w:keepNext w:val="0"/>
              <w:keepLines w:val="0"/>
              <w:numPr>
                <w:ilvl w:val="0"/>
                <w:numId w:val="0"/>
              </w:numPr>
              <w:spacing w:line="240" w:lineRule="atLeast"/>
              <w:jc w:val="center"/>
              <w:rPr>
                <w:b/>
                <w:bCs/>
                <w:sz w:val="28"/>
                <w:szCs w:val="28"/>
              </w:rPr>
            </w:pPr>
            <w:r>
              <w:rPr>
                <w:rFonts w:hint="eastAsia"/>
                <w:b/>
                <w:bCs/>
                <w:sz w:val="28"/>
                <w:szCs w:val="28"/>
              </w:rPr>
              <w:t>评价人</w:t>
            </w:r>
          </w:p>
        </w:tc>
        <w:tc>
          <w:tcPr>
            <w:tcW w:w="2765" w:type="dxa"/>
            <w:vAlign w:val="center"/>
          </w:tcPr>
          <w:p>
            <w:pPr>
              <w:pStyle w:val="27"/>
              <w:keepNext w:val="0"/>
              <w:keepLines w:val="0"/>
              <w:numPr>
                <w:ilvl w:val="0"/>
                <w:numId w:val="0"/>
              </w:numPr>
              <w:spacing w:line="240" w:lineRule="atLeast"/>
              <w:jc w:val="center"/>
              <w:rPr>
                <w:b/>
                <w:bCs/>
                <w:sz w:val="28"/>
                <w:szCs w:val="28"/>
              </w:rPr>
            </w:pPr>
            <w:r>
              <w:rPr>
                <w:rFonts w:hint="eastAsia"/>
                <w:b/>
                <w:bCs/>
                <w:sz w:val="28"/>
                <w:szCs w:val="28"/>
              </w:rPr>
              <w:t>职责</w:t>
            </w:r>
          </w:p>
        </w:tc>
        <w:tc>
          <w:tcPr>
            <w:tcW w:w="2766" w:type="dxa"/>
            <w:vAlign w:val="center"/>
          </w:tcPr>
          <w:p>
            <w:pPr>
              <w:pStyle w:val="27"/>
              <w:keepNext w:val="0"/>
              <w:keepLines w:val="0"/>
              <w:numPr>
                <w:ilvl w:val="0"/>
                <w:numId w:val="0"/>
              </w:numPr>
              <w:spacing w:line="240" w:lineRule="atLeast"/>
              <w:jc w:val="center"/>
              <w:rPr>
                <w:b/>
                <w:bCs/>
                <w:sz w:val="28"/>
                <w:szCs w:val="28"/>
              </w:rPr>
            </w:pPr>
            <w:r>
              <w:rPr>
                <w:rFonts w:hint="eastAsia"/>
                <w:b/>
                <w:bCs/>
                <w:sz w:val="28"/>
                <w:szCs w:val="28"/>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5" w:type="dxa"/>
            <w:vAlign w:val="center"/>
          </w:tcPr>
          <w:p>
            <w:pPr>
              <w:pStyle w:val="27"/>
              <w:keepNext w:val="0"/>
              <w:keepLines w:val="0"/>
              <w:numPr>
                <w:ilvl w:val="0"/>
                <w:numId w:val="0"/>
              </w:numPr>
              <w:spacing w:line="240" w:lineRule="atLeast"/>
              <w:jc w:val="center"/>
              <w:rPr>
                <w:b w:val="0"/>
                <w:bCs w:val="0"/>
                <w:sz w:val="28"/>
                <w:szCs w:val="28"/>
              </w:rPr>
            </w:pPr>
            <w:r>
              <w:rPr>
                <w:rFonts w:hint="eastAsia"/>
                <w:b w:val="0"/>
                <w:bCs w:val="0"/>
                <w:sz w:val="28"/>
                <w:szCs w:val="28"/>
              </w:rPr>
              <w:t>杨艳华</w:t>
            </w:r>
          </w:p>
        </w:tc>
        <w:tc>
          <w:tcPr>
            <w:tcW w:w="2765" w:type="dxa"/>
            <w:vAlign w:val="center"/>
          </w:tcPr>
          <w:p>
            <w:pPr>
              <w:pStyle w:val="27"/>
              <w:keepNext w:val="0"/>
              <w:keepLines w:val="0"/>
              <w:numPr>
                <w:ilvl w:val="0"/>
                <w:numId w:val="0"/>
              </w:numPr>
              <w:spacing w:line="240" w:lineRule="atLeast"/>
              <w:jc w:val="center"/>
              <w:rPr>
                <w:b w:val="0"/>
                <w:bCs w:val="0"/>
                <w:sz w:val="28"/>
                <w:szCs w:val="28"/>
              </w:rPr>
            </w:pPr>
            <w:r>
              <w:rPr>
                <w:rFonts w:hint="eastAsia"/>
                <w:b w:val="0"/>
                <w:bCs w:val="0"/>
                <w:sz w:val="28"/>
                <w:szCs w:val="28"/>
              </w:rPr>
              <w:t>评价组组长</w:t>
            </w:r>
          </w:p>
        </w:tc>
        <w:tc>
          <w:tcPr>
            <w:tcW w:w="2766" w:type="dxa"/>
            <w:vAlign w:val="center"/>
          </w:tcPr>
          <w:p>
            <w:pPr>
              <w:pStyle w:val="27"/>
              <w:keepNext w:val="0"/>
              <w:keepLines w:val="0"/>
              <w:numPr>
                <w:ilvl w:val="0"/>
                <w:numId w:val="0"/>
              </w:numPr>
              <w:spacing w:line="240" w:lineRule="atLeast"/>
              <w:jc w:val="center"/>
              <w:rPr>
                <w:b w:val="0"/>
                <w:bCs w:val="0"/>
                <w:sz w:val="28"/>
                <w:szCs w:val="28"/>
              </w:rPr>
            </w:pPr>
            <w:r>
              <w:rPr>
                <w:rFonts w:hint="eastAsia"/>
                <w:b w:val="0"/>
                <w:bCs w:val="0"/>
                <w:sz w:val="28"/>
                <w:szCs w:val="28"/>
              </w:rPr>
              <w:t>常务副乡长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7"/>
              <w:keepNext w:val="0"/>
              <w:keepLines w:val="0"/>
              <w:numPr>
                <w:ilvl w:val="0"/>
                <w:numId w:val="0"/>
              </w:numPr>
              <w:spacing w:line="240" w:lineRule="atLeast"/>
              <w:jc w:val="center"/>
              <w:rPr>
                <w:b w:val="0"/>
                <w:bCs w:val="0"/>
                <w:sz w:val="28"/>
                <w:szCs w:val="28"/>
              </w:rPr>
            </w:pPr>
            <w:r>
              <w:rPr>
                <w:rFonts w:hint="eastAsia"/>
                <w:b w:val="0"/>
                <w:bCs w:val="0"/>
                <w:sz w:val="28"/>
                <w:szCs w:val="28"/>
              </w:rPr>
              <w:t>凌琴华</w:t>
            </w:r>
          </w:p>
        </w:tc>
        <w:tc>
          <w:tcPr>
            <w:tcW w:w="2765" w:type="dxa"/>
            <w:vAlign w:val="center"/>
          </w:tcPr>
          <w:p>
            <w:pPr>
              <w:pStyle w:val="27"/>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7"/>
              <w:keepNext w:val="0"/>
              <w:keepLines w:val="0"/>
              <w:numPr>
                <w:ilvl w:val="0"/>
                <w:numId w:val="0"/>
              </w:numPr>
              <w:spacing w:line="240" w:lineRule="atLeast"/>
              <w:jc w:val="center"/>
              <w:rPr>
                <w:b w:val="0"/>
                <w:bCs w:val="0"/>
                <w:sz w:val="28"/>
                <w:szCs w:val="28"/>
              </w:rPr>
            </w:pPr>
            <w:r>
              <w:rPr>
                <w:rFonts w:hint="eastAsia"/>
                <w:b w:val="0"/>
                <w:bCs w:val="0"/>
                <w:sz w:val="28"/>
                <w:szCs w:val="28"/>
              </w:rPr>
              <w:t>财政所所长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7"/>
              <w:keepNext w:val="0"/>
              <w:keepLines w:val="0"/>
              <w:numPr>
                <w:ilvl w:val="0"/>
                <w:numId w:val="0"/>
              </w:numPr>
              <w:spacing w:line="240" w:lineRule="atLeast"/>
              <w:jc w:val="center"/>
              <w:rPr>
                <w:b w:val="0"/>
                <w:bCs w:val="0"/>
                <w:sz w:val="28"/>
                <w:szCs w:val="28"/>
              </w:rPr>
            </w:pPr>
            <w:r>
              <w:rPr>
                <w:rFonts w:hint="eastAsia"/>
                <w:b w:val="0"/>
                <w:bCs w:val="0"/>
                <w:sz w:val="28"/>
                <w:szCs w:val="28"/>
              </w:rPr>
              <w:t>吕鹏</w:t>
            </w:r>
          </w:p>
        </w:tc>
        <w:tc>
          <w:tcPr>
            <w:tcW w:w="2765" w:type="dxa"/>
            <w:vAlign w:val="center"/>
          </w:tcPr>
          <w:p>
            <w:pPr>
              <w:pStyle w:val="27"/>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7"/>
              <w:keepNext w:val="0"/>
              <w:keepLines w:val="0"/>
              <w:numPr>
                <w:ilvl w:val="0"/>
                <w:numId w:val="0"/>
              </w:numPr>
              <w:spacing w:line="240" w:lineRule="atLeast"/>
              <w:jc w:val="center"/>
              <w:rPr>
                <w:b w:val="0"/>
                <w:bCs w:val="0"/>
                <w:sz w:val="28"/>
                <w:szCs w:val="28"/>
              </w:rPr>
            </w:pPr>
            <w:r>
              <w:rPr>
                <w:rFonts w:hint="eastAsia"/>
                <w:b w:val="0"/>
                <w:bCs w:val="0"/>
                <w:sz w:val="28"/>
                <w:szCs w:val="28"/>
              </w:rPr>
              <w:t>安居办干部</w:t>
            </w:r>
          </w:p>
        </w:tc>
      </w:tr>
    </w:tbl>
    <w:p>
      <w:pPr>
        <w:pStyle w:val="27"/>
        <w:keepNext w:val="0"/>
        <w:keepLines w:val="0"/>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数据采集方法及过程</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本次绩效评价数据包括定性和定量两种数据</w:t>
      </w:r>
      <w:r>
        <w:rPr>
          <w:rFonts w:ascii="仿宋_GB2312" w:hAnsi="仿宋" w:eastAsia="仿宋_GB2312" w:cs="宋体"/>
          <w:sz w:val="32"/>
          <w:szCs w:val="32"/>
        </w:rPr>
        <w:t>,</w:t>
      </w:r>
      <w:r>
        <w:rPr>
          <w:rFonts w:hint="eastAsia" w:ascii="仿宋_GB2312" w:hAnsi="仿宋" w:eastAsia="仿宋_GB2312" w:cs="宋体"/>
          <w:sz w:val="32"/>
          <w:szCs w:val="32"/>
        </w:rPr>
        <w:t>定性数据主要通过实地考察、面对面访谈</w:t>
      </w:r>
      <w:r>
        <w:rPr>
          <w:rFonts w:ascii="仿宋_GB2312" w:hAnsi="仿宋" w:eastAsia="仿宋_GB2312" w:cs="宋体"/>
          <w:sz w:val="32"/>
          <w:szCs w:val="32"/>
        </w:rPr>
        <w:t>,</w:t>
      </w:r>
      <w:r>
        <w:rPr>
          <w:rFonts w:hint="eastAsia" w:ascii="仿宋_GB2312" w:hAnsi="仿宋" w:eastAsia="仿宋_GB2312" w:cs="宋体"/>
          <w:sz w:val="32"/>
          <w:szCs w:val="32"/>
        </w:rPr>
        <w:t>问卷调研等社会调查的方式来采集。</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定量数据的采集主要通过被评价单位填报数据和实地采集数据相结合的方式</w:t>
      </w:r>
      <w:r>
        <w:rPr>
          <w:rFonts w:ascii="仿宋_GB2312" w:hAnsi="仿宋" w:eastAsia="仿宋_GB2312" w:cs="宋体"/>
          <w:sz w:val="32"/>
          <w:szCs w:val="32"/>
        </w:rPr>
        <w:t>,</w:t>
      </w:r>
      <w:r>
        <w:rPr>
          <w:rFonts w:hint="eastAsia" w:ascii="仿宋_GB2312" w:hAnsi="仿宋" w:eastAsia="仿宋_GB2312" w:cs="宋体"/>
          <w:sz w:val="32"/>
          <w:szCs w:val="32"/>
        </w:rPr>
        <w:t>形成数据采集两条线</w:t>
      </w:r>
      <w:r>
        <w:rPr>
          <w:rFonts w:ascii="仿宋_GB2312" w:hAnsi="仿宋" w:eastAsia="仿宋_GB2312" w:cs="宋体"/>
          <w:sz w:val="32"/>
          <w:szCs w:val="32"/>
        </w:rPr>
        <w:t>,</w:t>
      </w:r>
      <w:r>
        <w:rPr>
          <w:rFonts w:hint="eastAsia" w:ascii="仿宋_GB2312" w:hAnsi="仿宋" w:eastAsia="仿宋_GB2312" w:cs="宋体"/>
          <w:sz w:val="32"/>
          <w:szCs w:val="32"/>
        </w:rPr>
        <w:t>有效保证数据的真实性和可靠性</w:t>
      </w:r>
      <w:r>
        <w:rPr>
          <w:rFonts w:ascii="仿宋_GB2312" w:hAnsi="仿宋" w:eastAsia="仿宋_GB2312" w:cs="宋体"/>
          <w:sz w:val="32"/>
          <w:szCs w:val="32"/>
        </w:rPr>
        <w:t>,</w:t>
      </w:r>
      <w:r>
        <w:rPr>
          <w:rFonts w:hint="eastAsia" w:ascii="仿宋_GB2312" w:hAnsi="仿宋" w:eastAsia="仿宋_GB2312" w:cs="宋体"/>
          <w:sz w:val="32"/>
          <w:szCs w:val="32"/>
        </w:rPr>
        <w:t>此外</w:t>
      </w:r>
      <w:r>
        <w:rPr>
          <w:rFonts w:ascii="仿宋_GB2312" w:hAnsi="仿宋" w:eastAsia="仿宋_GB2312" w:cs="宋体"/>
          <w:sz w:val="32"/>
          <w:szCs w:val="32"/>
        </w:rPr>
        <w:t>,</w:t>
      </w:r>
      <w:r>
        <w:rPr>
          <w:rFonts w:hint="eastAsia" w:ascii="仿宋_GB2312" w:hAnsi="仿宋" w:eastAsia="仿宋_GB2312" w:cs="宋体"/>
          <w:sz w:val="32"/>
          <w:szCs w:val="32"/>
        </w:rPr>
        <w:t>我们会对所有数据进行全面审核和复核</w:t>
      </w:r>
      <w:r>
        <w:rPr>
          <w:rFonts w:ascii="仿宋_GB2312" w:hAnsi="仿宋" w:eastAsia="仿宋_GB2312" w:cs="宋体"/>
          <w:sz w:val="32"/>
          <w:szCs w:val="32"/>
        </w:rPr>
        <w:t>,</w:t>
      </w:r>
      <w:r>
        <w:rPr>
          <w:rFonts w:hint="eastAsia" w:ascii="仿宋_GB2312" w:hAnsi="仿宋" w:eastAsia="仿宋_GB2312" w:cs="宋体"/>
          <w:sz w:val="32"/>
          <w:szCs w:val="32"/>
        </w:rPr>
        <w:t>并对重要数据进行实地采集。</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3.</w:t>
      </w:r>
      <w:r>
        <w:rPr>
          <w:rFonts w:hint="eastAsia" w:ascii="仿宋_GB2312" w:hAnsi="仿宋" w:eastAsia="仿宋_GB2312" w:cs="宋体"/>
          <w:b/>
          <w:bCs/>
          <w:sz w:val="32"/>
          <w:szCs w:val="32"/>
        </w:rPr>
        <w:t>绩效评价实施过程</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项目组在前期调研的基础上</w:t>
      </w:r>
      <w:r>
        <w:rPr>
          <w:rFonts w:ascii="仿宋_GB2312" w:hAnsi="仿宋" w:eastAsia="仿宋_GB2312" w:cs="宋体"/>
          <w:sz w:val="32"/>
          <w:szCs w:val="32"/>
        </w:rPr>
        <w:t>,</w:t>
      </w:r>
      <w:r>
        <w:rPr>
          <w:rFonts w:hint="eastAsia" w:ascii="仿宋_GB2312" w:hAnsi="仿宋" w:eastAsia="仿宋_GB2312" w:cs="宋体"/>
          <w:sz w:val="32"/>
          <w:szCs w:val="32"/>
        </w:rPr>
        <w:t>完成了项目绩效评价工作方案</w:t>
      </w:r>
      <w:r>
        <w:rPr>
          <w:rFonts w:ascii="仿宋_GB2312" w:hAnsi="仿宋" w:eastAsia="仿宋_GB2312" w:cs="宋体"/>
          <w:sz w:val="32"/>
          <w:szCs w:val="32"/>
        </w:rPr>
        <w:t>,</w:t>
      </w:r>
      <w:r>
        <w:rPr>
          <w:rFonts w:hint="eastAsia" w:ascii="仿宋_GB2312" w:hAnsi="仿宋" w:eastAsia="仿宋_GB2312" w:cs="宋体"/>
          <w:sz w:val="32"/>
          <w:szCs w:val="32"/>
        </w:rPr>
        <w:t>明确了评价的目的、方法、指标体系、评价标准、合规性检查方案、访谈方案等。在此之后</w:t>
      </w:r>
      <w:r>
        <w:rPr>
          <w:rFonts w:ascii="仿宋_GB2312" w:hAnsi="仿宋" w:eastAsia="仿宋_GB2312" w:cs="宋体"/>
          <w:sz w:val="32"/>
          <w:szCs w:val="32"/>
        </w:rPr>
        <w:t>,</w:t>
      </w:r>
      <w:r>
        <w:rPr>
          <w:rFonts w:hint="eastAsia" w:ascii="仿宋_GB2312" w:hAnsi="仿宋" w:eastAsia="仿宋_GB2312" w:cs="宋体"/>
          <w:sz w:val="32"/>
          <w:szCs w:val="32"/>
        </w:rPr>
        <w:t>项目组严格按照工作方案</w:t>
      </w:r>
      <w:r>
        <w:rPr>
          <w:rFonts w:ascii="仿宋_GB2312" w:hAnsi="仿宋" w:eastAsia="仿宋_GB2312" w:cs="宋体"/>
          <w:sz w:val="32"/>
          <w:szCs w:val="32"/>
        </w:rPr>
        <w:t>,</w:t>
      </w:r>
      <w:r>
        <w:rPr>
          <w:rFonts w:hint="eastAsia" w:ascii="仿宋_GB2312" w:hAnsi="仿宋" w:eastAsia="仿宋_GB2312" w:cs="宋体"/>
          <w:sz w:val="32"/>
          <w:szCs w:val="32"/>
        </w:rPr>
        <w:t>经过了数据采集、问卷调查、访谈、数据分析和报告撰写等环节</w:t>
      </w:r>
      <w:r>
        <w:rPr>
          <w:rFonts w:ascii="仿宋_GB2312" w:hAnsi="仿宋" w:eastAsia="仿宋_GB2312" w:cs="宋体"/>
          <w:sz w:val="32"/>
          <w:szCs w:val="32"/>
        </w:rPr>
        <w:t>,</w:t>
      </w:r>
      <w:r>
        <w:rPr>
          <w:rFonts w:hint="eastAsia" w:ascii="仿宋_GB2312" w:hAnsi="仿宋" w:eastAsia="仿宋_GB2312" w:cs="宋体"/>
          <w:sz w:val="32"/>
          <w:szCs w:val="32"/>
        </w:rPr>
        <w:t>顺利完成了绩效评价工作。</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问卷调查</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6</w:t>
      </w:r>
      <w:r>
        <w:rPr>
          <w:rFonts w:hint="eastAsia" w:ascii="仿宋_GB2312" w:hAnsi="仿宋" w:eastAsia="仿宋_GB2312" w:cs="宋体"/>
          <w:sz w:val="32"/>
          <w:szCs w:val="32"/>
        </w:rPr>
        <w:t>月</w:t>
      </w:r>
      <w:r>
        <w:rPr>
          <w:rFonts w:ascii="仿宋_GB2312" w:hAnsi="仿宋" w:eastAsia="仿宋_GB2312" w:cs="宋体"/>
          <w:sz w:val="32"/>
          <w:szCs w:val="32"/>
        </w:rPr>
        <w:t>5</w:t>
      </w:r>
      <w:r>
        <w:rPr>
          <w:rFonts w:hint="eastAsia" w:ascii="仿宋_GB2312" w:hAnsi="仿宋" w:eastAsia="仿宋_GB2312" w:cs="宋体"/>
          <w:sz w:val="32"/>
          <w:szCs w:val="32"/>
        </w:rPr>
        <w:t>日至</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6</w:t>
      </w:r>
      <w:r>
        <w:rPr>
          <w:rFonts w:hint="eastAsia" w:ascii="仿宋_GB2312" w:hAnsi="仿宋" w:eastAsia="仿宋_GB2312" w:cs="宋体"/>
          <w:sz w:val="32"/>
          <w:szCs w:val="32"/>
        </w:rPr>
        <w:t>月</w:t>
      </w:r>
      <w:r>
        <w:rPr>
          <w:rFonts w:ascii="仿宋_GB2312" w:hAnsi="仿宋" w:eastAsia="仿宋_GB2312" w:cs="宋体"/>
          <w:sz w:val="32"/>
          <w:szCs w:val="32"/>
        </w:rPr>
        <w:t>12</w:t>
      </w:r>
      <w:r>
        <w:rPr>
          <w:rFonts w:hint="eastAsia" w:ascii="仿宋_GB2312" w:hAnsi="仿宋" w:eastAsia="仿宋_GB2312" w:cs="宋体"/>
          <w:sz w:val="32"/>
          <w:szCs w:val="32"/>
        </w:rPr>
        <w:t>日</w:t>
      </w:r>
      <w:r>
        <w:rPr>
          <w:rFonts w:ascii="仿宋_GB2312" w:hAnsi="仿宋" w:eastAsia="仿宋_GB2312" w:cs="宋体"/>
          <w:sz w:val="32"/>
          <w:szCs w:val="32"/>
        </w:rPr>
        <w:t xml:space="preserve">, </w:t>
      </w:r>
      <w:r>
        <w:rPr>
          <w:rFonts w:hint="eastAsia" w:ascii="仿宋_GB2312" w:hAnsi="仿宋" w:eastAsia="仿宋_GB2312" w:cs="宋体"/>
          <w:sz w:val="32"/>
          <w:szCs w:val="32"/>
        </w:rPr>
        <w:t>项目组对安居富民房建设项目涉及受益村民进行问卷调查。向全乡共发放</w:t>
      </w:r>
      <w:r>
        <w:rPr>
          <w:rFonts w:ascii="仿宋_GB2312" w:hAnsi="仿宋" w:eastAsia="仿宋_GB2312" w:cs="宋体"/>
          <w:sz w:val="32"/>
          <w:szCs w:val="32"/>
        </w:rPr>
        <w:t>602</w:t>
      </w:r>
      <w:r>
        <w:rPr>
          <w:rFonts w:hint="eastAsia" w:ascii="仿宋_GB2312" w:hAnsi="仿宋" w:eastAsia="仿宋_GB2312" w:cs="宋体"/>
          <w:sz w:val="32"/>
          <w:szCs w:val="32"/>
        </w:rPr>
        <w:t>份问卷</w:t>
      </w:r>
      <w:r>
        <w:rPr>
          <w:rFonts w:ascii="仿宋_GB2312" w:hAnsi="仿宋" w:eastAsia="仿宋_GB2312" w:cs="宋体"/>
          <w:sz w:val="32"/>
          <w:szCs w:val="32"/>
        </w:rPr>
        <w:t>,</w:t>
      </w:r>
      <w:r>
        <w:rPr>
          <w:rFonts w:hint="eastAsia" w:ascii="仿宋_GB2312" w:hAnsi="仿宋" w:eastAsia="仿宋_GB2312" w:cs="宋体"/>
          <w:sz w:val="32"/>
          <w:szCs w:val="32"/>
        </w:rPr>
        <w:t>回收</w:t>
      </w:r>
      <w:r>
        <w:rPr>
          <w:rFonts w:ascii="仿宋_GB2312" w:hAnsi="仿宋" w:eastAsia="仿宋_GB2312" w:cs="宋体"/>
          <w:sz w:val="32"/>
          <w:szCs w:val="32"/>
        </w:rPr>
        <w:t>602</w:t>
      </w:r>
      <w:r>
        <w:rPr>
          <w:rFonts w:hint="eastAsia" w:ascii="仿宋_GB2312" w:hAnsi="仿宋" w:eastAsia="仿宋_GB2312" w:cs="宋体"/>
          <w:sz w:val="32"/>
          <w:szCs w:val="32"/>
        </w:rPr>
        <w:t>份问卷</w:t>
      </w:r>
      <w:r>
        <w:rPr>
          <w:rFonts w:ascii="仿宋_GB2312" w:hAnsi="仿宋" w:eastAsia="仿宋_GB2312" w:cs="宋体"/>
          <w:sz w:val="32"/>
          <w:szCs w:val="32"/>
        </w:rPr>
        <w:t>,</w:t>
      </w:r>
      <w:r>
        <w:rPr>
          <w:rFonts w:hint="eastAsia" w:ascii="仿宋_GB2312" w:hAnsi="仿宋" w:eastAsia="仿宋_GB2312" w:cs="宋体"/>
          <w:sz w:val="32"/>
          <w:szCs w:val="32"/>
        </w:rPr>
        <w:t>其中有效问卷为</w:t>
      </w:r>
      <w:r>
        <w:rPr>
          <w:rFonts w:ascii="仿宋_GB2312" w:hAnsi="仿宋" w:eastAsia="仿宋_GB2312" w:cs="宋体"/>
          <w:sz w:val="32"/>
          <w:szCs w:val="32"/>
        </w:rPr>
        <w:t>591</w:t>
      </w:r>
      <w:r>
        <w:rPr>
          <w:rFonts w:hint="eastAsia" w:ascii="仿宋_GB2312" w:hAnsi="仿宋" w:eastAsia="仿宋_GB2312" w:cs="宋体"/>
          <w:sz w:val="32"/>
          <w:szCs w:val="32"/>
        </w:rPr>
        <w:t>份</w:t>
      </w:r>
      <w:r>
        <w:rPr>
          <w:rFonts w:ascii="仿宋_GB2312" w:hAnsi="仿宋" w:eastAsia="仿宋_GB2312" w:cs="宋体"/>
          <w:sz w:val="32"/>
          <w:szCs w:val="32"/>
        </w:rPr>
        <w:t>,</w:t>
      </w:r>
      <w:r>
        <w:rPr>
          <w:rFonts w:hint="eastAsia" w:ascii="仿宋_GB2312" w:hAnsi="仿宋" w:eastAsia="仿宋_GB2312" w:cs="宋体"/>
          <w:sz w:val="32"/>
          <w:szCs w:val="32"/>
        </w:rPr>
        <w:t>有效问卷为</w:t>
      </w:r>
      <w:r>
        <w:rPr>
          <w:rFonts w:ascii="仿宋_GB2312" w:hAnsi="仿宋" w:eastAsia="仿宋_GB2312" w:cs="宋体"/>
          <w:sz w:val="32"/>
          <w:szCs w:val="32"/>
        </w:rPr>
        <w:t>98.1%</w:t>
      </w:r>
      <w:r>
        <w:rPr>
          <w:rFonts w:hint="eastAsia" w:ascii="仿宋_GB2312" w:hAnsi="仿宋" w:eastAsia="仿宋_GB2312" w:cs="宋体"/>
          <w:sz w:val="32"/>
          <w:szCs w:val="32"/>
        </w:rPr>
        <w:t>，再通过问卷录入、分析、整理后</w:t>
      </w:r>
      <w:r>
        <w:rPr>
          <w:rFonts w:ascii="仿宋_GB2312" w:hAnsi="仿宋" w:eastAsia="仿宋_GB2312" w:cs="宋体"/>
          <w:sz w:val="32"/>
          <w:szCs w:val="32"/>
        </w:rPr>
        <w:t>,</w:t>
      </w:r>
      <w:r>
        <w:rPr>
          <w:rFonts w:hint="eastAsia" w:ascii="仿宋_GB2312" w:hAnsi="仿宋" w:eastAsia="仿宋_GB2312" w:cs="宋体"/>
          <w:sz w:val="32"/>
          <w:szCs w:val="32"/>
        </w:rPr>
        <w:t>形成社会调查满意度报告。</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访谈</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6</w:t>
      </w:r>
      <w:r>
        <w:rPr>
          <w:rFonts w:hint="eastAsia" w:ascii="仿宋_GB2312" w:hAnsi="仿宋" w:eastAsia="仿宋_GB2312" w:cs="宋体"/>
          <w:sz w:val="32"/>
          <w:szCs w:val="32"/>
        </w:rPr>
        <w:t>月</w:t>
      </w:r>
      <w:r>
        <w:rPr>
          <w:rFonts w:ascii="仿宋_GB2312" w:hAnsi="仿宋" w:eastAsia="仿宋_GB2312" w:cs="宋体"/>
          <w:sz w:val="32"/>
          <w:szCs w:val="32"/>
        </w:rPr>
        <w:t>12</w:t>
      </w:r>
      <w:r>
        <w:rPr>
          <w:rFonts w:hint="eastAsia" w:ascii="仿宋_GB2312" w:hAnsi="仿宋" w:eastAsia="仿宋_GB2312" w:cs="宋体"/>
          <w:sz w:val="32"/>
          <w:szCs w:val="32"/>
        </w:rPr>
        <w:t>日至</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6</w:t>
      </w:r>
      <w:r>
        <w:rPr>
          <w:rFonts w:hint="eastAsia" w:ascii="仿宋_GB2312" w:hAnsi="仿宋" w:eastAsia="仿宋_GB2312" w:cs="宋体"/>
          <w:sz w:val="32"/>
          <w:szCs w:val="32"/>
        </w:rPr>
        <w:t>月</w:t>
      </w:r>
      <w:r>
        <w:rPr>
          <w:rFonts w:ascii="仿宋_GB2312" w:hAnsi="仿宋" w:eastAsia="仿宋_GB2312" w:cs="宋体"/>
          <w:sz w:val="32"/>
          <w:szCs w:val="32"/>
        </w:rPr>
        <w:t>20</w:t>
      </w:r>
      <w:r>
        <w:rPr>
          <w:rFonts w:hint="eastAsia" w:ascii="仿宋_GB2312" w:hAnsi="仿宋" w:eastAsia="仿宋_GB2312" w:cs="宋体"/>
          <w:sz w:val="32"/>
          <w:szCs w:val="32"/>
        </w:rPr>
        <w:t>日</w:t>
      </w:r>
      <w:r>
        <w:rPr>
          <w:rFonts w:ascii="仿宋_GB2312" w:hAnsi="仿宋" w:eastAsia="仿宋_GB2312" w:cs="宋体"/>
          <w:sz w:val="32"/>
          <w:szCs w:val="32"/>
        </w:rPr>
        <w:t>,</w:t>
      </w:r>
      <w:r>
        <w:rPr>
          <w:rFonts w:hint="eastAsia" w:ascii="仿宋_GB2312" w:hAnsi="仿宋" w:eastAsia="仿宋_GB2312" w:cs="宋体"/>
          <w:sz w:val="32"/>
          <w:szCs w:val="32"/>
        </w:rPr>
        <w:t>针对安居富民房建设项目开展情况、管理措施和项目管理的经验、困难与建议等问题进行访问和了解</w:t>
      </w:r>
      <w:r>
        <w:rPr>
          <w:rFonts w:ascii="仿宋_GB2312" w:hAnsi="仿宋" w:eastAsia="仿宋_GB2312" w:cs="宋体"/>
          <w:sz w:val="32"/>
          <w:szCs w:val="32"/>
        </w:rPr>
        <w:t>,</w:t>
      </w:r>
      <w:r>
        <w:rPr>
          <w:rFonts w:hint="eastAsia" w:ascii="仿宋_GB2312" w:hAnsi="仿宋" w:eastAsia="仿宋_GB2312" w:cs="宋体"/>
          <w:sz w:val="32"/>
          <w:szCs w:val="32"/>
        </w:rPr>
        <w:t>项目组开展了访谈工作。访谈对象主要包括</w:t>
      </w:r>
      <w:r>
        <w:rPr>
          <w:rFonts w:ascii="仿宋_GB2312" w:hAnsi="仿宋" w:eastAsia="仿宋_GB2312" w:cs="宋体"/>
          <w:sz w:val="32"/>
          <w:szCs w:val="32"/>
        </w:rPr>
        <w:t>:</w:t>
      </w:r>
      <w:r>
        <w:rPr>
          <w:rFonts w:hint="eastAsia" w:ascii="仿宋_GB2312" w:hAnsi="仿宋" w:eastAsia="仿宋_GB2312" w:cs="宋体"/>
          <w:sz w:val="32"/>
          <w:szCs w:val="32"/>
        </w:rPr>
        <w:t>叶城县安居办、叶城县吐古其乡人民政府、部分村委会的负责人。访谈方式包括电话访谈和上门访谈。最后项目组集中撰写了访谈报告。</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3.</w:t>
      </w:r>
      <w:r>
        <w:rPr>
          <w:rFonts w:hint="eastAsia" w:ascii="仿宋_GB2312" w:hAnsi="仿宋" w:eastAsia="仿宋_GB2312" w:cs="宋体"/>
          <w:b/>
          <w:bCs/>
          <w:sz w:val="32"/>
          <w:szCs w:val="32"/>
        </w:rPr>
        <w:t>数据分析及撰写报告</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6</w:t>
      </w:r>
      <w:r>
        <w:rPr>
          <w:rFonts w:hint="eastAsia" w:ascii="仿宋_GB2312" w:hAnsi="仿宋" w:eastAsia="仿宋_GB2312" w:cs="宋体"/>
          <w:sz w:val="32"/>
          <w:szCs w:val="32"/>
        </w:rPr>
        <w:t>月</w:t>
      </w:r>
      <w:r>
        <w:rPr>
          <w:rFonts w:ascii="仿宋_GB2312" w:hAnsi="仿宋" w:eastAsia="仿宋_GB2312" w:cs="宋体"/>
          <w:sz w:val="32"/>
          <w:szCs w:val="32"/>
        </w:rPr>
        <w:t>20</w:t>
      </w:r>
      <w:r>
        <w:rPr>
          <w:rFonts w:hint="eastAsia" w:ascii="仿宋_GB2312" w:hAnsi="仿宋" w:eastAsia="仿宋_GB2312" w:cs="宋体"/>
          <w:sz w:val="32"/>
          <w:szCs w:val="32"/>
        </w:rPr>
        <w:t>日至</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6</w:t>
      </w:r>
      <w:r>
        <w:rPr>
          <w:rFonts w:hint="eastAsia" w:ascii="仿宋_GB2312" w:hAnsi="仿宋" w:eastAsia="仿宋_GB2312" w:cs="宋体"/>
          <w:sz w:val="32"/>
          <w:szCs w:val="32"/>
        </w:rPr>
        <w:t>月</w:t>
      </w:r>
      <w:r>
        <w:rPr>
          <w:rFonts w:ascii="仿宋_GB2312" w:hAnsi="仿宋" w:eastAsia="仿宋_GB2312" w:cs="宋体"/>
          <w:sz w:val="32"/>
          <w:szCs w:val="32"/>
        </w:rPr>
        <w:t>30</w:t>
      </w:r>
      <w:r>
        <w:rPr>
          <w:rFonts w:hint="eastAsia" w:ascii="仿宋_GB2312" w:hAnsi="仿宋" w:eastAsia="仿宋_GB2312" w:cs="宋体"/>
          <w:sz w:val="32"/>
          <w:szCs w:val="32"/>
        </w:rPr>
        <w:t>日</w:t>
      </w:r>
      <w:r>
        <w:rPr>
          <w:rFonts w:ascii="仿宋_GB2312" w:hAnsi="仿宋" w:eastAsia="仿宋_GB2312" w:cs="宋体"/>
          <w:sz w:val="32"/>
          <w:szCs w:val="32"/>
        </w:rPr>
        <w:t>,</w:t>
      </w:r>
      <w:r>
        <w:rPr>
          <w:rFonts w:hint="eastAsia" w:ascii="仿宋_GB2312" w:hAnsi="仿宋" w:eastAsia="仿宋_GB2312" w:cs="宋体"/>
          <w:sz w:val="32"/>
          <w:szCs w:val="32"/>
        </w:rPr>
        <w:t>项目组根据绩效评价的原理和规范</w:t>
      </w:r>
      <w:r>
        <w:rPr>
          <w:rFonts w:ascii="仿宋_GB2312" w:hAnsi="仿宋" w:eastAsia="仿宋_GB2312" w:cs="宋体"/>
          <w:sz w:val="32"/>
          <w:szCs w:val="32"/>
        </w:rPr>
        <w:t>,</w:t>
      </w:r>
      <w:r>
        <w:rPr>
          <w:rFonts w:hint="eastAsia" w:ascii="仿宋_GB2312" w:hAnsi="仿宋" w:eastAsia="仿宋_GB2312" w:cs="宋体"/>
          <w:sz w:val="32"/>
          <w:szCs w:val="32"/>
        </w:rPr>
        <w:t>对采集的数据进行甄别、分析和评分</w:t>
      </w:r>
      <w:r>
        <w:rPr>
          <w:rFonts w:ascii="仿宋_GB2312" w:hAnsi="仿宋" w:eastAsia="仿宋_GB2312" w:cs="宋体"/>
          <w:sz w:val="32"/>
          <w:szCs w:val="32"/>
        </w:rPr>
        <w:t>,</w:t>
      </w:r>
      <w:r>
        <w:rPr>
          <w:rFonts w:hint="eastAsia" w:ascii="仿宋_GB2312" w:hAnsi="仿宋" w:eastAsia="仿宋_GB2312" w:cs="宋体"/>
          <w:sz w:val="32"/>
          <w:szCs w:val="32"/>
        </w:rPr>
        <w:t>并提炼结论撰写报告</w:t>
      </w:r>
      <w:r>
        <w:rPr>
          <w:rFonts w:ascii="仿宋_GB2312" w:hAnsi="仿宋" w:eastAsia="仿宋_GB2312" w:cs="宋体"/>
          <w:sz w:val="32"/>
          <w:szCs w:val="32"/>
        </w:rPr>
        <w:t>,</w:t>
      </w:r>
      <w:r>
        <w:rPr>
          <w:rFonts w:hint="eastAsia" w:ascii="仿宋_GB2312" w:hAnsi="仿宋" w:eastAsia="仿宋_GB2312" w:cs="宋体"/>
          <w:sz w:val="32"/>
          <w:szCs w:val="32"/>
        </w:rPr>
        <w:t>在规定时间内上报委托方</w:t>
      </w:r>
      <w:r>
        <w:rPr>
          <w:rFonts w:ascii="仿宋_GB2312" w:hAnsi="仿宋" w:eastAsia="仿宋_GB2312" w:cs="宋体"/>
          <w:sz w:val="32"/>
          <w:szCs w:val="32"/>
        </w:rPr>
        <w:t>,</w:t>
      </w:r>
      <w:r>
        <w:rPr>
          <w:rFonts w:hint="eastAsia" w:ascii="仿宋_GB2312" w:hAnsi="仿宋" w:eastAsia="仿宋_GB2312" w:cs="宋体"/>
          <w:sz w:val="32"/>
          <w:szCs w:val="32"/>
        </w:rPr>
        <w:t>由委托方组织相关专家对报告进行评审。</w:t>
      </w:r>
    </w:p>
    <w:p>
      <w:pPr>
        <w:pStyle w:val="26"/>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bookmarkStart w:id="7" w:name="_Toc26401558"/>
      <w:r>
        <w:rPr>
          <w:rFonts w:hint="eastAsia" w:ascii="黑体" w:hAnsi="黑体"/>
        </w:rPr>
        <w:t>综合评价情况及评价结论</w:t>
      </w:r>
    </w:p>
    <w:p>
      <w:pPr>
        <w:pStyle w:val="26"/>
        <w:pageBreakBefore w:val="0"/>
        <w:widowControl w:val="0"/>
        <w:kinsoku/>
        <w:wordWrap/>
        <w:overflowPunct/>
        <w:topLinePunct w:val="0"/>
        <w:autoSpaceDE/>
        <w:autoSpaceDN/>
        <w:bidi w:val="0"/>
        <w:spacing w:before="0" w:after="0" w:line="560" w:lineRule="exact"/>
        <w:ind w:left="0" w:firstLine="640" w:firstLineChars="200"/>
        <w:textAlignment w:val="auto"/>
        <w:rPr>
          <w:rFonts w:ascii="仿宋_GB2312" w:hAnsi="?? Light" w:eastAsia="仿宋_GB2312"/>
          <w:b w:val="0"/>
          <w:bCs w:val="0"/>
          <w:kern w:val="2"/>
        </w:rPr>
      </w:pPr>
      <w:r>
        <w:rPr>
          <w:rFonts w:hint="eastAsia" w:ascii="仿宋_GB2312" w:hAnsi="?? Light" w:eastAsia="仿宋_GB2312"/>
          <w:b w:val="0"/>
          <w:bCs w:val="0"/>
          <w:kern w:val="2"/>
        </w:rPr>
        <w:t>经评价组通过实地调研、资料分析等方式，采用综合分析法、成本效益分析法、最低成本法等对项目的决策、管理、绩效进行的综合评价分析，项目得分为</w:t>
      </w:r>
      <w:r>
        <w:rPr>
          <w:rFonts w:hint="eastAsia" w:ascii="仿宋_GB2312" w:hAnsi="?? Light" w:eastAsia="仿宋_GB2312"/>
          <w:b w:val="0"/>
          <w:bCs w:val="0"/>
          <w:kern w:val="2"/>
          <w:lang w:val="en-US" w:eastAsia="zh-CN"/>
        </w:rPr>
        <w:t>98</w:t>
      </w:r>
      <w:r>
        <w:rPr>
          <w:rFonts w:hint="eastAsia" w:ascii="仿宋_GB2312" w:hAnsi="?? Light" w:eastAsia="仿宋_GB2312"/>
          <w:b w:val="0"/>
          <w:bCs w:val="0"/>
          <w:kern w:val="2"/>
        </w:rPr>
        <w:t>分，评价结果为良，详见附件</w:t>
      </w:r>
      <w:r>
        <w:rPr>
          <w:rFonts w:ascii="仿宋_GB2312" w:hAnsi="?? Light" w:eastAsia="仿宋_GB2312"/>
          <w:b w:val="0"/>
          <w:bCs w:val="0"/>
          <w:kern w:val="2"/>
        </w:rPr>
        <w:t>4</w:t>
      </w:r>
      <w:r>
        <w:rPr>
          <w:rFonts w:hint="eastAsia" w:ascii="仿宋_GB2312" w:hAnsi="?? Light" w:eastAsia="仿宋_GB2312"/>
          <w:b w:val="0"/>
          <w:bCs w:val="0"/>
          <w:kern w:val="2"/>
        </w:rPr>
        <w:t>。</w:t>
      </w:r>
    </w:p>
    <w:p>
      <w:pPr>
        <w:pStyle w:val="26"/>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r>
        <w:rPr>
          <w:rFonts w:hint="eastAsia"/>
        </w:rPr>
        <w:t>绩效评价指标分析</w:t>
      </w:r>
      <w:bookmarkEnd w:id="7"/>
    </w:p>
    <w:p>
      <w:pPr>
        <w:pStyle w:val="25"/>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30"/>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cs="宋体"/>
          <w:sz w:val="32"/>
          <w:szCs w:val="32"/>
        </w:rPr>
      </w:pPr>
      <w:r>
        <w:rPr>
          <w:rFonts w:hint="eastAsia"/>
          <w:sz w:val="32"/>
          <w:szCs w:val="32"/>
        </w:rPr>
        <w:t>（</w:t>
      </w:r>
      <w:r>
        <w:rPr>
          <w:sz w:val="32"/>
          <w:szCs w:val="32"/>
        </w:rPr>
        <w:t>1</w:t>
      </w:r>
      <w:r>
        <w:rPr>
          <w:rFonts w:hint="eastAsia"/>
          <w:sz w:val="32"/>
          <w:szCs w:val="32"/>
        </w:rPr>
        <w:t>）决策依据</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本项目根据</w:t>
      </w:r>
      <w:r>
        <w:rPr>
          <w:rFonts w:hint="eastAsia" w:ascii="仿宋_GB2312" w:hAnsi="仿宋_GB2312" w:eastAsia="仿宋_GB2312" w:cs="仿宋_GB2312"/>
          <w:bCs/>
          <w:sz w:val="32"/>
          <w:szCs w:val="32"/>
        </w:rPr>
        <w:t>新财社</w:t>
      </w:r>
      <w:r>
        <w:rPr>
          <w:rFonts w:ascii="仿宋_GB2312" w:hAnsi="仿宋_GB2312" w:eastAsia="仿宋_GB2312" w:cs="仿宋_GB2312"/>
          <w:bCs/>
          <w:sz w:val="32"/>
          <w:szCs w:val="32"/>
        </w:rPr>
        <w:t>[2018]257</w:t>
      </w:r>
      <w:r>
        <w:rPr>
          <w:rFonts w:hint="eastAsia" w:ascii="仿宋_GB2312" w:hAnsi="仿宋_GB2312" w:eastAsia="仿宋_GB2312" w:cs="仿宋_GB2312"/>
          <w:bCs/>
          <w:sz w:val="32"/>
          <w:szCs w:val="32"/>
        </w:rPr>
        <w:t>号、喀地财社</w:t>
      </w:r>
      <w:r>
        <w:rPr>
          <w:rFonts w:ascii="仿宋_GB2312" w:hAnsi="仿宋_GB2312" w:eastAsia="仿宋_GB2312" w:cs="仿宋_GB2312"/>
          <w:bCs/>
          <w:sz w:val="32"/>
          <w:szCs w:val="32"/>
        </w:rPr>
        <w:t>[2018]142</w:t>
      </w:r>
      <w:r>
        <w:rPr>
          <w:rFonts w:hint="eastAsia" w:ascii="仿宋_GB2312" w:hAnsi="仿宋_GB2312" w:eastAsia="仿宋_GB2312" w:cs="仿宋_GB2312"/>
          <w:bCs/>
          <w:sz w:val="32"/>
          <w:szCs w:val="32"/>
        </w:rPr>
        <w:t>号、新财建</w:t>
      </w:r>
      <w:r>
        <w:rPr>
          <w:rFonts w:ascii="仿宋_GB2312" w:hAnsi="仿宋_GB2312" w:eastAsia="仿宋_GB2312" w:cs="仿宋_GB2312"/>
          <w:bCs/>
          <w:sz w:val="32"/>
          <w:szCs w:val="32"/>
        </w:rPr>
        <w:t>[2019]69</w:t>
      </w:r>
      <w:r>
        <w:rPr>
          <w:rFonts w:hint="eastAsia" w:ascii="仿宋_GB2312" w:hAnsi="仿宋_GB2312" w:eastAsia="仿宋_GB2312" w:cs="仿宋_GB2312"/>
          <w:bCs/>
          <w:sz w:val="32"/>
          <w:szCs w:val="32"/>
        </w:rPr>
        <w:t>号、喀地财建</w:t>
      </w:r>
      <w:r>
        <w:rPr>
          <w:rFonts w:ascii="仿宋_GB2312" w:hAnsi="仿宋_GB2312" w:eastAsia="仿宋_GB2312" w:cs="仿宋_GB2312"/>
          <w:bCs/>
          <w:sz w:val="32"/>
          <w:szCs w:val="32"/>
        </w:rPr>
        <w:t>[2019]44</w:t>
      </w:r>
      <w:r>
        <w:rPr>
          <w:rFonts w:hint="eastAsia" w:ascii="仿宋_GB2312" w:hAnsi="仿宋_GB2312" w:eastAsia="仿宋_GB2312" w:cs="仿宋_GB2312"/>
          <w:bCs/>
          <w:sz w:val="32"/>
          <w:szCs w:val="32"/>
        </w:rPr>
        <w:t>号文件</w:t>
      </w:r>
      <w:r>
        <w:rPr>
          <w:rFonts w:hint="eastAsia" w:ascii="仿宋_GB2312" w:hAnsi="仿宋" w:eastAsia="仿宋_GB2312" w:cs="宋体"/>
          <w:sz w:val="32"/>
          <w:szCs w:val="32"/>
        </w:rPr>
        <w:t>等有关规定立项，结合促进我乡美丽乡村建设、乡村振兴建设，进一步对我乡安居富民房的改造提升、解决建房困难户经济困难，有效促进建房户就业，项目设立与国家政策和部门职能相符。</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2</w:t>
      </w:r>
      <w:r>
        <w:rPr>
          <w:rFonts w:hint="eastAsia" w:ascii="仿宋_GB2312" w:hAnsi="仿宋" w:eastAsia="仿宋_GB2312" w:cs="宋体"/>
          <w:sz w:val="32"/>
          <w:szCs w:val="32"/>
        </w:rPr>
        <w:t>）决策程序</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w:t>
      </w:r>
      <w:r>
        <w:rPr>
          <w:rFonts w:hint="eastAsia" w:ascii="仿宋_GB2312" w:hAnsi="仿宋" w:eastAsia="仿宋_GB2312" w:cs="宋体"/>
          <w:sz w:val="32"/>
          <w:szCs w:val="32"/>
          <w:lang w:eastAsia="zh-CN"/>
        </w:rPr>
        <w:t>吐古其乡</w:t>
      </w:r>
      <w:r>
        <w:rPr>
          <w:rFonts w:hint="eastAsia" w:ascii="仿宋_GB2312" w:hAnsi="仿宋" w:eastAsia="仿宋_GB2312" w:cs="宋体"/>
          <w:sz w:val="32"/>
          <w:szCs w:val="32"/>
        </w:rPr>
        <w:t>人民政府申请，经过多次讨论，确定工作人员名单，并按要求将相关算申请材料报送县安居办、县扶贫办、财政局对申报项目进行研讨、分析。故该项目预算前期编制进行了实地调查论证及充分研究，预算编制谨慎。</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3</w:t>
      </w:r>
      <w:r>
        <w:rPr>
          <w:rFonts w:hint="eastAsia" w:ascii="仿宋_GB2312" w:hAnsi="仿宋" w:eastAsia="仿宋_GB2312" w:cs="宋体"/>
          <w:sz w:val="32"/>
          <w:szCs w:val="32"/>
        </w:rPr>
        <w:t>）目标设置</w:t>
      </w:r>
    </w:p>
    <w:p>
      <w:pPr>
        <w:pStyle w:val="2"/>
        <w:pageBreakBefore w:val="0"/>
        <w:widowControl w:val="0"/>
        <w:kinsoku/>
        <w:wordWrap/>
        <w:overflowPunct/>
        <w:topLinePunct w:val="0"/>
        <w:autoSpaceDE/>
        <w:autoSpaceDN/>
        <w:bidi w:val="0"/>
        <w:spacing w:before="0" w:after="0" w:line="560" w:lineRule="exact"/>
        <w:ind w:left="0" w:firstLine="640" w:firstLineChars="200"/>
        <w:textAlignment w:val="auto"/>
        <w:rPr>
          <w:rFonts w:ascii="仿宋_GB2312" w:hAnsi="仿宋" w:eastAsia="仿宋_GB2312" w:cs="宋体"/>
          <w:b w:val="0"/>
          <w:bCs w:val="0"/>
          <w:kern w:val="2"/>
          <w:sz w:val="32"/>
          <w:szCs w:val="32"/>
        </w:rPr>
      </w:pPr>
      <w:r>
        <w:rPr>
          <w:rFonts w:hint="eastAsia" w:ascii="仿宋_GB2312" w:hAnsi="仿宋" w:eastAsia="仿宋_GB2312" w:cs="宋体"/>
          <w:b w:val="0"/>
          <w:bCs w:val="0"/>
          <w:kern w:val="2"/>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w:t>
      </w:r>
    </w:p>
    <w:p>
      <w:pPr>
        <w:pStyle w:val="25"/>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ageBreakBefore w:val="0"/>
        <w:widowControl w:val="0"/>
        <w:numPr>
          <w:ilvl w:val="0"/>
          <w:numId w:val="8"/>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资金管理</w:t>
      </w:r>
    </w:p>
    <w:p>
      <w:pPr>
        <w:pageBreakBefore w:val="0"/>
        <w:widowControl w:val="0"/>
        <w:kinsoku/>
        <w:wordWrap/>
        <w:overflowPunct/>
        <w:topLinePunct w:val="0"/>
        <w:autoSpaceDE/>
        <w:autoSpaceDN/>
        <w:bidi w:val="0"/>
        <w:spacing w:line="560" w:lineRule="exact"/>
        <w:ind w:left="0" w:firstLine="624" w:firstLineChars="200"/>
        <w:jc w:val="left"/>
        <w:textAlignment w:val="auto"/>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叶城县吐古其乡严格按照农村危房改造资金管理办法和地区财政资金管理制度支付资金；实行实施一个项目，支付一笔资金、报账一笔资金，资金跟着项目走，项目跟着需求走。资金按时到位，到位率</w:t>
      </w:r>
      <w:r>
        <w:rPr>
          <w:rFonts w:ascii="仿宋_GB2312" w:hAnsi="仿宋_GB2312" w:eastAsia="仿宋_GB2312" w:cs="仿宋_GB2312"/>
          <w:spacing w:val="-4"/>
          <w:sz w:val="32"/>
          <w:szCs w:val="32"/>
        </w:rPr>
        <w:t>100%</w:t>
      </w:r>
      <w:r>
        <w:rPr>
          <w:rFonts w:hint="eastAsia" w:ascii="仿宋_GB2312" w:hAnsi="仿宋_GB2312" w:eastAsia="仿宋_GB2312" w:cs="仿宋_GB2312"/>
          <w:spacing w:val="-4"/>
          <w:sz w:val="32"/>
          <w:szCs w:val="32"/>
        </w:rPr>
        <w:t>。资金的支付有完整的审批程序和手续符合制度要求；不存在截留、挤占、挪用、虚列支出等情况。</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eastAsia="zh-CN"/>
        </w:rPr>
        <w:t>（</w:t>
      </w:r>
      <w:r>
        <w:rPr>
          <w:rFonts w:hint="eastAsia" w:ascii="仿宋_GB2312" w:hAnsi="仿宋" w:eastAsia="仿宋_GB2312" w:cs="宋体"/>
          <w:sz w:val="32"/>
          <w:szCs w:val="32"/>
          <w:lang w:val="en-US" w:eastAsia="zh-CN"/>
        </w:rPr>
        <w:t>2</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组织实施</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叶城县吐古其乡人民政府在项目管理上总体情况较好。该项目预算资金安排</w:t>
      </w:r>
      <w:r>
        <w:rPr>
          <w:rFonts w:ascii="仿宋_GB2312" w:hAnsi="仿宋" w:eastAsia="仿宋_GB2312" w:cs="宋体"/>
          <w:sz w:val="32"/>
          <w:szCs w:val="32"/>
        </w:rPr>
        <w:t>2232.61</w:t>
      </w:r>
      <w:r>
        <w:rPr>
          <w:rFonts w:hint="eastAsia" w:ascii="仿宋_GB2312" w:hAnsi="仿宋" w:eastAsia="仿宋_GB2312" w:cs="宋体"/>
          <w:sz w:val="32"/>
          <w:szCs w:val="32"/>
        </w:rPr>
        <w:t>万元，项目实际使用资金</w:t>
      </w:r>
      <w:r>
        <w:rPr>
          <w:rFonts w:ascii="仿宋_GB2312" w:hAnsi="仿宋" w:eastAsia="仿宋_GB2312" w:cs="宋体"/>
          <w:sz w:val="32"/>
          <w:szCs w:val="32"/>
        </w:rPr>
        <w:t>2232.61</w:t>
      </w:r>
      <w:r>
        <w:rPr>
          <w:rFonts w:hint="eastAsia" w:ascii="仿宋_GB2312" w:hAnsi="仿宋" w:eastAsia="仿宋_GB2312" w:cs="宋体"/>
          <w:sz w:val="32"/>
          <w:szCs w:val="32"/>
        </w:rPr>
        <w:t>万元，资金按照规定制度及时支付到位。为保证资金的高效、合规使用，叶城县</w:t>
      </w:r>
      <w:r>
        <w:rPr>
          <w:rFonts w:hint="eastAsia" w:ascii="仿宋_GB2312" w:hAnsi="仿宋" w:eastAsia="仿宋_GB2312" w:cs="宋体"/>
          <w:sz w:val="32"/>
          <w:szCs w:val="32"/>
          <w:lang w:eastAsia="zh-CN"/>
        </w:rPr>
        <w:t>吐古其乡</w:t>
      </w:r>
      <w:r>
        <w:rPr>
          <w:rFonts w:hint="eastAsia" w:ascii="仿宋_GB2312" w:hAnsi="仿宋" w:eastAsia="仿宋_GB2312" w:cs="宋体"/>
          <w:sz w:val="32"/>
          <w:szCs w:val="32"/>
        </w:rPr>
        <w:t>人民政府制定并依据项目实施方案，有效促进了安居富民房建设项目资金支出管理工作。</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从制度建设看：制定了《安居富民房建设管理制度》《安居富民房建设项目资金支付管理制度》相应的管理制度。</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3. 从过程控制部分看：叶城县</w:t>
      </w:r>
      <w:r>
        <w:rPr>
          <w:rFonts w:hint="eastAsia" w:ascii="仿宋_GB2312" w:hAnsi="仿宋" w:eastAsia="仿宋_GB2312" w:cs="宋体"/>
          <w:sz w:val="32"/>
          <w:szCs w:val="32"/>
          <w:lang w:eastAsia="zh-CN"/>
        </w:rPr>
        <w:t>吐古其乡</w:t>
      </w:r>
      <w:r>
        <w:rPr>
          <w:rFonts w:hint="eastAsia" w:ascii="仿宋_GB2312" w:hAnsi="仿宋" w:eastAsia="仿宋_GB2312" w:cs="宋体"/>
          <w:sz w:val="32"/>
          <w:szCs w:val="32"/>
        </w:rPr>
        <w:t>人民政府严格按照农村危房改造资金管理办法和地区财政资金管理制度支付资金；实行实施一个项目，支付一笔资金、报账一笔资金，资金跟着项目走，项目跟着需求走</w:t>
      </w:r>
    </w:p>
    <w:p>
      <w:pPr>
        <w:pStyle w:val="25"/>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rPr>
        <w:t>通过项目的实施，</w:t>
      </w:r>
      <w:r>
        <w:rPr>
          <w:rFonts w:hint="eastAsia" w:ascii="仿宋_GB2312" w:hAnsi="仿宋" w:eastAsia="仿宋_GB2312" w:cs="宋体"/>
          <w:sz w:val="32"/>
          <w:szCs w:val="32"/>
        </w:rPr>
        <w:t>安居富民房建设项目实际完成</w:t>
      </w:r>
      <w:r>
        <w:rPr>
          <w:rFonts w:hint="eastAsia" w:ascii="仿宋_GB2312" w:eastAsia="仿宋_GB2312"/>
          <w:sz w:val="32"/>
          <w:szCs w:val="32"/>
        </w:rPr>
        <w:t>一般户</w:t>
      </w:r>
      <w:r>
        <w:rPr>
          <w:rFonts w:ascii="仿宋_GB2312" w:eastAsia="仿宋_GB2312"/>
          <w:sz w:val="32"/>
          <w:szCs w:val="32"/>
        </w:rPr>
        <w:t>567</w:t>
      </w:r>
      <w:r>
        <w:rPr>
          <w:rFonts w:hint="eastAsia" w:ascii="仿宋_GB2312" w:eastAsia="仿宋_GB2312"/>
          <w:sz w:val="32"/>
          <w:szCs w:val="32"/>
        </w:rPr>
        <w:t>户，低保户</w:t>
      </w:r>
      <w:r>
        <w:rPr>
          <w:rFonts w:ascii="仿宋_GB2312" w:eastAsia="仿宋_GB2312"/>
          <w:sz w:val="32"/>
          <w:szCs w:val="32"/>
        </w:rPr>
        <w:t>1279</w:t>
      </w:r>
      <w:r>
        <w:rPr>
          <w:rFonts w:hint="eastAsia" w:ascii="仿宋_GB2312" w:eastAsia="仿宋_GB2312"/>
          <w:sz w:val="32"/>
          <w:szCs w:val="32"/>
        </w:rPr>
        <w:t>户，实际完成值为</w:t>
      </w:r>
      <w:r>
        <w:rPr>
          <w:rFonts w:ascii="仿宋_GB2312" w:eastAsia="仿宋_GB2312"/>
          <w:sz w:val="32"/>
          <w:szCs w:val="32"/>
        </w:rPr>
        <w:t>1846</w:t>
      </w:r>
      <w:r>
        <w:rPr>
          <w:rFonts w:hint="eastAsia" w:ascii="仿宋_GB2312" w:eastAsia="仿宋_GB2312"/>
          <w:sz w:val="32"/>
          <w:szCs w:val="32"/>
        </w:rPr>
        <w:t>户，</w:t>
      </w:r>
      <w:r>
        <w:rPr>
          <w:rFonts w:hint="eastAsia" w:ascii="仿宋_GB2312" w:hAnsi="仿宋" w:eastAsia="仿宋_GB2312" w:cs="宋体"/>
          <w:sz w:val="32"/>
          <w:szCs w:val="32"/>
        </w:rPr>
        <w:t>实现预期目标建设，资金支付率达到</w:t>
      </w:r>
      <w:r>
        <w:rPr>
          <w:rFonts w:ascii="仿宋_GB2312" w:hAnsi="仿宋" w:eastAsia="仿宋_GB2312" w:cs="宋体"/>
          <w:sz w:val="32"/>
          <w:szCs w:val="32"/>
        </w:rPr>
        <w:t>100%</w:t>
      </w:r>
      <w:r>
        <w:rPr>
          <w:rFonts w:hint="eastAsia" w:ascii="仿宋_GB2312" w:hAnsi="仿宋" w:eastAsia="仿宋_GB2312" w:cs="宋体"/>
          <w:sz w:val="32"/>
          <w:szCs w:val="32"/>
        </w:rPr>
        <w:t>。</w:t>
      </w:r>
      <w:r>
        <w:rPr>
          <w:rFonts w:hint="eastAsia" w:ascii="仿宋_GB2312" w:eastAsia="仿宋_GB2312"/>
          <w:sz w:val="32"/>
          <w:szCs w:val="32"/>
        </w:rPr>
        <w:t>一般户</w:t>
      </w:r>
      <w:r>
        <w:rPr>
          <w:rFonts w:hint="eastAsia" w:ascii="仿宋_GB2312" w:hAnsi="仿宋" w:eastAsia="仿宋_GB2312" w:cs="宋体"/>
          <w:sz w:val="32"/>
          <w:szCs w:val="32"/>
        </w:rPr>
        <w:t>享受补</w:t>
      </w:r>
      <w:r>
        <w:rPr>
          <w:rFonts w:hint="eastAsia" w:ascii="仿宋_GB2312" w:eastAsia="仿宋_GB2312"/>
          <w:sz w:val="32"/>
          <w:szCs w:val="32"/>
        </w:rPr>
        <w:t>为</w:t>
      </w:r>
      <w:r>
        <w:rPr>
          <w:rFonts w:ascii="仿宋_GB2312" w:eastAsia="仿宋_GB2312"/>
          <w:sz w:val="32"/>
          <w:szCs w:val="32"/>
        </w:rPr>
        <w:t>0.925</w:t>
      </w:r>
      <w:r>
        <w:rPr>
          <w:rFonts w:hint="eastAsia" w:ascii="仿宋_GB2312" w:eastAsia="仿宋_GB2312"/>
          <w:sz w:val="32"/>
          <w:szCs w:val="32"/>
        </w:rPr>
        <w:t>万元，低保户</w:t>
      </w:r>
      <w:r>
        <w:rPr>
          <w:rFonts w:hint="eastAsia" w:ascii="仿宋_GB2312" w:hAnsi="仿宋" w:eastAsia="仿宋_GB2312" w:cs="宋体"/>
          <w:sz w:val="32"/>
          <w:szCs w:val="32"/>
        </w:rPr>
        <w:t>享受补</w:t>
      </w:r>
      <w:r>
        <w:rPr>
          <w:rFonts w:hint="eastAsia" w:ascii="仿宋_GB2312" w:eastAsia="仿宋_GB2312"/>
          <w:sz w:val="32"/>
          <w:szCs w:val="32"/>
        </w:rPr>
        <w:t>为</w:t>
      </w:r>
      <w:r>
        <w:rPr>
          <w:rFonts w:ascii="仿宋_GB2312" w:eastAsia="仿宋_GB2312"/>
          <w:sz w:val="32"/>
          <w:szCs w:val="32"/>
        </w:rPr>
        <w:t>1.85</w:t>
      </w:r>
      <w:r>
        <w:rPr>
          <w:rFonts w:hint="eastAsia" w:ascii="仿宋_GB2312" w:eastAsia="仿宋_GB2312"/>
          <w:sz w:val="32"/>
          <w:szCs w:val="32"/>
        </w:rPr>
        <w:t>万元；</w:t>
      </w:r>
      <w:r>
        <w:rPr>
          <w:rFonts w:hint="eastAsia" w:ascii="仿宋_GB2312" w:hAnsi="仿宋" w:eastAsia="仿宋_GB2312" w:cs="宋体"/>
          <w:sz w:val="32"/>
          <w:szCs w:val="32"/>
        </w:rPr>
        <w:t>用于完善我乡住房保障体系，改善住房保障服务，解决建房困难户经济困难，有效促</w:t>
      </w:r>
      <w:r>
        <w:rPr>
          <w:rFonts w:hint="eastAsia" w:ascii="仿宋_GB2312" w:eastAsia="仿宋_GB2312"/>
          <w:sz w:val="32"/>
          <w:szCs w:val="32"/>
        </w:rPr>
        <w:t>进建房户就业，提升建房户获得感与幸福感。</w:t>
      </w:r>
    </w:p>
    <w:tbl>
      <w:tblPr>
        <w:tblStyle w:val="13"/>
        <w:tblW w:w="8286" w:type="dxa"/>
        <w:tblInd w:w="0" w:type="dxa"/>
        <w:shd w:val="clear" w:color="auto" w:fill="auto"/>
        <w:tblLayout w:type="fixed"/>
        <w:tblCellMar>
          <w:top w:w="0" w:type="dxa"/>
          <w:left w:w="0" w:type="dxa"/>
          <w:bottom w:w="0" w:type="dxa"/>
          <w:right w:w="0" w:type="dxa"/>
        </w:tblCellMar>
      </w:tblPr>
      <w:tblGrid>
        <w:gridCol w:w="1152"/>
        <w:gridCol w:w="1231"/>
        <w:gridCol w:w="3552"/>
        <w:gridCol w:w="1295"/>
        <w:gridCol w:w="1056"/>
      </w:tblGrid>
      <w:tr>
        <w:tblPrEx>
          <w:shd w:val="clear" w:color="auto" w:fill="auto"/>
          <w:tblCellMar>
            <w:top w:w="0" w:type="dxa"/>
            <w:left w:w="0" w:type="dxa"/>
            <w:bottom w:w="0" w:type="dxa"/>
            <w:right w:w="0" w:type="dxa"/>
          </w:tblCellMar>
        </w:tblPrEx>
        <w:trPr>
          <w:trHeight w:val="499"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9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499" w:hRule="atLeast"/>
        </w:trPr>
        <w:tc>
          <w:tcPr>
            <w:tcW w:w="115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231"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一般户户数（户）</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567</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567</w:t>
            </w:r>
          </w:p>
        </w:tc>
      </w:tr>
      <w:tr>
        <w:tblPrEx>
          <w:tblCellMar>
            <w:top w:w="0" w:type="dxa"/>
            <w:left w:w="0" w:type="dxa"/>
            <w:bottom w:w="0" w:type="dxa"/>
            <w:right w:w="0" w:type="dxa"/>
          </w:tblCellMar>
        </w:tblPrEx>
        <w:trPr>
          <w:trHeight w:val="499" w:hRule="atLeast"/>
        </w:trPr>
        <w:tc>
          <w:tcPr>
            <w:tcW w:w="11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低保户户数（户）</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1279</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1279</w:t>
            </w:r>
          </w:p>
        </w:tc>
      </w:tr>
      <w:tr>
        <w:tblPrEx>
          <w:tblCellMar>
            <w:top w:w="0" w:type="dxa"/>
            <w:left w:w="0" w:type="dxa"/>
            <w:bottom w:w="0" w:type="dxa"/>
            <w:right w:w="0" w:type="dxa"/>
          </w:tblCellMar>
        </w:tblPrEx>
        <w:trPr>
          <w:trHeight w:val="499" w:hRule="atLeast"/>
        </w:trPr>
        <w:tc>
          <w:tcPr>
            <w:tcW w:w="11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资金保障率（%）</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499" w:hRule="atLeast"/>
        </w:trPr>
        <w:tc>
          <w:tcPr>
            <w:tcW w:w="11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资金拨付及时率（%）</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499" w:hRule="atLeast"/>
        </w:trPr>
        <w:tc>
          <w:tcPr>
            <w:tcW w:w="11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1"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补助一般户标准（元/户）</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9255</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9255</w:t>
            </w:r>
          </w:p>
        </w:tc>
      </w:tr>
      <w:tr>
        <w:tblPrEx>
          <w:tblCellMar>
            <w:top w:w="0" w:type="dxa"/>
            <w:left w:w="0" w:type="dxa"/>
            <w:bottom w:w="0" w:type="dxa"/>
            <w:right w:w="0" w:type="dxa"/>
          </w:tblCellMar>
        </w:tblPrEx>
        <w:trPr>
          <w:trHeight w:val="499" w:hRule="atLeast"/>
        </w:trPr>
        <w:tc>
          <w:tcPr>
            <w:tcW w:w="11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补助低保户标准（元/户）</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18500</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18500</w:t>
            </w:r>
          </w:p>
        </w:tc>
      </w:tr>
    </w:tbl>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eastAsia="仿宋_GB2312"/>
          <w:sz w:val="32"/>
          <w:szCs w:val="32"/>
        </w:rPr>
      </w:pPr>
    </w:p>
    <w:p>
      <w:pPr>
        <w:pStyle w:val="25"/>
        <w:pageBreakBefore w:val="0"/>
        <w:widowControl w:val="0"/>
        <w:numPr>
          <w:ilvl w:val="0"/>
          <w:numId w:val="7"/>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eastAsia="仿宋_GB2312"/>
          <w:sz w:val="32"/>
          <w:szCs w:val="32"/>
        </w:rPr>
      </w:pPr>
      <w:r>
        <w:rPr>
          <w:rFonts w:hint="eastAsia" w:ascii="仿宋_GB2312" w:hAnsi="仿宋" w:eastAsia="仿宋_GB2312" w:cs="宋体"/>
          <w:bCs/>
          <w:sz w:val="32"/>
          <w:szCs w:val="32"/>
        </w:rPr>
        <w:t>通过安居富民房的实施</w:t>
      </w:r>
      <w:r>
        <w:rPr>
          <w:rFonts w:hint="eastAsia" w:ascii="仿宋_GB2312" w:eastAsia="仿宋_GB2312"/>
          <w:sz w:val="32"/>
          <w:szCs w:val="32"/>
        </w:rPr>
        <w:t>，</w:t>
      </w:r>
      <w:r>
        <w:rPr>
          <w:rFonts w:hint="eastAsia" w:ascii="仿宋_GB2312" w:hAnsi="仿宋" w:eastAsia="仿宋_GB2312" w:cs="宋体"/>
          <w:bCs/>
          <w:sz w:val="32"/>
          <w:szCs w:val="32"/>
        </w:rPr>
        <w:t>全乡</w:t>
      </w:r>
      <w:r>
        <w:rPr>
          <w:rFonts w:hint="eastAsia" w:ascii="仿宋_GB2312" w:eastAsia="仿宋_GB2312"/>
          <w:sz w:val="32"/>
          <w:szCs w:val="32"/>
        </w:rPr>
        <w:t>一般户</w:t>
      </w:r>
      <w:r>
        <w:rPr>
          <w:rFonts w:ascii="仿宋_GB2312" w:eastAsia="仿宋_GB2312"/>
          <w:sz w:val="32"/>
          <w:szCs w:val="32"/>
        </w:rPr>
        <w:t>567</w:t>
      </w:r>
      <w:r>
        <w:rPr>
          <w:rFonts w:hint="eastAsia" w:ascii="仿宋_GB2312" w:eastAsia="仿宋_GB2312"/>
          <w:sz w:val="32"/>
          <w:szCs w:val="32"/>
        </w:rPr>
        <w:t>户，低保户</w:t>
      </w:r>
      <w:r>
        <w:rPr>
          <w:rFonts w:ascii="仿宋_GB2312" w:eastAsia="仿宋_GB2312"/>
          <w:sz w:val="32"/>
          <w:szCs w:val="32"/>
        </w:rPr>
        <w:t>1279</w:t>
      </w:r>
      <w:r>
        <w:rPr>
          <w:rFonts w:hint="eastAsia" w:ascii="仿宋_GB2312" w:eastAsia="仿宋_GB2312"/>
          <w:sz w:val="32"/>
          <w:szCs w:val="32"/>
        </w:rPr>
        <w:t>户，实际完成值为</w:t>
      </w:r>
      <w:r>
        <w:rPr>
          <w:rFonts w:ascii="仿宋_GB2312" w:eastAsia="仿宋_GB2312"/>
          <w:sz w:val="32"/>
          <w:szCs w:val="32"/>
        </w:rPr>
        <w:t>1846</w:t>
      </w:r>
      <w:r>
        <w:rPr>
          <w:rFonts w:hint="eastAsia" w:ascii="仿宋_GB2312" w:eastAsia="仿宋_GB2312"/>
          <w:sz w:val="32"/>
          <w:szCs w:val="32"/>
        </w:rPr>
        <w:t>户，一般户</w:t>
      </w:r>
      <w:r>
        <w:rPr>
          <w:rFonts w:hint="eastAsia" w:ascii="仿宋_GB2312" w:hAnsi="仿宋" w:eastAsia="仿宋_GB2312" w:cs="宋体"/>
          <w:sz w:val="32"/>
          <w:szCs w:val="32"/>
        </w:rPr>
        <w:t>享受补</w:t>
      </w:r>
      <w:r>
        <w:rPr>
          <w:rFonts w:hint="eastAsia" w:ascii="仿宋_GB2312" w:eastAsia="仿宋_GB2312"/>
          <w:sz w:val="32"/>
          <w:szCs w:val="32"/>
        </w:rPr>
        <w:t>为</w:t>
      </w:r>
      <w:r>
        <w:rPr>
          <w:rFonts w:ascii="仿宋_GB2312" w:eastAsia="仿宋_GB2312"/>
          <w:sz w:val="32"/>
          <w:szCs w:val="32"/>
        </w:rPr>
        <w:t>0.925</w:t>
      </w:r>
      <w:r>
        <w:rPr>
          <w:rFonts w:hint="eastAsia" w:ascii="仿宋_GB2312" w:eastAsia="仿宋_GB2312"/>
          <w:sz w:val="32"/>
          <w:szCs w:val="32"/>
        </w:rPr>
        <w:t>万元，低保户</w:t>
      </w:r>
      <w:r>
        <w:rPr>
          <w:rFonts w:hint="eastAsia" w:ascii="仿宋_GB2312" w:hAnsi="仿宋" w:eastAsia="仿宋_GB2312" w:cs="宋体"/>
          <w:sz w:val="32"/>
          <w:szCs w:val="32"/>
        </w:rPr>
        <w:t>享受补</w:t>
      </w:r>
      <w:r>
        <w:rPr>
          <w:rFonts w:hint="eastAsia" w:ascii="仿宋_GB2312" w:eastAsia="仿宋_GB2312"/>
          <w:sz w:val="32"/>
          <w:szCs w:val="32"/>
        </w:rPr>
        <w:t>为</w:t>
      </w:r>
      <w:r>
        <w:rPr>
          <w:rFonts w:ascii="仿宋_GB2312" w:eastAsia="仿宋_GB2312"/>
          <w:sz w:val="32"/>
          <w:szCs w:val="32"/>
        </w:rPr>
        <w:t>1.85</w:t>
      </w:r>
      <w:r>
        <w:rPr>
          <w:rFonts w:hint="eastAsia" w:ascii="仿宋_GB2312" w:eastAsia="仿宋_GB2312"/>
          <w:sz w:val="32"/>
          <w:szCs w:val="32"/>
        </w:rPr>
        <w:t>万元；有效提升</w:t>
      </w:r>
      <w:r>
        <w:rPr>
          <w:rFonts w:hint="eastAsia" w:ascii="仿宋_GB2312" w:hAnsi="仿宋_GB2312" w:eastAsia="仿宋_GB2312" w:cs="仿宋_GB2312"/>
          <w:kern w:val="0"/>
          <w:sz w:val="32"/>
          <w:szCs w:val="32"/>
        </w:rPr>
        <w:t>建房户获得感与幸福</w:t>
      </w:r>
      <w:r>
        <w:rPr>
          <w:rFonts w:ascii="仿宋_GB2312" w:hAnsi="仿宋_GB2312" w:eastAsia="仿宋_GB2312" w:cs="仿宋_GB2312"/>
          <w:kern w:val="0"/>
          <w:sz w:val="32"/>
          <w:szCs w:val="32"/>
        </w:rPr>
        <w:t>30%</w:t>
      </w:r>
      <w:r>
        <w:rPr>
          <w:rFonts w:hint="eastAsia" w:ascii="仿宋_GB2312" w:hAnsi="仿宋_GB2312" w:eastAsia="仿宋_GB2312" w:cs="仿宋_GB2312"/>
          <w:kern w:val="0"/>
          <w:sz w:val="32"/>
          <w:szCs w:val="32"/>
        </w:rPr>
        <w:t>，</w:t>
      </w: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w:t>
      </w:r>
      <w:r>
        <w:rPr>
          <w:rFonts w:hint="eastAsia" w:ascii="仿宋_GB2312" w:hAnsi="仿宋_GB2312" w:eastAsia="仿宋_GB2312" w:cs="仿宋_GB2312"/>
          <w:kern w:val="0"/>
          <w:sz w:val="32"/>
          <w:szCs w:val="32"/>
        </w:rPr>
        <w:t>持续影响年限持续一年</w:t>
      </w:r>
      <w:r>
        <w:rPr>
          <w:rFonts w:hint="eastAsia" w:ascii="仿宋_GB2312" w:eastAsia="仿宋_GB2312"/>
          <w:sz w:val="32"/>
          <w:szCs w:val="32"/>
        </w:rPr>
        <w:t>，</w:t>
      </w:r>
      <w:r>
        <w:rPr>
          <w:rFonts w:hint="eastAsia" w:ascii="仿宋_GB2312" w:hAnsi="仿宋" w:eastAsia="仿宋_GB2312" w:cs="宋体"/>
          <w:bCs/>
          <w:sz w:val="32"/>
          <w:szCs w:val="32"/>
        </w:rPr>
        <w:t>经问卷调查，项目受益群众满意度为</w:t>
      </w:r>
      <w:r>
        <w:rPr>
          <w:rFonts w:ascii="仿宋_GB2312" w:hAnsi="仿宋" w:eastAsia="仿宋_GB2312" w:cs="宋体"/>
          <w:bCs/>
          <w:sz w:val="32"/>
          <w:szCs w:val="32"/>
        </w:rPr>
        <w:t>98%</w:t>
      </w:r>
      <w:r>
        <w:rPr>
          <w:rFonts w:hint="eastAsia" w:ascii="仿宋_GB2312" w:hAnsi="仿宋" w:eastAsia="仿宋_GB2312" w:cs="宋体"/>
          <w:bCs/>
          <w:sz w:val="32"/>
          <w:szCs w:val="32"/>
        </w:rPr>
        <w:t>。</w:t>
      </w:r>
      <w:r>
        <w:rPr>
          <w:rFonts w:hint="eastAsia" w:ascii="仿宋_GB2312" w:hAnsi="仿宋" w:eastAsia="仿宋_GB2312" w:cs="宋体"/>
          <w:sz w:val="32"/>
          <w:szCs w:val="32"/>
        </w:rPr>
        <w:t>解决建房</w:t>
      </w:r>
      <w:r>
        <w:rPr>
          <w:rFonts w:hint="eastAsia" w:ascii="仿宋_GB2312" w:eastAsia="仿宋_GB2312"/>
          <w:sz w:val="32"/>
          <w:szCs w:val="32"/>
        </w:rPr>
        <w:t>困难户经济困难，有效促进建房户就业，提升建房户获得感与幸福感。</w:t>
      </w:r>
    </w:p>
    <w:tbl>
      <w:tblPr>
        <w:tblStyle w:val="13"/>
        <w:tblW w:w="8286" w:type="dxa"/>
        <w:tblInd w:w="0" w:type="dxa"/>
        <w:shd w:val="clear" w:color="auto" w:fill="auto"/>
        <w:tblLayout w:type="fixed"/>
        <w:tblCellMar>
          <w:top w:w="0" w:type="dxa"/>
          <w:left w:w="0" w:type="dxa"/>
          <w:bottom w:w="0" w:type="dxa"/>
          <w:right w:w="0" w:type="dxa"/>
        </w:tblCellMar>
      </w:tblPr>
      <w:tblGrid>
        <w:gridCol w:w="1152"/>
        <w:gridCol w:w="1231"/>
        <w:gridCol w:w="3552"/>
        <w:gridCol w:w="1295"/>
        <w:gridCol w:w="1056"/>
      </w:tblGrid>
      <w:tr>
        <w:tblPrEx>
          <w:tblCellMar>
            <w:top w:w="0" w:type="dxa"/>
            <w:left w:w="0" w:type="dxa"/>
            <w:bottom w:w="0" w:type="dxa"/>
            <w:right w:w="0" w:type="dxa"/>
          </w:tblCellMar>
        </w:tblPrEx>
        <w:trPr>
          <w:trHeight w:val="499"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2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三级指标</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年度指标值</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499" w:hRule="atLeast"/>
        </w:trPr>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231"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减轻一般户建房经济负担（元/户）</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9255</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9255</w:t>
            </w:r>
          </w:p>
        </w:tc>
      </w:tr>
      <w:tr>
        <w:tblPrEx>
          <w:tblCellMar>
            <w:top w:w="0" w:type="dxa"/>
            <w:left w:w="0" w:type="dxa"/>
            <w:bottom w:w="0" w:type="dxa"/>
            <w:right w:w="0" w:type="dxa"/>
          </w:tblCellMar>
        </w:tblPrEx>
        <w:trPr>
          <w:trHeight w:val="499"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1"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减轻低保户建房经济负担（元/户）</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18500</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18500</w:t>
            </w:r>
          </w:p>
        </w:tc>
      </w:tr>
      <w:tr>
        <w:tblPrEx>
          <w:tblCellMar>
            <w:top w:w="0" w:type="dxa"/>
            <w:left w:w="0" w:type="dxa"/>
            <w:bottom w:w="0" w:type="dxa"/>
            <w:right w:w="0" w:type="dxa"/>
          </w:tblCellMar>
        </w:tblPrEx>
        <w:trPr>
          <w:trHeight w:val="75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提升幸福感（%）</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w:t>
            </w:r>
          </w:p>
        </w:tc>
      </w:tr>
      <w:tr>
        <w:tblPrEx>
          <w:tblCellMar>
            <w:top w:w="0" w:type="dxa"/>
            <w:left w:w="0" w:type="dxa"/>
            <w:bottom w:w="0" w:type="dxa"/>
            <w:right w:w="0" w:type="dxa"/>
          </w:tblCellMar>
        </w:tblPrEx>
        <w:trPr>
          <w:trHeight w:val="499"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99"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安居房可居住年限（年）</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CellMar>
            <w:top w:w="0" w:type="dxa"/>
            <w:left w:w="0" w:type="dxa"/>
            <w:bottom w:w="0" w:type="dxa"/>
            <w:right w:w="0" w:type="dxa"/>
          </w:tblCellMar>
        </w:tblPrEx>
        <w:trPr>
          <w:trHeight w:val="499" w:hRule="atLeast"/>
        </w:trPr>
        <w:tc>
          <w:tcPr>
            <w:tcW w:w="11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2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1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0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bl>
    <w:p>
      <w:pPr>
        <w:pageBreakBefore w:val="0"/>
        <w:widowControl w:val="0"/>
        <w:kinsoku/>
        <w:wordWrap/>
        <w:overflowPunct/>
        <w:topLinePunct w:val="0"/>
        <w:autoSpaceDE/>
        <w:autoSpaceDN/>
        <w:bidi w:val="0"/>
        <w:spacing w:line="560" w:lineRule="exact"/>
        <w:textAlignment w:val="auto"/>
        <w:rPr>
          <w:rFonts w:hint="eastAsia" w:ascii="仿宋_GB2312" w:eastAsia="仿宋_GB2312"/>
          <w:sz w:val="32"/>
          <w:szCs w:val="32"/>
        </w:rPr>
      </w:pPr>
    </w:p>
    <w:p>
      <w:pPr>
        <w:pStyle w:val="26"/>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r>
        <w:rPr>
          <w:rFonts w:hint="eastAsia" w:ascii="黑体" w:hAnsi="黑体"/>
        </w:rPr>
        <w:t>主要经验及做法、存在的问题及原因分析</w:t>
      </w:r>
    </w:p>
    <w:p>
      <w:pPr>
        <w:pStyle w:val="27"/>
        <w:pageBreakBefore w:val="0"/>
        <w:widowControl w:val="0"/>
        <w:numPr>
          <w:ilvl w:val="0"/>
          <w:numId w:val="9"/>
        </w:numPr>
        <w:kinsoku/>
        <w:wordWrap/>
        <w:overflowPunct/>
        <w:topLinePunct w:val="0"/>
        <w:autoSpaceDE/>
        <w:autoSpaceDN/>
        <w:bidi w:val="0"/>
        <w:spacing w:before="0" w:after="0" w:line="560" w:lineRule="exact"/>
        <w:ind w:left="0" w:firstLine="643" w:firstLineChars="200"/>
        <w:textAlignment w:val="auto"/>
      </w:pPr>
      <w:r>
        <w:rPr>
          <w:rFonts w:hint="eastAsia"/>
        </w:rPr>
        <w:t>主要经验及做法</w:t>
      </w:r>
    </w:p>
    <w:p>
      <w:pPr>
        <w:pStyle w:val="27"/>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rPr>
          <w:b w:val="0"/>
        </w:rPr>
      </w:pPr>
      <w:r>
        <w:rPr>
          <w:rFonts w:hint="eastAsia"/>
          <w:b w:val="0"/>
        </w:rPr>
        <w:t>本项目实施效果较好的原因主要是管理制度完善、责任落实到位，跟踪考核机制完善且运行有效，在项目实施过程中创新管理办法，年度预算时严格按照相关文件要求等严格进行预算编制年度预算，严格执行《预算法》，严把支出关，按照“收支两条线”，乡财县管的财务要求制度，确保了项目支出各项经费按时足额保障到位，有效地杜绝了非预算支出，挤占挪用、虚报等套取财政资金违规行为。</w:t>
      </w:r>
    </w:p>
    <w:p>
      <w:pPr>
        <w:pStyle w:val="27"/>
        <w:pageBreakBefore w:val="0"/>
        <w:widowControl w:val="0"/>
        <w:numPr>
          <w:ilvl w:val="0"/>
          <w:numId w:val="9"/>
        </w:numPr>
        <w:kinsoku/>
        <w:wordWrap/>
        <w:overflowPunct/>
        <w:topLinePunct w:val="0"/>
        <w:autoSpaceDE/>
        <w:autoSpaceDN/>
        <w:bidi w:val="0"/>
        <w:spacing w:before="0" w:after="0" w:line="560" w:lineRule="exact"/>
        <w:ind w:left="0" w:firstLine="643" w:firstLineChars="200"/>
        <w:textAlignment w:val="auto"/>
      </w:pPr>
      <w:r>
        <w:rPr>
          <w:rFonts w:hint="eastAsia"/>
        </w:rPr>
        <w:t>存在的问题及原因分析</w:t>
      </w:r>
    </w:p>
    <w:p>
      <w:pPr>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pPr>
      <w:r>
        <w:rPr>
          <w:rFonts w:hint="eastAsia" w:ascii="仿宋_GB2312" w:hAnsi="仿宋_GB2312" w:eastAsia="仿宋_GB2312" w:cs="仿宋_GB2312"/>
          <w:bCs/>
          <w:spacing w:val="-4"/>
          <w:sz w:val="32"/>
          <w:szCs w:val="32"/>
        </w:rPr>
        <w:t>通过预算绩效管理，发现了工作中存在的不足，如前期资金使用因人员身份识别不精准等原因未按期支付，导致了资金滞缓，影响了项目的进度，造成了部分资金的浪费。</w:t>
      </w:r>
    </w:p>
    <w:p>
      <w:pPr>
        <w:pStyle w:val="26"/>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rPr>
      </w:pPr>
      <w:r>
        <w:rPr>
          <w:rFonts w:hint="eastAsia" w:ascii="黑体" w:hAnsi="黑体"/>
        </w:rPr>
        <w:t>有关建议</w:t>
      </w:r>
    </w:p>
    <w:p>
      <w:pPr>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ascii="黑体" w:eastAsia="黑体"/>
        </w:rPr>
      </w:pPr>
      <w:r>
        <w:rPr>
          <w:rFonts w:hint="eastAsia" w:ascii="仿宋_GB2312" w:hAnsi="仿宋_GB2312" w:eastAsia="仿宋_GB2312" w:cs="仿宋_GB2312"/>
          <w:bCs/>
          <w:spacing w:val="-4"/>
          <w:sz w:val="32"/>
          <w:szCs w:val="32"/>
        </w:rPr>
        <w:t>在以后年度，确保年初做好资金计划，按照项目进度及时拨付资金，使资金使用效益最大化，减少不必要的浪费，节约成本。</w:t>
      </w:r>
    </w:p>
    <w:p>
      <w:pPr>
        <w:pStyle w:val="26"/>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rPr>
      </w:pPr>
      <w:r>
        <w:rPr>
          <w:rFonts w:hint="eastAsia" w:ascii="黑体" w:hAnsi="黑体"/>
        </w:rPr>
        <w:t>其他需要说明的问题</w:t>
      </w:r>
    </w:p>
    <w:p>
      <w:pPr>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bCs/>
          <w:spacing w:val="-4"/>
          <w:sz w:val="32"/>
          <w:szCs w:val="32"/>
          <w:lang w:val="en-US" w:eastAsia="zh-CN"/>
        </w:rPr>
      </w:pPr>
      <w:r>
        <w:rPr>
          <w:rFonts w:hint="eastAsia" w:ascii="仿宋_GB2312" w:hAnsi="仿宋_GB2312" w:eastAsia="仿宋_GB2312" w:cs="仿宋_GB2312"/>
          <w:bCs/>
          <w:spacing w:val="-4"/>
          <w:sz w:val="32"/>
          <w:szCs w:val="32"/>
        </w:rPr>
        <w:t>无</w:t>
      </w:r>
      <w:r>
        <w:rPr>
          <w:rFonts w:hint="eastAsia" w:ascii="仿宋_GB2312" w:hAnsi="仿宋_GB2312" w:eastAsia="仿宋_GB2312" w:cs="仿宋_GB2312"/>
          <w:bCs/>
          <w:spacing w:val="-4"/>
          <w:sz w:val="32"/>
          <w:szCs w:val="32"/>
          <w:lang w:val="en-US" w:eastAsia="zh-CN"/>
        </w:rPr>
        <w:t>其他说明问题。</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p>
    <w:p>
      <w:pPr>
        <w:pStyle w:val="2"/>
        <w:pageBreakBefore w:val="0"/>
        <w:widowControl w:val="0"/>
        <w:kinsoku/>
        <w:wordWrap/>
        <w:overflowPunct/>
        <w:topLinePunct w:val="0"/>
        <w:autoSpaceDE/>
        <w:autoSpaceDN/>
        <w:bidi w:val="0"/>
        <w:spacing w:line="560" w:lineRule="exact"/>
        <w:ind w:firstLine="562" w:firstLineChars="200"/>
        <w:textAlignment w:val="auto"/>
      </w:pPr>
    </w:p>
    <w:p>
      <w:pPr>
        <w:pageBreakBefore w:val="0"/>
        <w:widowControl w:val="0"/>
        <w:kinsoku/>
        <w:wordWrap/>
        <w:overflowPunct/>
        <w:topLinePunct w:val="0"/>
        <w:autoSpaceDE/>
        <w:autoSpaceDN/>
        <w:bidi w:val="0"/>
        <w:spacing w:line="560" w:lineRule="exact"/>
        <w:ind w:firstLine="420" w:firstLineChars="200"/>
        <w:textAlignment w:val="auto"/>
      </w:pP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1</w:t>
      </w:r>
      <w:r>
        <w:rPr>
          <w:rFonts w:hint="eastAsia" w:ascii="仿宋_GB2312" w:hAnsi="仿宋" w:eastAsia="仿宋_GB2312" w:cs="宋体"/>
          <w:sz w:val="32"/>
          <w:szCs w:val="32"/>
        </w:rPr>
        <w:t>：喀什地区叶城县吐古其乡安居富民房建设项目支出绩效目标申报表</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2</w:t>
      </w:r>
      <w:r>
        <w:rPr>
          <w:rFonts w:hint="eastAsia" w:ascii="仿宋_GB2312" w:hAnsi="仿宋" w:eastAsia="仿宋_GB2312" w:cs="宋体"/>
          <w:sz w:val="32"/>
          <w:szCs w:val="32"/>
        </w:rPr>
        <w:t>：喀什地区叶城县吐古其乡安居富民房建设项目支出绩效自评表</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3</w:t>
      </w:r>
      <w:r>
        <w:rPr>
          <w:rFonts w:hint="eastAsia" w:ascii="仿宋_GB2312" w:hAnsi="仿宋" w:eastAsia="仿宋_GB2312" w:cs="宋体"/>
          <w:sz w:val="32"/>
          <w:szCs w:val="32"/>
        </w:rPr>
        <w:t>：喀什地区叶城县吐古其乡安居富民房建设项目支出绩效评价指标体系</w:t>
      </w:r>
    </w:p>
    <w:p>
      <w:pPr>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850" w:h="16783"/>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Segoe Print"/>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MingLiUfalt">
    <w:altName w:val="MingLiU"/>
    <w:panose1 w:val="00000000000000000000"/>
    <w:charset w:val="88"/>
    <w:family w:val="modern"/>
    <w:pitch w:val="default"/>
    <w:sig w:usb0="00000000" w:usb1="00000000" w:usb2="00000010" w:usb3="00000000" w:csb0="0010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32666"/>
    <w:multiLevelType w:val="singleLevel"/>
    <w:tmpl w:val="CB932666"/>
    <w:lvl w:ilvl="0" w:tentative="0">
      <w:start w:val="1"/>
      <w:numFmt w:val="decimal"/>
      <w:lvlText w:val="%1."/>
      <w:lvlJc w:val="left"/>
      <w:pPr>
        <w:tabs>
          <w:tab w:val="left" w:pos="312"/>
        </w:tabs>
      </w:pPr>
      <w:rPr>
        <w:rFonts w:cs="Times New Roman"/>
      </w:rPr>
    </w:lvl>
  </w:abstractNum>
  <w:abstractNum w:abstractNumId="1">
    <w:nsid w:val="156C13FD"/>
    <w:multiLevelType w:val="multilevel"/>
    <w:tmpl w:val="156C13FD"/>
    <w:lvl w:ilvl="0" w:tentative="0">
      <w:start w:val="1"/>
      <w:numFmt w:val="decimal"/>
      <w:lvlText w:val="（%1）"/>
      <w:lvlJc w:val="left"/>
      <w:pPr>
        <w:tabs>
          <w:tab w:val="left" w:pos="1465"/>
        </w:tabs>
        <w:ind w:left="1465" w:hanging="825"/>
      </w:pPr>
      <w:rPr>
        <w:rFonts w:hint="default" w:cs="Times New Roman"/>
        <w:b/>
      </w:rPr>
    </w:lvl>
    <w:lvl w:ilvl="1" w:tentative="0">
      <w:start w:val="1"/>
      <w:numFmt w:val="lowerLetter"/>
      <w:lvlText w:val="%2)"/>
      <w:lvlJc w:val="left"/>
      <w:pPr>
        <w:tabs>
          <w:tab w:val="left" w:pos="1480"/>
        </w:tabs>
        <w:ind w:left="1480" w:hanging="420"/>
      </w:pPr>
      <w:rPr>
        <w:rFonts w:cs="Times New Roman"/>
      </w:rPr>
    </w:lvl>
    <w:lvl w:ilvl="2" w:tentative="0">
      <w:start w:val="1"/>
      <w:numFmt w:val="lowerRoman"/>
      <w:lvlText w:val="%3."/>
      <w:lvlJc w:val="right"/>
      <w:pPr>
        <w:tabs>
          <w:tab w:val="left" w:pos="1900"/>
        </w:tabs>
        <w:ind w:left="1900" w:hanging="420"/>
      </w:pPr>
      <w:rPr>
        <w:rFonts w:cs="Times New Roman"/>
      </w:rPr>
    </w:lvl>
    <w:lvl w:ilvl="3" w:tentative="0">
      <w:start w:val="1"/>
      <w:numFmt w:val="decimal"/>
      <w:lvlText w:val="%4."/>
      <w:lvlJc w:val="left"/>
      <w:pPr>
        <w:tabs>
          <w:tab w:val="left" w:pos="2320"/>
        </w:tabs>
        <w:ind w:left="2320" w:hanging="420"/>
      </w:pPr>
      <w:rPr>
        <w:rFonts w:cs="Times New Roman"/>
      </w:rPr>
    </w:lvl>
    <w:lvl w:ilvl="4" w:tentative="0">
      <w:start w:val="1"/>
      <w:numFmt w:val="lowerLetter"/>
      <w:lvlText w:val="%5)"/>
      <w:lvlJc w:val="left"/>
      <w:pPr>
        <w:tabs>
          <w:tab w:val="left" w:pos="2740"/>
        </w:tabs>
        <w:ind w:left="2740" w:hanging="420"/>
      </w:pPr>
      <w:rPr>
        <w:rFonts w:cs="Times New Roman"/>
      </w:rPr>
    </w:lvl>
    <w:lvl w:ilvl="5" w:tentative="0">
      <w:start w:val="1"/>
      <w:numFmt w:val="lowerRoman"/>
      <w:lvlText w:val="%6."/>
      <w:lvlJc w:val="right"/>
      <w:pPr>
        <w:tabs>
          <w:tab w:val="left" w:pos="3160"/>
        </w:tabs>
        <w:ind w:left="3160" w:hanging="420"/>
      </w:pPr>
      <w:rPr>
        <w:rFonts w:cs="Times New Roman"/>
      </w:rPr>
    </w:lvl>
    <w:lvl w:ilvl="6" w:tentative="0">
      <w:start w:val="1"/>
      <w:numFmt w:val="decimal"/>
      <w:lvlText w:val="%7."/>
      <w:lvlJc w:val="left"/>
      <w:pPr>
        <w:tabs>
          <w:tab w:val="left" w:pos="3580"/>
        </w:tabs>
        <w:ind w:left="3580" w:hanging="420"/>
      </w:pPr>
      <w:rPr>
        <w:rFonts w:cs="Times New Roman"/>
      </w:rPr>
    </w:lvl>
    <w:lvl w:ilvl="7" w:tentative="0">
      <w:start w:val="1"/>
      <w:numFmt w:val="lowerLetter"/>
      <w:lvlText w:val="%8)"/>
      <w:lvlJc w:val="left"/>
      <w:pPr>
        <w:tabs>
          <w:tab w:val="left" w:pos="4000"/>
        </w:tabs>
        <w:ind w:left="4000" w:hanging="420"/>
      </w:pPr>
      <w:rPr>
        <w:rFonts w:cs="Times New Roman"/>
      </w:rPr>
    </w:lvl>
    <w:lvl w:ilvl="8" w:tentative="0">
      <w:start w:val="1"/>
      <w:numFmt w:val="lowerRoman"/>
      <w:lvlText w:val="%9."/>
      <w:lvlJc w:val="right"/>
      <w:pPr>
        <w:tabs>
          <w:tab w:val="left" w:pos="4420"/>
        </w:tabs>
        <w:ind w:left="4420" w:hanging="420"/>
      </w:pPr>
      <w:rPr>
        <w:rFonts w:cs="Times New Roman"/>
      </w:rPr>
    </w:lvl>
  </w:abstractNum>
  <w:abstractNum w:abstractNumId="2">
    <w:nsid w:val="316D4D14"/>
    <w:multiLevelType w:val="multilevel"/>
    <w:tmpl w:val="316D4D14"/>
    <w:lvl w:ilvl="0" w:tentative="0">
      <w:start w:val="1"/>
      <w:numFmt w:val="decimal"/>
      <w:lvlText w:val="%1."/>
      <w:lvlJc w:val="left"/>
      <w:pPr>
        <w:ind w:left="988" w:hanging="420"/>
      </w:pPr>
      <w:rPr>
        <w:rFonts w:cs="Times New Roman"/>
      </w:rPr>
    </w:lvl>
    <w:lvl w:ilvl="1" w:tentative="0">
      <w:start w:val="1"/>
      <w:numFmt w:val="decimal"/>
      <w:lvlText w:val="%2."/>
      <w:lvlJc w:val="left"/>
      <w:pPr>
        <w:ind w:left="1408" w:hanging="420"/>
      </w:pPr>
      <w:rPr>
        <w:rFonts w:cs="Times New Roman"/>
      </w:rPr>
    </w:lvl>
    <w:lvl w:ilvl="2" w:tentative="0">
      <w:start w:val="1"/>
      <w:numFmt w:val="lowerRoman"/>
      <w:lvlText w:val="%3."/>
      <w:lvlJc w:val="right"/>
      <w:pPr>
        <w:ind w:left="1828" w:hanging="420"/>
      </w:pPr>
      <w:rPr>
        <w:rFonts w:cs="Times New Roman"/>
      </w:rPr>
    </w:lvl>
    <w:lvl w:ilvl="3" w:tentative="0">
      <w:start w:val="1"/>
      <w:numFmt w:val="decimal"/>
      <w:lvlText w:val="%4."/>
      <w:lvlJc w:val="left"/>
      <w:pPr>
        <w:ind w:left="2248" w:hanging="420"/>
      </w:pPr>
      <w:rPr>
        <w:rFonts w:cs="Times New Roman"/>
      </w:rPr>
    </w:lvl>
    <w:lvl w:ilvl="4" w:tentative="0">
      <w:start w:val="1"/>
      <w:numFmt w:val="lowerLetter"/>
      <w:lvlText w:val="%5)"/>
      <w:lvlJc w:val="left"/>
      <w:pPr>
        <w:ind w:left="2668" w:hanging="420"/>
      </w:pPr>
      <w:rPr>
        <w:rFonts w:cs="Times New Roman"/>
      </w:rPr>
    </w:lvl>
    <w:lvl w:ilvl="5" w:tentative="0">
      <w:start w:val="1"/>
      <w:numFmt w:val="lowerRoman"/>
      <w:lvlText w:val="%6."/>
      <w:lvlJc w:val="right"/>
      <w:pPr>
        <w:ind w:left="3088" w:hanging="420"/>
      </w:pPr>
      <w:rPr>
        <w:rFonts w:cs="Times New Roman"/>
      </w:rPr>
    </w:lvl>
    <w:lvl w:ilvl="6" w:tentative="0">
      <w:start w:val="1"/>
      <w:numFmt w:val="decimal"/>
      <w:lvlText w:val="%7."/>
      <w:lvlJc w:val="left"/>
      <w:pPr>
        <w:ind w:left="3508" w:hanging="420"/>
      </w:pPr>
      <w:rPr>
        <w:rFonts w:cs="Times New Roman"/>
      </w:rPr>
    </w:lvl>
    <w:lvl w:ilvl="7" w:tentative="0">
      <w:start w:val="1"/>
      <w:numFmt w:val="lowerLetter"/>
      <w:lvlText w:val="%8)"/>
      <w:lvlJc w:val="left"/>
      <w:pPr>
        <w:ind w:left="3928" w:hanging="420"/>
      </w:pPr>
      <w:rPr>
        <w:rFonts w:cs="Times New Roman"/>
      </w:rPr>
    </w:lvl>
    <w:lvl w:ilvl="8" w:tentative="0">
      <w:start w:val="1"/>
      <w:numFmt w:val="lowerRoman"/>
      <w:lvlText w:val="%9."/>
      <w:lvlJc w:val="right"/>
      <w:pPr>
        <w:ind w:left="4348" w:hanging="420"/>
      </w:pPr>
      <w:rPr>
        <w:rFonts w:cs="Times New Roman"/>
      </w:rPr>
    </w:lvl>
  </w:abstractNum>
  <w:abstractNum w:abstractNumId="3">
    <w:nsid w:val="3A7260C0"/>
    <w:multiLevelType w:val="multilevel"/>
    <w:tmpl w:val="3A7260C0"/>
    <w:lvl w:ilvl="0" w:tentative="0">
      <w:start w:val="1"/>
      <w:numFmt w:val="chineseCountingThousand"/>
      <w:pStyle w:val="27"/>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cs="Times New Roman"/>
      </w:rPr>
    </w:lvl>
    <w:lvl w:ilvl="1" w:tentative="0">
      <w:start w:val="1"/>
      <w:numFmt w:val="japaneseCounting"/>
      <w:lvlText w:val="（%2）"/>
      <w:lvlJc w:val="left"/>
      <w:pPr>
        <w:ind w:left="1500" w:hanging="108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54451D54"/>
    <w:multiLevelType w:val="multilevel"/>
    <w:tmpl w:val="54451D54"/>
    <w:lvl w:ilvl="0" w:tentative="0">
      <w:start w:val="1"/>
      <w:numFmt w:val="decimal"/>
      <w:lvlText w:val="%1．"/>
      <w:lvlJc w:val="left"/>
      <w:pPr>
        <w:ind w:left="1065" w:hanging="420"/>
      </w:pPr>
      <w:rPr>
        <w:rFonts w:hint="eastAsia" w:cs="Times New Roman"/>
      </w:rPr>
    </w:lvl>
    <w:lvl w:ilvl="1" w:tentative="0">
      <w:start w:val="1"/>
      <w:numFmt w:val="lowerLetter"/>
      <w:lvlText w:val="%2)"/>
      <w:lvlJc w:val="left"/>
      <w:pPr>
        <w:ind w:left="1485" w:hanging="420"/>
      </w:pPr>
      <w:rPr>
        <w:rFonts w:cs="Times New Roman"/>
      </w:rPr>
    </w:lvl>
    <w:lvl w:ilvl="2" w:tentative="0">
      <w:start w:val="1"/>
      <w:numFmt w:val="lowerRoman"/>
      <w:lvlText w:val="%3."/>
      <w:lvlJc w:val="right"/>
      <w:pPr>
        <w:ind w:left="1905" w:hanging="420"/>
      </w:pPr>
      <w:rPr>
        <w:rFonts w:cs="Times New Roman"/>
      </w:rPr>
    </w:lvl>
    <w:lvl w:ilvl="3" w:tentative="0">
      <w:start w:val="1"/>
      <w:numFmt w:val="decimal"/>
      <w:lvlText w:val="%4."/>
      <w:lvlJc w:val="left"/>
      <w:pPr>
        <w:ind w:left="2325" w:hanging="420"/>
      </w:pPr>
      <w:rPr>
        <w:rFonts w:cs="Times New Roman"/>
      </w:rPr>
    </w:lvl>
    <w:lvl w:ilvl="4" w:tentative="0">
      <w:start w:val="1"/>
      <w:numFmt w:val="lowerLetter"/>
      <w:lvlText w:val="%5)"/>
      <w:lvlJc w:val="left"/>
      <w:pPr>
        <w:ind w:left="2745" w:hanging="420"/>
      </w:pPr>
      <w:rPr>
        <w:rFonts w:cs="Times New Roman"/>
      </w:rPr>
    </w:lvl>
    <w:lvl w:ilvl="5" w:tentative="0">
      <w:start w:val="1"/>
      <w:numFmt w:val="lowerRoman"/>
      <w:lvlText w:val="%6."/>
      <w:lvlJc w:val="right"/>
      <w:pPr>
        <w:ind w:left="3165" w:hanging="420"/>
      </w:pPr>
      <w:rPr>
        <w:rFonts w:cs="Times New Roman"/>
      </w:rPr>
    </w:lvl>
    <w:lvl w:ilvl="6" w:tentative="0">
      <w:start w:val="1"/>
      <w:numFmt w:val="decimal"/>
      <w:lvlText w:val="%7."/>
      <w:lvlJc w:val="left"/>
      <w:pPr>
        <w:ind w:left="3585" w:hanging="420"/>
      </w:pPr>
      <w:rPr>
        <w:rFonts w:cs="Times New Roman"/>
      </w:rPr>
    </w:lvl>
    <w:lvl w:ilvl="7" w:tentative="0">
      <w:start w:val="1"/>
      <w:numFmt w:val="lowerLetter"/>
      <w:lvlText w:val="%8)"/>
      <w:lvlJc w:val="left"/>
      <w:pPr>
        <w:ind w:left="4005" w:hanging="420"/>
      </w:pPr>
      <w:rPr>
        <w:rFonts w:cs="Times New Roman"/>
      </w:rPr>
    </w:lvl>
    <w:lvl w:ilvl="8" w:tentative="0">
      <w:start w:val="1"/>
      <w:numFmt w:val="lowerRoman"/>
      <w:lvlText w:val="%9."/>
      <w:lvlJc w:val="right"/>
      <w:pPr>
        <w:ind w:left="4425" w:hanging="420"/>
      </w:pPr>
      <w:rPr>
        <w:rFonts w:cs="Times New Roman"/>
      </w:r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cs="Times New Roman"/>
      </w:rPr>
    </w:lvl>
    <w:lvl w:ilvl="1" w:tentative="0">
      <w:start w:val="1"/>
      <w:numFmt w:val="lowerLetter"/>
      <w:lvlText w:val="%2)"/>
      <w:lvlJc w:val="left"/>
      <w:pPr>
        <w:ind w:left="1483" w:hanging="420"/>
      </w:pPr>
      <w:rPr>
        <w:rFonts w:cs="Times New Roman"/>
      </w:rPr>
    </w:lvl>
    <w:lvl w:ilvl="2" w:tentative="0">
      <w:start w:val="1"/>
      <w:numFmt w:val="lowerRoman"/>
      <w:lvlText w:val="%3."/>
      <w:lvlJc w:val="right"/>
      <w:pPr>
        <w:ind w:left="1903" w:hanging="420"/>
      </w:pPr>
      <w:rPr>
        <w:rFonts w:cs="Times New Roman"/>
      </w:rPr>
    </w:lvl>
    <w:lvl w:ilvl="3" w:tentative="0">
      <w:start w:val="1"/>
      <w:numFmt w:val="decimal"/>
      <w:lvlText w:val="%4."/>
      <w:lvlJc w:val="left"/>
      <w:pPr>
        <w:ind w:left="2323" w:hanging="420"/>
      </w:pPr>
      <w:rPr>
        <w:rFonts w:cs="Times New Roman"/>
      </w:rPr>
    </w:lvl>
    <w:lvl w:ilvl="4" w:tentative="0">
      <w:start w:val="1"/>
      <w:numFmt w:val="lowerLetter"/>
      <w:lvlText w:val="%5)"/>
      <w:lvlJc w:val="left"/>
      <w:pPr>
        <w:ind w:left="2743" w:hanging="420"/>
      </w:pPr>
      <w:rPr>
        <w:rFonts w:cs="Times New Roman"/>
      </w:rPr>
    </w:lvl>
    <w:lvl w:ilvl="5" w:tentative="0">
      <w:start w:val="1"/>
      <w:numFmt w:val="lowerRoman"/>
      <w:lvlText w:val="%6."/>
      <w:lvlJc w:val="right"/>
      <w:pPr>
        <w:ind w:left="3163" w:hanging="420"/>
      </w:pPr>
      <w:rPr>
        <w:rFonts w:cs="Times New Roman"/>
      </w:rPr>
    </w:lvl>
    <w:lvl w:ilvl="6" w:tentative="0">
      <w:start w:val="1"/>
      <w:numFmt w:val="decimal"/>
      <w:lvlText w:val="%7."/>
      <w:lvlJc w:val="left"/>
      <w:pPr>
        <w:ind w:left="3583" w:hanging="420"/>
      </w:pPr>
      <w:rPr>
        <w:rFonts w:cs="Times New Roman"/>
      </w:rPr>
    </w:lvl>
    <w:lvl w:ilvl="7" w:tentative="0">
      <w:start w:val="1"/>
      <w:numFmt w:val="lowerLetter"/>
      <w:lvlText w:val="%8)"/>
      <w:lvlJc w:val="left"/>
      <w:pPr>
        <w:ind w:left="4003" w:hanging="420"/>
      </w:pPr>
      <w:rPr>
        <w:rFonts w:cs="Times New Roman"/>
      </w:rPr>
    </w:lvl>
    <w:lvl w:ilvl="8" w:tentative="0">
      <w:start w:val="1"/>
      <w:numFmt w:val="lowerRoman"/>
      <w:lvlText w:val="%9."/>
      <w:lvlJc w:val="right"/>
      <w:pPr>
        <w:ind w:left="4423" w:hanging="420"/>
      </w:pPr>
      <w:rPr>
        <w:rFonts w:cs="Times New Roman"/>
      </w:rPr>
    </w:lvl>
  </w:abstractNum>
  <w:num w:numId="1">
    <w:abstractNumId w:val="3"/>
  </w:num>
  <w:num w:numId="2">
    <w:abstractNumId w:val="7"/>
  </w:num>
  <w:num w:numId="3">
    <w:abstractNumId w:val="5"/>
  </w:num>
  <w:num w:numId="4">
    <w:abstractNumId w:val="4"/>
  </w:num>
  <w:num w:numId="5">
    <w:abstractNumId w:val="0"/>
  </w:num>
  <w:num w:numId="6">
    <w:abstractNumId w:val="2"/>
  </w:num>
  <w:num w:numId="7">
    <w:abstractNumId w:val="6"/>
  </w:num>
  <w:num w:numId="8">
    <w:abstractNumId w:val="1"/>
  </w:num>
  <w:num w:numId="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715"/>
    <w:rsid w:val="00022413"/>
    <w:rsid w:val="00037F93"/>
    <w:rsid w:val="00042126"/>
    <w:rsid w:val="000C22CF"/>
    <w:rsid w:val="000E0C7B"/>
    <w:rsid w:val="000F2007"/>
    <w:rsid w:val="00100A64"/>
    <w:rsid w:val="00100AA9"/>
    <w:rsid w:val="001052F3"/>
    <w:rsid w:val="001143D6"/>
    <w:rsid w:val="0011587E"/>
    <w:rsid w:val="0012798F"/>
    <w:rsid w:val="00132553"/>
    <w:rsid w:val="00135768"/>
    <w:rsid w:val="00151AF1"/>
    <w:rsid w:val="00174F3A"/>
    <w:rsid w:val="0018169D"/>
    <w:rsid w:val="00193649"/>
    <w:rsid w:val="0019720C"/>
    <w:rsid w:val="001A1902"/>
    <w:rsid w:val="001A4FFA"/>
    <w:rsid w:val="001B5B44"/>
    <w:rsid w:val="001D24B9"/>
    <w:rsid w:val="001D5FF2"/>
    <w:rsid w:val="001D6F2E"/>
    <w:rsid w:val="00203FB6"/>
    <w:rsid w:val="00233ECE"/>
    <w:rsid w:val="002A1BF4"/>
    <w:rsid w:val="002B3A72"/>
    <w:rsid w:val="002C6231"/>
    <w:rsid w:val="002F7CDC"/>
    <w:rsid w:val="00324E56"/>
    <w:rsid w:val="00331AF1"/>
    <w:rsid w:val="00341A73"/>
    <w:rsid w:val="003468D7"/>
    <w:rsid w:val="00363E52"/>
    <w:rsid w:val="00373DC7"/>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7036F"/>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4089A"/>
    <w:rsid w:val="0065420A"/>
    <w:rsid w:val="006869EC"/>
    <w:rsid w:val="00694A44"/>
    <w:rsid w:val="006D0AA4"/>
    <w:rsid w:val="006F2513"/>
    <w:rsid w:val="006F64CB"/>
    <w:rsid w:val="0071759F"/>
    <w:rsid w:val="007253B3"/>
    <w:rsid w:val="00731D46"/>
    <w:rsid w:val="00734BAD"/>
    <w:rsid w:val="00752C57"/>
    <w:rsid w:val="007776FC"/>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64382"/>
    <w:rsid w:val="00A81609"/>
    <w:rsid w:val="00A85237"/>
    <w:rsid w:val="00AA707B"/>
    <w:rsid w:val="00AB07C5"/>
    <w:rsid w:val="00AE1FDF"/>
    <w:rsid w:val="00AE3042"/>
    <w:rsid w:val="00B03B29"/>
    <w:rsid w:val="00B16C8F"/>
    <w:rsid w:val="00B32FA4"/>
    <w:rsid w:val="00B36F46"/>
    <w:rsid w:val="00B47B13"/>
    <w:rsid w:val="00B53BE4"/>
    <w:rsid w:val="00B5641D"/>
    <w:rsid w:val="00B6063F"/>
    <w:rsid w:val="00B9042A"/>
    <w:rsid w:val="00BA0855"/>
    <w:rsid w:val="00BA65AD"/>
    <w:rsid w:val="00BC7696"/>
    <w:rsid w:val="00C2671D"/>
    <w:rsid w:val="00C563AA"/>
    <w:rsid w:val="00C71FF0"/>
    <w:rsid w:val="00C77259"/>
    <w:rsid w:val="00C97E2D"/>
    <w:rsid w:val="00D043D7"/>
    <w:rsid w:val="00D117FB"/>
    <w:rsid w:val="00D23C2E"/>
    <w:rsid w:val="00D56260"/>
    <w:rsid w:val="00D61EC8"/>
    <w:rsid w:val="00D93516"/>
    <w:rsid w:val="00DA7F4C"/>
    <w:rsid w:val="00DC5F94"/>
    <w:rsid w:val="00DE152F"/>
    <w:rsid w:val="00DE293B"/>
    <w:rsid w:val="00E002F1"/>
    <w:rsid w:val="00E04FC2"/>
    <w:rsid w:val="00E05626"/>
    <w:rsid w:val="00E25B2F"/>
    <w:rsid w:val="00E373A5"/>
    <w:rsid w:val="00E66A4D"/>
    <w:rsid w:val="00E72B1C"/>
    <w:rsid w:val="00E96169"/>
    <w:rsid w:val="00F0780F"/>
    <w:rsid w:val="00F16D54"/>
    <w:rsid w:val="00F4383A"/>
    <w:rsid w:val="00F6015C"/>
    <w:rsid w:val="00F75715"/>
    <w:rsid w:val="00FB2E2F"/>
    <w:rsid w:val="00FD300A"/>
    <w:rsid w:val="00FF137F"/>
    <w:rsid w:val="00FF6959"/>
    <w:rsid w:val="00FF6C14"/>
    <w:rsid w:val="01B67B05"/>
    <w:rsid w:val="01BE6316"/>
    <w:rsid w:val="04E75FA9"/>
    <w:rsid w:val="05B810CD"/>
    <w:rsid w:val="06495F4D"/>
    <w:rsid w:val="07AE4845"/>
    <w:rsid w:val="0C3A1A9F"/>
    <w:rsid w:val="0DCC4E21"/>
    <w:rsid w:val="10E33618"/>
    <w:rsid w:val="148755A7"/>
    <w:rsid w:val="175A622A"/>
    <w:rsid w:val="194867BA"/>
    <w:rsid w:val="19C35025"/>
    <w:rsid w:val="1A6213E4"/>
    <w:rsid w:val="217F35A7"/>
    <w:rsid w:val="224E6D62"/>
    <w:rsid w:val="22CB173F"/>
    <w:rsid w:val="24E73B1F"/>
    <w:rsid w:val="26F03C06"/>
    <w:rsid w:val="28894D47"/>
    <w:rsid w:val="2A2B4946"/>
    <w:rsid w:val="2A547683"/>
    <w:rsid w:val="2CE67478"/>
    <w:rsid w:val="2EAC0562"/>
    <w:rsid w:val="2FE50CFA"/>
    <w:rsid w:val="2FFC53BE"/>
    <w:rsid w:val="306A4501"/>
    <w:rsid w:val="31C366C0"/>
    <w:rsid w:val="32B87B8D"/>
    <w:rsid w:val="33CA34B6"/>
    <w:rsid w:val="353A4057"/>
    <w:rsid w:val="36B53486"/>
    <w:rsid w:val="37830C44"/>
    <w:rsid w:val="3BC01B4C"/>
    <w:rsid w:val="3C42375F"/>
    <w:rsid w:val="3CE17612"/>
    <w:rsid w:val="3D0F3399"/>
    <w:rsid w:val="402C0729"/>
    <w:rsid w:val="46973581"/>
    <w:rsid w:val="46C16BC4"/>
    <w:rsid w:val="4A2C3792"/>
    <w:rsid w:val="4C605159"/>
    <w:rsid w:val="4F737FCC"/>
    <w:rsid w:val="509F44DE"/>
    <w:rsid w:val="519E61ED"/>
    <w:rsid w:val="539F19FC"/>
    <w:rsid w:val="53E962F1"/>
    <w:rsid w:val="555C1BCB"/>
    <w:rsid w:val="5578055F"/>
    <w:rsid w:val="55945462"/>
    <w:rsid w:val="57964064"/>
    <w:rsid w:val="5A781A20"/>
    <w:rsid w:val="5AA6723A"/>
    <w:rsid w:val="5B3304F9"/>
    <w:rsid w:val="5B661A4A"/>
    <w:rsid w:val="5E116FC2"/>
    <w:rsid w:val="5F67211F"/>
    <w:rsid w:val="5FB67219"/>
    <w:rsid w:val="60755136"/>
    <w:rsid w:val="61950E34"/>
    <w:rsid w:val="667765BF"/>
    <w:rsid w:val="66790CA4"/>
    <w:rsid w:val="66AE31DB"/>
    <w:rsid w:val="66B3006E"/>
    <w:rsid w:val="66E767AC"/>
    <w:rsid w:val="68AC0EA3"/>
    <w:rsid w:val="6D5B5C99"/>
    <w:rsid w:val="6FFC755D"/>
    <w:rsid w:val="701C13E6"/>
    <w:rsid w:val="742F73C4"/>
    <w:rsid w:val="761B5E49"/>
    <w:rsid w:val="77305D5C"/>
    <w:rsid w:val="7775238E"/>
    <w:rsid w:val="794B61F2"/>
    <w:rsid w:val="7A8638D9"/>
    <w:rsid w:val="7D473F8A"/>
    <w:rsid w:val="7EE4114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1"/>
      <w:lang w:val="en-US" w:eastAsia="zh-CN" w:bidi="ar-SA"/>
    </w:rPr>
  </w:style>
  <w:style w:type="paragraph" w:styleId="2">
    <w:name w:val="heading 1"/>
    <w:basedOn w:val="1"/>
    <w:next w:val="1"/>
    <w:link w:val="18"/>
    <w:qFormat/>
    <w:uiPriority w:val="9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19"/>
    <w:qFormat/>
    <w:uiPriority w:val="99"/>
    <w:pPr>
      <w:keepNext/>
      <w:keepLines/>
      <w:spacing w:before="260" w:after="260" w:line="416" w:lineRule="auto"/>
      <w:outlineLvl w:val="1"/>
    </w:pPr>
    <w:rPr>
      <w:rFonts w:ascii="?? Light" w:hAnsi="?? Light"/>
      <w:b/>
      <w:bCs/>
      <w:sz w:val="32"/>
      <w:szCs w:val="32"/>
    </w:rPr>
  </w:style>
  <w:style w:type="paragraph" w:styleId="4">
    <w:name w:val="heading 3"/>
    <w:basedOn w:val="1"/>
    <w:next w:val="1"/>
    <w:link w:val="20"/>
    <w:qFormat/>
    <w:uiPriority w:val="99"/>
    <w:pPr>
      <w:keepNext/>
      <w:keepLines/>
      <w:spacing w:before="260" w:after="260" w:line="416" w:lineRule="auto"/>
      <w:outlineLvl w:val="2"/>
    </w:pPr>
    <w:rPr>
      <w:b/>
      <w:bCs/>
      <w:sz w:val="32"/>
      <w:szCs w:val="32"/>
    </w:rPr>
  </w:style>
  <w:style w:type="character" w:default="1" w:styleId="15">
    <w:name w:val="Default Paragraph Font"/>
    <w:semiHidden/>
    <w:qFormat/>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semiHidden/>
    <w:qFormat/>
    <w:uiPriority w:val="99"/>
    <w:pPr>
      <w:jc w:val="left"/>
    </w:pPr>
  </w:style>
  <w:style w:type="paragraph" w:styleId="6">
    <w:name w:val="toc 3"/>
    <w:basedOn w:val="1"/>
    <w:next w:val="1"/>
    <w:semiHidden/>
    <w:qFormat/>
    <w:uiPriority w:val="99"/>
    <w:rPr>
      <w:rFonts w:eastAsia="仿宋_GB2312"/>
      <w:sz w:val="28"/>
    </w:rPr>
  </w:style>
  <w:style w:type="paragraph" w:styleId="7">
    <w:name w:val="Balloon Text"/>
    <w:basedOn w:val="1"/>
    <w:link w:val="22"/>
    <w:semiHidden/>
    <w:qFormat/>
    <w:uiPriority w:val="99"/>
    <w:rPr>
      <w:sz w:val="18"/>
      <w:szCs w:val="1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99"/>
    <w:rPr>
      <w:rFonts w:eastAsia="仿宋_GB2312"/>
      <w:sz w:val="28"/>
    </w:rPr>
  </w:style>
  <w:style w:type="paragraph" w:styleId="11">
    <w:name w:val="toc 2"/>
    <w:basedOn w:val="1"/>
    <w:next w:val="1"/>
    <w:qFormat/>
    <w:uiPriority w:val="99"/>
    <w:rPr>
      <w:rFonts w:eastAsia="仿宋_GB2312"/>
      <w:sz w:val="28"/>
    </w:r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4">
    <w:name w:val="Table Grid"/>
    <w:basedOn w:val="13"/>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99"/>
    <w:rPr>
      <w:rFonts w:cs="Times New Roman"/>
      <w:b/>
      <w:bCs/>
    </w:rPr>
  </w:style>
  <w:style w:type="character" w:styleId="17">
    <w:name w:val="Hyperlink"/>
    <w:basedOn w:val="15"/>
    <w:qFormat/>
    <w:uiPriority w:val="99"/>
    <w:rPr>
      <w:rFonts w:cs="Times New Roman"/>
      <w:color w:val="0563C1"/>
      <w:u w:val="single"/>
    </w:rPr>
  </w:style>
  <w:style w:type="character" w:customStyle="1" w:styleId="18">
    <w:name w:val="Heading 1 Char"/>
    <w:basedOn w:val="15"/>
    <w:link w:val="2"/>
    <w:qFormat/>
    <w:locked/>
    <w:uiPriority w:val="99"/>
    <w:rPr>
      <w:rFonts w:ascii="Times New Roman" w:hAnsi="Times New Roman" w:eastAsia="黑体" w:cs="Arial"/>
      <w:b/>
      <w:bCs/>
      <w:kern w:val="44"/>
      <w:sz w:val="44"/>
      <w:szCs w:val="44"/>
    </w:rPr>
  </w:style>
  <w:style w:type="character" w:customStyle="1" w:styleId="19">
    <w:name w:val="Heading 2 Char"/>
    <w:basedOn w:val="15"/>
    <w:link w:val="3"/>
    <w:qFormat/>
    <w:locked/>
    <w:uiPriority w:val="99"/>
    <w:rPr>
      <w:rFonts w:ascii="?? Light" w:hAnsi="?? Light" w:cs="Times New Roman"/>
      <w:b/>
      <w:bCs/>
      <w:sz w:val="32"/>
      <w:szCs w:val="32"/>
    </w:rPr>
  </w:style>
  <w:style w:type="character" w:customStyle="1" w:styleId="20">
    <w:name w:val="Heading 3 Char"/>
    <w:basedOn w:val="15"/>
    <w:link w:val="4"/>
    <w:semiHidden/>
    <w:qFormat/>
    <w:locked/>
    <w:uiPriority w:val="99"/>
    <w:rPr>
      <w:rFonts w:cs="Times New Roman"/>
      <w:b/>
      <w:bCs/>
      <w:sz w:val="32"/>
      <w:szCs w:val="32"/>
    </w:rPr>
  </w:style>
  <w:style w:type="character" w:customStyle="1" w:styleId="21">
    <w:name w:val="Comment Text Char"/>
    <w:basedOn w:val="15"/>
    <w:link w:val="5"/>
    <w:semiHidden/>
    <w:qFormat/>
    <w:locked/>
    <w:uiPriority w:val="99"/>
    <w:rPr>
      <w:rFonts w:cs="Times New Roman"/>
      <w:sz w:val="21"/>
      <w:szCs w:val="21"/>
    </w:rPr>
  </w:style>
  <w:style w:type="character" w:customStyle="1" w:styleId="22">
    <w:name w:val="Balloon Text Char"/>
    <w:basedOn w:val="15"/>
    <w:link w:val="7"/>
    <w:semiHidden/>
    <w:qFormat/>
    <w:locked/>
    <w:uiPriority w:val="99"/>
    <w:rPr>
      <w:rFonts w:cs="Times New Roman"/>
      <w:sz w:val="18"/>
      <w:szCs w:val="18"/>
    </w:rPr>
  </w:style>
  <w:style w:type="character" w:customStyle="1" w:styleId="23">
    <w:name w:val="Footer Char"/>
    <w:basedOn w:val="15"/>
    <w:link w:val="8"/>
    <w:qFormat/>
    <w:locked/>
    <w:uiPriority w:val="99"/>
    <w:rPr>
      <w:rFonts w:cs="Times New Roman"/>
      <w:sz w:val="18"/>
      <w:szCs w:val="18"/>
    </w:rPr>
  </w:style>
  <w:style w:type="character" w:customStyle="1" w:styleId="24">
    <w:name w:val="Header Char"/>
    <w:basedOn w:val="15"/>
    <w:link w:val="9"/>
    <w:qFormat/>
    <w:locked/>
    <w:uiPriority w:val="99"/>
    <w:rPr>
      <w:rFonts w:cs="Times New Roman"/>
      <w:sz w:val="18"/>
      <w:szCs w:val="18"/>
    </w:rPr>
  </w:style>
  <w:style w:type="paragraph" w:styleId="25">
    <w:name w:val="List Paragraph"/>
    <w:basedOn w:val="1"/>
    <w:qFormat/>
    <w:uiPriority w:val="99"/>
    <w:pPr>
      <w:ind w:firstLine="420" w:firstLineChars="200"/>
    </w:pPr>
  </w:style>
  <w:style w:type="paragraph" w:customStyle="1" w:styleId="26">
    <w:name w:val="标题1"/>
    <w:basedOn w:val="2"/>
    <w:qFormat/>
    <w:uiPriority w:val="99"/>
    <w:pPr>
      <w:spacing w:before="120" w:after="120" w:line="500" w:lineRule="exact"/>
      <w:ind w:firstLine="200" w:firstLineChars="200"/>
    </w:pPr>
    <w:rPr>
      <w:rFonts w:cs="Times New Roman"/>
      <w:sz w:val="32"/>
      <w:szCs w:val="32"/>
    </w:rPr>
  </w:style>
  <w:style w:type="paragraph" w:customStyle="1" w:styleId="27">
    <w:name w:val="标题2"/>
    <w:basedOn w:val="3"/>
    <w:qFormat/>
    <w:uiPriority w:val="99"/>
    <w:pPr>
      <w:numPr>
        <w:ilvl w:val="0"/>
        <w:numId w:val="1"/>
      </w:numPr>
      <w:spacing w:before="120" w:after="120" w:line="500" w:lineRule="exact"/>
    </w:pPr>
    <w:rPr>
      <w:rFonts w:ascii="仿宋_GB2312" w:eastAsia="仿宋_GB2312"/>
    </w:rPr>
  </w:style>
  <w:style w:type="paragraph" w:customStyle="1" w:styleId="28">
    <w:name w:val="TOC 标题1"/>
    <w:basedOn w:val="2"/>
    <w:next w:val="1"/>
    <w:qFormat/>
    <w:uiPriority w:val="99"/>
    <w:pPr>
      <w:widowControl/>
      <w:spacing w:before="240" w:after="0" w:line="259" w:lineRule="auto"/>
      <w:jc w:val="left"/>
      <w:outlineLvl w:val="9"/>
    </w:pPr>
    <w:rPr>
      <w:rFonts w:ascii="?? Light" w:hAnsi="?? Light" w:eastAsia="宋体" w:cs="Times New Roman"/>
      <w:b w:val="0"/>
      <w:bCs w:val="0"/>
      <w:color w:val="2F5496"/>
      <w:kern w:val="0"/>
      <w:sz w:val="32"/>
      <w:szCs w:val="32"/>
    </w:rPr>
  </w:style>
  <w:style w:type="character" w:customStyle="1" w:styleId="29">
    <w:name w:val="闻政正文 Char"/>
    <w:link w:val="30"/>
    <w:qFormat/>
    <w:locked/>
    <w:uiPriority w:val="99"/>
    <w:rPr>
      <w:rFonts w:ascii="Times New Roman" w:hAnsi="Times New Roman" w:eastAsia="仿宋_GB2312"/>
      <w:sz w:val="28"/>
    </w:rPr>
  </w:style>
  <w:style w:type="paragraph" w:customStyle="1" w:styleId="30">
    <w:name w:val="闻政正文"/>
    <w:basedOn w:val="1"/>
    <w:link w:val="29"/>
    <w:qFormat/>
    <w:uiPriority w:val="99"/>
    <w:pPr>
      <w:spacing w:line="500" w:lineRule="exact"/>
      <w:ind w:firstLine="560" w:firstLineChars="200"/>
    </w:pPr>
    <w:rPr>
      <w:rFonts w:ascii="Times New Roman" w:hAnsi="Times New Roman" w:eastAsia="仿宋_GB2312"/>
      <w:kern w:val="0"/>
      <w:sz w:val="28"/>
      <w:szCs w:val="20"/>
    </w:rPr>
  </w:style>
  <w:style w:type="character" w:customStyle="1" w:styleId="31">
    <w:name w:val="闻政表 Char"/>
    <w:link w:val="32"/>
    <w:qFormat/>
    <w:locked/>
    <w:uiPriority w:val="99"/>
    <w:rPr>
      <w:rFonts w:ascii="Times New Roman" w:hAnsi="Times New Roman" w:eastAsia="仿宋_GB2312"/>
      <w:b/>
      <w:sz w:val="28"/>
    </w:rPr>
  </w:style>
  <w:style w:type="paragraph" w:customStyle="1" w:styleId="32">
    <w:name w:val="闻政表"/>
    <w:basedOn w:val="1"/>
    <w:link w:val="31"/>
    <w:qFormat/>
    <w:uiPriority w:val="99"/>
    <w:pPr>
      <w:spacing w:before="60" w:after="60"/>
      <w:jc w:val="center"/>
    </w:pPr>
    <w:rPr>
      <w:rFonts w:ascii="Times New Roman" w:hAnsi="Times New Roman" w:eastAsia="仿宋_GB2312"/>
      <w:b/>
      <w:kern w:val="0"/>
      <w:sz w:val="28"/>
      <w:szCs w:val="20"/>
    </w:rPr>
  </w:style>
  <w:style w:type="paragraph" w:customStyle="1" w:styleId="33">
    <w:name w:val="Char"/>
    <w:basedOn w:val="1"/>
    <w:qFormat/>
    <w:uiPriority w:val="99"/>
    <w:pPr>
      <w:widowControl/>
      <w:spacing w:after="160" w:line="240" w:lineRule="exact"/>
      <w:jc w:val="left"/>
    </w:pPr>
    <w:rPr>
      <w:rFonts w:ascii="Times New Roman" w:hAnsi="Times New Roman"/>
      <w:szCs w:val="22"/>
    </w:rPr>
  </w:style>
  <w:style w:type="character" w:customStyle="1" w:styleId="34">
    <w:name w:val="闻政标题3 Char"/>
    <w:link w:val="35"/>
    <w:qFormat/>
    <w:locked/>
    <w:uiPriority w:val="99"/>
    <w:rPr>
      <w:rFonts w:ascii="黑体" w:hAnsi="黑体" w:eastAsia="黑体"/>
      <w:sz w:val="32"/>
    </w:rPr>
  </w:style>
  <w:style w:type="paragraph" w:customStyle="1" w:styleId="35">
    <w:name w:val="闻政标题3"/>
    <w:basedOn w:val="4"/>
    <w:link w:val="34"/>
    <w:qFormat/>
    <w:uiPriority w:val="99"/>
    <w:pPr>
      <w:spacing w:before="120" w:after="60" w:line="500" w:lineRule="exact"/>
      <w:jc w:val="left"/>
      <w:outlineLvl w:val="0"/>
    </w:pPr>
    <w:rPr>
      <w:rFonts w:ascii="黑体" w:hAnsi="黑体" w:eastAsia="黑体"/>
      <w:b w:val="0"/>
      <w:bCs w:val="0"/>
      <w:kern w:val="0"/>
      <w:szCs w:val="20"/>
    </w:rPr>
  </w:style>
  <w:style w:type="paragraph" w:customStyle="1" w:styleId="36">
    <w:name w:val="Body text|1"/>
    <w:basedOn w:val="1"/>
    <w:link w:val="37"/>
    <w:qFormat/>
    <w:uiPriority w:val="99"/>
    <w:pPr>
      <w:spacing w:after="40" w:line="334" w:lineRule="auto"/>
    </w:pPr>
    <w:rPr>
      <w:rFonts w:ascii="MingLiUfalt" w:hAnsi="MingLiUfalt" w:eastAsia="MingLiUfalt" w:cs="MingLiUfalt"/>
      <w:sz w:val="20"/>
      <w:szCs w:val="20"/>
      <w:lang w:val="zh-TW" w:eastAsia="zh-TW"/>
    </w:rPr>
  </w:style>
  <w:style w:type="character" w:customStyle="1" w:styleId="37">
    <w:name w:val="Body text|1_"/>
    <w:basedOn w:val="15"/>
    <w:link w:val="36"/>
    <w:qFormat/>
    <w:locked/>
    <w:uiPriority w:val="99"/>
    <w:rPr>
      <w:rFonts w:ascii="MingLiUfalt" w:hAnsi="MingLiUfalt" w:eastAsia="MingLiUfalt" w:cs="MingLiUfalt"/>
      <w:sz w:val="20"/>
      <w:szCs w:val="20"/>
      <w:lang w:val="zh-TW" w:eastAsia="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15</Pages>
  <Words>975</Words>
  <Characters>5559</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2025-02-13T08:52:42Z</dcterms:modified>
  <dc:title>新疆普天鹏华商务信息咨询有限公司</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