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jc w:val="center"/>
        <w:rPr>
          <w:rFonts w:ascii="方正小标宋简体" w:eastAsia="方正小标宋简体"/>
          <w:sz w:val="44"/>
          <w:szCs w:val="44"/>
        </w:rPr>
      </w:pPr>
    </w:p>
    <w:p>
      <w:pPr>
        <w:spacing w:before="120" w:beforeLines="50"/>
        <w:jc w:val="center"/>
        <w:rPr>
          <w:rFonts w:ascii="方正小标宋简体" w:eastAsia="方正小标宋简体"/>
          <w:sz w:val="44"/>
          <w:szCs w:val="44"/>
        </w:rPr>
      </w:pPr>
    </w:p>
    <w:p>
      <w:pPr>
        <w:spacing w:before="120" w:beforeLines="50"/>
        <w:jc w:val="center"/>
        <w:rPr>
          <w:rFonts w:ascii="方正小标宋简体" w:eastAsia="方正小标宋简体"/>
          <w:sz w:val="44"/>
          <w:szCs w:val="44"/>
        </w:rPr>
      </w:pPr>
      <w:r>
        <w:rPr>
          <w:rFonts w:hint="eastAsia" w:ascii="方正小标宋简体" w:eastAsia="方正小标宋简体"/>
          <w:sz w:val="44"/>
          <w:szCs w:val="44"/>
        </w:rPr>
        <w:t>喀什地区叶城县喀格勒克镇</w:t>
      </w:r>
      <w:r>
        <w:rPr>
          <w:rFonts w:ascii="方正小标宋简体" w:eastAsia="方正小标宋简体"/>
          <w:sz w:val="44"/>
          <w:szCs w:val="44"/>
        </w:rPr>
        <w:t>2019年</w:t>
      </w:r>
      <w:r>
        <w:rPr>
          <w:rFonts w:hint="eastAsia" w:ascii="方正小标宋简体" w:eastAsia="方正小标宋简体"/>
          <w:sz w:val="44"/>
          <w:szCs w:val="44"/>
        </w:rPr>
        <w:t>社会保障</w:t>
      </w:r>
      <w:r>
        <w:rPr>
          <w:rFonts w:ascii="方正小标宋简体" w:eastAsia="方正小标宋简体"/>
          <w:sz w:val="44"/>
          <w:szCs w:val="44"/>
        </w:rPr>
        <w:t>资金</w:t>
      </w:r>
      <w:r>
        <w:rPr>
          <w:rFonts w:hint="eastAsia" w:ascii="方正小标宋简体" w:eastAsia="方正小标宋简体"/>
          <w:sz w:val="44"/>
          <w:szCs w:val="44"/>
        </w:rPr>
        <w:t>项目支出绩效评价报告</w:t>
      </w:r>
    </w:p>
    <w:p>
      <w:pPr>
        <w:spacing w:before="120" w:beforeLines="50"/>
        <w:jc w:val="center"/>
        <w:rPr>
          <w:rFonts w:ascii="方正小标宋简体" w:eastAsia="方正小标宋简体"/>
          <w:sz w:val="52"/>
          <w:szCs w:val="52"/>
        </w:rPr>
      </w:pPr>
    </w:p>
    <w:p>
      <w:pPr>
        <w:spacing w:before="120" w:beforeLines="50"/>
        <w:jc w:val="center"/>
        <w:rPr>
          <w:rFonts w:ascii="方正小标宋简体" w:eastAsia="方正小标宋简体"/>
          <w:sz w:val="52"/>
          <w:szCs w:val="52"/>
        </w:rPr>
      </w:pPr>
    </w:p>
    <w:p>
      <w:pPr>
        <w:spacing w:before="120" w:beforeLines="50"/>
        <w:jc w:val="center"/>
        <w:rPr>
          <w:rFonts w:ascii="方正小标宋简体" w:eastAsia="方正小标宋简体"/>
          <w:sz w:val="52"/>
          <w:szCs w:val="52"/>
        </w:rPr>
      </w:pPr>
    </w:p>
    <w:p>
      <w:pPr>
        <w:spacing w:before="120" w:beforeLines="50"/>
        <w:jc w:val="center"/>
        <w:rPr>
          <w:rFonts w:ascii="方正小标宋简体" w:eastAsia="方正小标宋简体"/>
          <w:sz w:val="52"/>
          <w:szCs w:val="52"/>
        </w:rPr>
      </w:pPr>
    </w:p>
    <w:p>
      <w:pPr>
        <w:spacing w:before="120" w:beforeLines="50"/>
        <w:jc w:val="center"/>
        <w:rPr>
          <w:rFonts w:ascii="方正小标宋简体" w:eastAsia="方正小标宋简体"/>
          <w:sz w:val="52"/>
          <w:szCs w:val="52"/>
        </w:rPr>
      </w:pPr>
    </w:p>
    <w:p>
      <w:pPr>
        <w:spacing w:before="120" w:beforeLines="50"/>
        <w:jc w:val="center"/>
        <w:rPr>
          <w:rFonts w:ascii="方正小标宋简体" w:eastAsia="方正小标宋简体"/>
          <w:sz w:val="52"/>
          <w:szCs w:val="52"/>
        </w:rPr>
      </w:pPr>
    </w:p>
    <w:p>
      <w:pPr>
        <w:spacing w:before="120" w:beforeLines="50"/>
        <w:jc w:val="center"/>
        <w:rPr>
          <w:rFonts w:ascii="方正小标宋简体" w:eastAsia="方正小标宋简体"/>
          <w:sz w:val="36"/>
          <w:szCs w:val="36"/>
        </w:rPr>
      </w:pP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项目名称：社会保障资金项目</w:t>
      </w:r>
    </w:p>
    <w:p>
      <w:pPr>
        <w:spacing w:line="700" w:lineRule="exact"/>
        <w:ind w:firstLine="712" w:firstLineChars="200"/>
        <w:jc w:val="left"/>
        <w:rPr>
          <w:rFonts w:ascii="仿宋_GB2312" w:hAnsi="宋体" w:eastAsia="仿宋_GB2312" w:cs="宋体"/>
          <w:kern w:val="0"/>
          <w:sz w:val="36"/>
          <w:szCs w:val="36"/>
        </w:rPr>
      </w:pPr>
      <w:r>
        <w:rPr>
          <w:rFonts w:hint="eastAsia" w:ascii="仿宋_GB2312" w:hAnsi="仿宋" w:eastAsia="仿宋_GB2312" w:cs="Times New Roman"/>
          <w:spacing w:val="-2"/>
          <w:sz w:val="36"/>
          <w:szCs w:val="36"/>
        </w:rPr>
        <w:t>实施单位：</w:t>
      </w:r>
      <w:r>
        <w:rPr>
          <w:rFonts w:hint="eastAsia" w:ascii="仿宋_GB2312" w:hAnsi="宋体" w:eastAsia="仿宋_GB2312" w:cs="宋体"/>
          <w:kern w:val="0"/>
          <w:sz w:val="36"/>
          <w:szCs w:val="36"/>
        </w:rPr>
        <w:t>叶城县喀格勒克镇人民政府</w:t>
      </w:r>
    </w:p>
    <w:p>
      <w:pPr>
        <w:spacing w:line="700" w:lineRule="exact"/>
        <w:ind w:firstLine="712" w:firstLineChars="200"/>
        <w:jc w:val="left"/>
        <w:rPr>
          <w:rFonts w:ascii="仿宋_GB2312" w:hAnsi="宋体" w:eastAsia="仿宋_GB2312" w:cs="宋体"/>
          <w:kern w:val="0"/>
          <w:sz w:val="36"/>
          <w:szCs w:val="36"/>
        </w:rPr>
      </w:pPr>
      <w:r>
        <w:rPr>
          <w:rFonts w:hint="eastAsia" w:ascii="仿宋_GB2312" w:hAnsi="仿宋" w:eastAsia="仿宋_GB2312" w:cs="Times New Roman"/>
          <w:spacing w:val="-2"/>
          <w:sz w:val="36"/>
          <w:szCs w:val="36"/>
        </w:rPr>
        <w:t>评价部门：</w:t>
      </w:r>
      <w:r>
        <w:rPr>
          <w:rFonts w:hint="eastAsia" w:ascii="仿宋_GB2312" w:hAnsi="宋体" w:eastAsia="仿宋_GB2312" w:cs="宋体"/>
          <w:kern w:val="0"/>
          <w:sz w:val="36"/>
          <w:szCs w:val="36"/>
        </w:rPr>
        <w:t>叶城县喀格勒克镇人民政府</w:t>
      </w: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2136" w:firstLineChars="600"/>
        <w:rPr>
          <w:rFonts w:ascii="仿宋_GB2312" w:hAnsi="仿宋" w:eastAsia="仿宋_GB2312" w:cs="Times New Roman"/>
          <w:spacing w:val="-2"/>
          <w:sz w:val="36"/>
          <w:szCs w:val="36"/>
        </w:rPr>
      </w:pPr>
    </w:p>
    <w:p>
      <w:pPr>
        <w:autoSpaceDE w:val="0"/>
        <w:autoSpaceDN w:val="0"/>
        <w:spacing w:line="540" w:lineRule="exact"/>
        <w:ind w:firstLine="2848" w:firstLineChars="8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二零二零年四月</w:t>
      </w:r>
    </w:p>
    <w:p>
      <w:pPr>
        <w:spacing w:before="120" w:beforeLines="50" w:after="120" w:afterLines="50" w:line="600" w:lineRule="exact"/>
        <w:rPr>
          <w:rFonts w:ascii="方正小标宋简体" w:hAnsi="仿宋_GB2312" w:eastAsia="方正小标宋简体" w:cs="仿宋_GB2312"/>
          <w:color w:val="FF0000"/>
          <w:kern w:val="0"/>
          <w:sz w:val="44"/>
          <w:szCs w:val="44"/>
          <w:shd w:val="clear" w:color="auto" w:fill="FFFFFF"/>
        </w:rPr>
      </w:pPr>
    </w:p>
    <w:p>
      <w:pPr>
        <w:pStyle w:val="22"/>
        <w:numPr>
          <w:ilvl w:val="0"/>
          <w:numId w:val="2"/>
        </w:numPr>
        <w:spacing w:before="0" w:after="0" w:line="560" w:lineRule="exact"/>
        <w:ind w:left="0" w:firstLine="640"/>
        <w:rPr>
          <w:b w:val="0"/>
        </w:rPr>
      </w:pPr>
      <w:r>
        <w:rPr>
          <w:rFonts w:hint="eastAsia"/>
          <w:b w:val="0"/>
        </w:rPr>
        <w:t>基本情况</w:t>
      </w:r>
    </w:p>
    <w:p>
      <w:pPr>
        <w:pStyle w:val="24"/>
        <w:spacing w:before="0" w:after="0" w:line="560" w:lineRule="exact"/>
        <w:ind w:left="0" w:firstLine="640" w:firstLineChars="200"/>
        <w:rPr>
          <w:b w:val="0"/>
        </w:rPr>
      </w:pPr>
      <w:bookmarkStart w:id="0" w:name="_Toc26401549"/>
      <w:r>
        <w:rPr>
          <w:rFonts w:hint="eastAsia"/>
          <w:b w:val="0"/>
        </w:rPr>
        <w:t>项目概况</w:t>
      </w:r>
      <w:bookmarkEnd w:id="0"/>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1.项目背景及立项依据</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（1）项目背景：</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本项目根据《关于精准做好城乡低保工作的通知》（新民发〔</w:t>
      </w:r>
      <w:r>
        <w:rPr>
          <w:rFonts w:ascii="仿宋_GB2312" w:hAnsi="仿宋" w:eastAsia="仿宋_GB2312" w:cs="宋体"/>
          <w:sz w:val="32"/>
          <w:szCs w:val="32"/>
        </w:rPr>
        <w:t>2019〕12号）</w:t>
      </w:r>
      <w:r>
        <w:rPr>
          <w:rFonts w:hint="eastAsia" w:ascii="仿宋_GB2312" w:hAnsi="仿宋" w:eastAsia="仿宋_GB2312" w:cs="宋体"/>
          <w:sz w:val="32"/>
          <w:szCs w:val="32"/>
        </w:rPr>
        <w:t>、《关于全面开展特困人员精准救助工作的通知》、《关于下发〈喀什地区综合社会保障兜底工程实施方案〉的通知》、《关于印发〈喀什地区全面建立五保老人供养制度实施方案〉的通知》、《关于拨付</w:t>
      </w:r>
      <w:r>
        <w:rPr>
          <w:rFonts w:ascii="仿宋_GB2312" w:hAnsi="仿宋" w:eastAsia="仿宋_GB2312" w:cs="宋体"/>
          <w:sz w:val="32"/>
          <w:szCs w:val="32"/>
        </w:rPr>
        <w:t>2019年中央财政困难群众救助资金预算的通知</w:t>
      </w:r>
      <w:r>
        <w:rPr>
          <w:rFonts w:hint="eastAsia" w:ascii="仿宋_GB2312" w:hAnsi="仿宋" w:eastAsia="仿宋_GB2312" w:cs="宋体"/>
          <w:sz w:val="32"/>
          <w:szCs w:val="32"/>
        </w:rPr>
        <w:t>》（喀地财社〔2019</w:t>
      </w:r>
      <w:r>
        <w:rPr>
          <w:rFonts w:ascii="仿宋_GB2312" w:hAnsi="仿宋" w:eastAsia="仿宋_GB2312" w:cs="宋体"/>
          <w:sz w:val="32"/>
          <w:szCs w:val="32"/>
        </w:rPr>
        <w:t>〕</w:t>
      </w:r>
      <w:r>
        <w:rPr>
          <w:rFonts w:hint="eastAsia" w:ascii="仿宋_GB2312" w:hAnsi="仿宋" w:eastAsia="仿宋_GB2312" w:cs="宋体"/>
          <w:sz w:val="32"/>
          <w:szCs w:val="32"/>
        </w:rPr>
        <w:t>73号）、《关于提前下达</w:t>
      </w:r>
      <w:r>
        <w:rPr>
          <w:rFonts w:ascii="仿宋_GB2312" w:hAnsi="仿宋" w:eastAsia="仿宋_GB2312" w:cs="宋体"/>
          <w:sz w:val="32"/>
          <w:szCs w:val="32"/>
        </w:rPr>
        <w:t>2019年困难群众救助补助预算的通知</w:t>
      </w:r>
      <w:r>
        <w:rPr>
          <w:rFonts w:hint="eastAsia" w:ascii="仿宋_GB2312" w:hAnsi="仿宋" w:eastAsia="仿宋_GB2312" w:cs="宋体"/>
          <w:sz w:val="32"/>
          <w:szCs w:val="32"/>
        </w:rPr>
        <w:t>》（喀地财社〔2019</w:t>
      </w:r>
      <w:r>
        <w:rPr>
          <w:rFonts w:ascii="仿宋_GB2312" w:hAnsi="仿宋" w:eastAsia="仿宋_GB2312" w:cs="宋体"/>
          <w:sz w:val="32"/>
          <w:szCs w:val="32"/>
        </w:rPr>
        <w:t>〕</w:t>
      </w:r>
      <w:r>
        <w:rPr>
          <w:rFonts w:hint="eastAsia" w:ascii="仿宋_GB2312" w:hAnsi="仿宋" w:eastAsia="仿宋_GB2312" w:cs="宋体"/>
          <w:sz w:val="32"/>
          <w:szCs w:val="32"/>
        </w:rPr>
        <w:t>4号）文件立项。为叶城县内城乡低保人员按时发放低保金, 对符合政策的困难群众应救尽救。五保老人的基本生活，为生活无着流动人员、流浪未成年人提供临时补助、临时监护责任，帮助他们顺利返回家庭，做好源头预防工作。</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（2）立项依据：</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《关于精准做好城乡低保工作的通知》（新民发〔</w:t>
      </w:r>
      <w:r>
        <w:rPr>
          <w:rFonts w:ascii="仿宋_GB2312" w:hAnsi="仿宋" w:eastAsia="仿宋_GB2312" w:cs="宋体"/>
          <w:sz w:val="32"/>
          <w:szCs w:val="32"/>
        </w:rPr>
        <w:t>2019〕12号）</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《关于全面开展特困人员精准救助工作的通知》</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《关于下发〈喀什地区综合社会保障兜底工程实施方案〉的通知》</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《关于印发〈喀什地区全面建立五保老人供养制度实施方案〉的通知》</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（3）项目负责人及职责</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项目负责人为常务副镇长阎江浩，主要职责为在项目前期进行可行性研究，指导并监督部门工作安排，制定方案并严格按照该方案指导各科室工作人员进行工作，确保该项目目标实现。</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2.项目主要内容及实施情况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该项目实施主体为叶城县喀格勒克镇人民政府。</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机构设置情况：</w:t>
      </w:r>
    </w:p>
    <w:p>
      <w:pPr>
        <w:adjustRightInd w:val="0"/>
        <w:snapToGrid w:val="0"/>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编制情况：叶城县喀格勒克镇下设内部机构民政办，负责民政低保国家干部1名，残联干事1名（聘用干部）喀镇管辖10个社区，每个社区均有一名国家干部负责民政低保工作。</w:t>
      </w:r>
    </w:p>
    <w:p>
      <w:pPr>
        <w:adjustRightInd w:val="0"/>
        <w:snapToGrid w:val="0"/>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叶城县喀格勒克镇人民政府主要职能：</w:t>
      </w:r>
    </w:p>
    <w:p>
      <w:pPr>
        <w:numPr>
          <w:ilvl w:val="0"/>
          <w:numId w:val="3"/>
        </w:num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负责全镇党政行政管理事务。</w:t>
      </w:r>
      <w:bookmarkStart w:id="8" w:name="_GoBack"/>
      <w:bookmarkEnd w:id="8"/>
      <w:r>
        <w:rPr>
          <w:rFonts w:hint="eastAsia" w:ascii="仿宋_GB2312" w:hAnsi="仿宋_GB2312" w:eastAsia="仿宋_GB2312" w:cs="仿宋_GB2312"/>
          <w:sz w:val="32"/>
          <w:szCs w:val="32"/>
        </w:rPr>
        <w:t>负责全镇经济社会发展、社会事务管理、基层组织建设等全面工作。</w:t>
      </w:r>
    </w:p>
    <w:p>
      <w:pPr>
        <w:numPr>
          <w:ilvl w:val="0"/>
          <w:numId w:val="3"/>
        </w:num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以 “总目标 ”为统揽，全面建设社会主义新农村为根本出发点，不断深化美丽乡、村建设，脱贫攻坚，不断铸牢全乡经济社会发展基础，为全镇各族群众提供社会服务。</w:t>
      </w:r>
    </w:p>
    <w:p>
      <w:pPr>
        <w:pStyle w:val="2"/>
        <w:spacing w:before="0" w:after="0" w:line="560" w:lineRule="exact"/>
        <w:ind w:firstLine="640" w:firstLineChars="200"/>
        <w:rPr>
          <w:rFonts w:ascii="仿宋_GB2312" w:hAnsi="仿宋" w:eastAsia="仿宋_GB2312" w:cs="宋体"/>
          <w:b w:val="0"/>
          <w:bCs w:val="0"/>
          <w:sz w:val="32"/>
          <w:szCs w:val="32"/>
        </w:rPr>
      </w:pPr>
      <w:r>
        <w:rPr>
          <w:rFonts w:hint="eastAsia" w:ascii="仿宋_GB2312" w:hAnsi="仿宋" w:eastAsia="仿宋_GB2312" w:cs="宋体"/>
          <w:b w:val="0"/>
          <w:bCs w:val="0"/>
          <w:sz w:val="32"/>
          <w:szCs w:val="32"/>
        </w:rPr>
        <w:t>（三）承办县委、县政府和上级主管部门交办的其他事项，承办县人大、县政协建议、提案事宜。</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实施情况：该项目起止时间2019年1月-2019年12月，项目经由我单位对全镇困难群众进行统计核查，报由县级部门审批，该项目资金为中央财政拨款，前期由我单位自行制定发放方案，统计需发放人员清单及银行卡号，由我单位民政人员与县财政局对接，进行资金支付审批手续，及时足额保量的打卡发放生活补助。</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3.项目主要内容</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本项目为2019年困难群众补助资金项目，主要是为叶城县内符合条件的城乡低保人员、城乡特困人员、需临时补助人员发放生活补助。</w:t>
      </w:r>
    </w:p>
    <w:p>
      <w:pPr>
        <w:pStyle w:val="24"/>
        <w:spacing w:before="0" w:after="0" w:line="560" w:lineRule="exact"/>
        <w:ind w:left="0" w:firstLine="640" w:firstLineChars="200"/>
        <w:rPr>
          <w:b w:val="0"/>
        </w:rPr>
      </w:pPr>
      <w:bookmarkStart w:id="1" w:name="_Toc26401550"/>
      <w:r>
        <w:rPr>
          <w:rFonts w:hint="eastAsia"/>
          <w:b w:val="0"/>
        </w:rPr>
        <w:t>资金</w:t>
      </w:r>
      <w:bookmarkEnd w:id="1"/>
      <w:r>
        <w:rPr>
          <w:rFonts w:hint="eastAsia"/>
          <w:b w:val="0"/>
        </w:rPr>
        <w:t>投入和使用情况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1.项目资金到位情况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根据喀地财社</w:t>
      </w:r>
      <w:r>
        <w:rPr>
          <w:rFonts w:ascii="仿宋_GB2312" w:hAnsi="仿宋" w:eastAsia="仿宋_GB2312" w:cs="宋体"/>
          <w:sz w:val="32"/>
          <w:szCs w:val="32"/>
        </w:rPr>
        <w:t>〔</w:t>
      </w:r>
      <w:r>
        <w:rPr>
          <w:rFonts w:hint="eastAsia" w:ascii="仿宋_GB2312" w:hAnsi="仿宋" w:eastAsia="仿宋_GB2312" w:cs="宋体"/>
          <w:sz w:val="32"/>
          <w:szCs w:val="32"/>
        </w:rPr>
        <w:t>2018</w:t>
      </w:r>
      <w:r>
        <w:rPr>
          <w:rFonts w:ascii="仿宋_GB2312" w:hAnsi="仿宋" w:eastAsia="仿宋_GB2312" w:cs="宋体"/>
          <w:sz w:val="32"/>
          <w:szCs w:val="32"/>
        </w:rPr>
        <w:t>〕</w:t>
      </w:r>
      <w:r>
        <w:rPr>
          <w:rFonts w:hint="eastAsia" w:ascii="仿宋_GB2312" w:hAnsi="仿宋" w:eastAsia="仿宋_GB2312" w:cs="宋体"/>
          <w:sz w:val="32"/>
          <w:szCs w:val="32"/>
        </w:rPr>
        <w:t>118号《关于转发财政厅民政厅、〈自治区财政困难群众项目资金管理办法〉的通知》和喀地财社</w:t>
      </w:r>
      <w:r>
        <w:rPr>
          <w:rFonts w:ascii="仿宋_GB2312" w:hAnsi="仿宋" w:eastAsia="仿宋_GB2312" w:cs="宋体"/>
          <w:sz w:val="32"/>
          <w:szCs w:val="32"/>
        </w:rPr>
        <w:t>〔</w:t>
      </w:r>
      <w:r>
        <w:rPr>
          <w:rFonts w:hint="eastAsia" w:ascii="仿宋_GB2312" w:hAnsi="仿宋" w:eastAsia="仿宋_GB2312" w:cs="宋体"/>
          <w:sz w:val="32"/>
          <w:szCs w:val="32"/>
        </w:rPr>
        <w:t>2019</w:t>
      </w:r>
      <w:r>
        <w:rPr>
          <w:rFonts w:ascii="仿宋_GB2312" w:hAnsi="仿宋" w:eastAsia="仿宋_GB2312" w:cs="宋体"/>
          <w:sz w:val="32"/>
          <w:szCs w:val="32"/>
        </w:rPr>
        <w:t>〕</w:t>
      </w:r>
      <w:r>
        <w:rPr>
          <w:rFonts w:hint="eastAsia" w:ascii="仿宋_GB2312" w:hAnsi="仿宋" w:eastAsia="仿宋_GB2312" w:cs="宋体"/>
          <w:sz w:val="32"/>
          <w:szCs w:val="32"/>
        </w:rPr>
        <w:t>4号文件《关于提前下达</w:t>
      </w:r>
      <w:r>
        <w:rPr>
          <w:rFonts w:ascii="仿宋_GB2312" w:hAnsi="仿宋" w:eastAsia="仿宋_GB2312" w:cs="宋体"/>
          <w:sz w:val="32"/>
          <w:szCs w:val="32"/>
        </w:rPr>
        <w:t>2019年困难群众救助补助预算的通知</w:t>
      </w:r>
      <w:r>
        <w:rPr>
          <w:rFonts w:hint="eastAsia" w:ascii="仿宋_GB2312" w:hAnsi="仿宋" w:eastAsia="仿宋_GB2312" w:cs="宋体"/>
          <w:sz w:val="32"/>
          <w:szCs w:val="32"/>
        </w:rPr>
        <w:t>》、喀地财社</w:t>
      </w:r>
      <w:r>
        <w:rPr>
          <w:rFonts w:ascii="仿宋_GB2312" w:hAnsi="仿宋" w:eastAsia="仿宋_GB2312" w:cs="宋体"/>
          <w:sz w:val="32"/>
          <w:szCs w:val="32"/>
        </w:rPr>
        <w:t>〔2019〕73号</w:t>
      </w:r>
      <w:r>
        <w:rPr>
          <w:rFonts w:hint="eastAsia" w:ascii="仿宋_GB2312" w:hAnsi="仿宋" w:eastAsia="仿宋_GB2312" w:cs="宋体"/>
          <w:sz w:val="32"/>
          <w:szCs w:val="32"/>
        </w:rPr>
        <w:t>《</w:t>
      </w:r>
      <w:r>
        <w:rPr>
          <w:rFonts w:ascii="仿宋_GB2312" w:hAnsi="仿宋" w:eastAsia="仿宋_GB2312" w:cs="宋体"/>
          <w:sz w:val="32"/>
          <w:szCs w:val="32"/>
        </w:rPr>
        <w:t>关于拨付2019年中央财政困难群众救助资金预算的通知</w:t>
      </w:r>
      <w:r>
        <w:rPr>
          <w:rFonts w:hint="eastAsia" w:ascii="仿宋_GB2312" w:hAnsi="仿宋" w:eastAsia="仿宋_GB2312" w:cs="宋体"/>
          <w:sz w:val="32"/>
          <w:szCs w:val="32"/>
        </w:rPr>
        <w:t>》。2019年初到位资金588.34万元，资金来源为中央专项。</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2.项目资金使用情况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该项目资金为财政内预算资金，叶城县喀格勒克镇人民政府严格按照自治区、地区等相关财务管理规定使用资金。项目资金执行数为588.34万元，无结余资金，资金执行率为100%。</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3.项目资金管理情况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我镇制定了《叶城县喀格勒克镇民政资金项目资金管理制度》，并根据《民政局财务收支管理制度》对困难群众补助项目进行资金转移支付，为叶城县喀格勒克镇辖内城乡困难群众打卡发放救助补助资金，该笔资金严格按照程序和规定，用于支付城乡低保金、特困人员救助供养、临时救助等支出。</w:t>
      </w:r>
    </w:p>
    <w:p>
      <w:pPr>
        <w:pStyle w:val="24"/>
        <w:spacing w:before="0" w:after="0" w:line="560" w:lineRule="exact"/>
        <w:ind w:left="0" w:firstLine="640" w:firstLineChars="200"/>
        <w:rPr>
          <w:b w:val="0"/>
        </w:rPr>
      </w:pPr>
      <w:bookmarkStart w:id="2" w:name="_Toc26401551"/>
      <w:r>
        <w:rPr>
          <w:rFonts w:hint="eastAsia"/>
          <w:b w:val="0"/>
        </w:rPr>
        <w:t>绩效目标</w:t>
      </w:r>
      <w:bookmarkEnd w:id="2"/>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总体目标为：</w:t>
      </w:r>
      <w:r>
        <w:rPr>
          <w:rFonts w:ascii="仿宋_GB2312" w:hAnsi="仿宋" w:eastAsia="仿宋_GB2312" w:cs="宋体"/>
          <w:sz w:val="32"/>
          <w:szCs w:val="32"/>
        </w:rPr>
        <w:t>完善社会救助制度体系，推动相关救助制度贯彻落实，指导各地将符合条件的困难群众纳入低保、临时救助、特困人员救助供养、流浪乞讨等救助范围，保障好困难群众基本生活。完成全</w:t>
      </w:r>
      <w:r>
        <w:rPr>
          <w:rFonts w:hint="eastAsia" w:ascii="仿宋_GB2312" w:hAnsi="仿宋" w:eastAsia="仿宋_GB2312" w:cs="宋体"/>
          <w:sz w:val="32"/>
          <w:szCs w:val="32"/>
        </w:rPr>
        <w:t>镇6652人</w:t>
      </w:r>
      <w:r>
        <w:rPr>
          <w:rFonts w:ascii="仿宋_GB2312" w:hAnsi="仿宋" w:eastAsia="仿宋_GB2312" w:cs="宋体"/>
          <w:sz w:val="32"/>
          <w:szCs w:val="32"/>
        </w:rPr>
        <w:t>城乡低保人员低保金发放工作，保障6</w:t>
      </w:r>
      <w:r>
        <w:rPr>
          <w:rFonts w:hint="eastAsia" w:ascii="仿宋_GB2312" w:hAnsi="仿宋" w:eastAsia="仿宋_GB2312" w:cs="宋体"/>
          <w:sz w:val="32"/>
          <w:szCs w:val="32"/>
        </w:rPr>
        <w:t>652</w:t>
      </w:r>
      <w:r>
        <w:rPr>
          <w:rFonts w:ascii="仿宋_GB2312" w:hAnsi="仿宋" w:eastAsia="仿宋_GB2312" w:cs="宋体"/>
          <w:sz w:val="32"/>
          <w:szCs w:val="32"/>
        </w:rPr>
        <w:t>名</w:t>
      </w:r>
      <w:r>
        <w:rPr>
          <w:rFonts w:hint="eastAsia" w:ascii="仿宋_GB2312" w:hAnsi="仿宋" w:eastAsia="仿宋_GB2312" w:cs="宋体"/>
          <w:sz w:val="32"/>
          <w:szCs w:val="32"/>
        </w:rPr>
        <w:t>低保</w:t>
      </w:r>
      <w:r>
        <w:rPr>
          <w:rFonts w:ascii="仿宋_GB2312" w:hAnsi="仿宋" w:eastAsia="仿宋_GB2312" w:cs="宋体"/>
          <w:sz w:val="32"/>
          <w:szCs w:val="32"/>
        </w:rPr>
        <w:t>人员的基本生活。做好困难群众基本生活救助绩效评价，建立健全社会救助方面的核对、核查。认定、监督机制，加强社会救助监督检查、能力建设、信息化建设，提高社会救助规范化管理水平和服务质量。加强农村低保制度与扶贫开发政策有效衔接，推进农村低保兜底脱贫，缩小区域差距。</w:t>
      </w:r>
    </w:p>
    <w:p>
      <w:pPr>
        <w:spacing w:line="560" w:lineRule="exact"/>
        <w:ind w:firstLine="640" w:firstLineChars="200"/>
        <w:rPr>
          <w:rFonts w:ascii="仿宋_GB2312" w:hAnsi="仿宋" w:eastAsia="仿宋_GB2312" w:cs="宋体"/>
          <w:color w:val="FF0000"/>
          <w:sz w:val="32"/>
          <w:szCs w:val="32"/>
        </w:rPr>
      </w:pPr>
      <w:r>
        <w:rPr>
          <w:rFonts w:hint="eastAsia" w:ascii="仿宋_GB2312" w:hAnsi="仿宋" w:eastAsia="仿宋_GB2312" w:cs="宋体"/>
          <w:sz w:val="32"/>
          <w:szCs w:val="32"/>
        </w:rPr>
        <w:t>本项目共设置</w:t>
      </w:r>
      <w:r>
        <w:rPr>
          <w:rFonts w:ascii="仿宋_GB2312" w:hAnsi="仿宋" w:eastAsia="仿宋_GB2312" w:cs="宋体"/>
          <w:sz w:val="32"/>
          <w:szCs w:val="32"/>
        </w:rPr>
        <w:t>1</w:t>
      </w:r>
      <w:r>
        <w:rPr>
          <w:rFonts w:hint="eastAsia" w:ascii="仿宋_GB2312" w:hAnsi="仿宋" w:eastAsia="仿宋_GB2312" w:cs="宋体"/>
          <w:sz w:val="32"/>
          <w:szCs w:val="32"/>
        </w:rPr>
        <w:t>级指标3个，二级指标9个，三级指标19个，绩效目标申报表详见附件1。</w:t>
      </w:r>
    </w:p>
    <w:p>
      <w:pPr>
        <w:pStyle w:val="22"/>
        <w:numPr>
          <w:ilvl w:val="0"/>
          <w:numId w:val="2"/>
        </w:numPr>
        <w:spacing w:before="0" w:after="0" w:line="560" w:lineRule="exact"/>
        <w:ind w:left="0" w:firstLine="640"/>
        <w:rPr>
          <w:b w:val="0"/>
        </w:rPr>
      </w:pPr>
      <w:bookmarkStart w:id="3" w:name="_Toc26401552"/>
      <w:r>
        <w:rPr>
          <w:rFonts w:hint="eastAsia"/>
          <w:b w:val="0"/>
        </w:rPr>
        <w:t>评价工作简述</w:t>
      </w:r>
      <w:bookmarkEnd w:id="3"/>
    </w:p>
    <w:p>
      <w:pPr>
        <w:pStyle w:val="24"/>
        <w:numPr>
          <w:ilvl w:val="0"/>
          <w:numId w:val="4"/>
        </w:numPr>
        <w:spacing w:before="0" w:after="0" w:line="560" w:lineRule="exact"/>
        <w:ind w:left="0" w:firstLine="640" w:firstLineChars="200"/>
        <w:rPr>
          <w:b w:val="0"/>
        </w:rPr>
      </w:pPr>
      <w:bookmarkStart w:id="4" w:name="_Toc26401553"/>
      <w:r>
        <w:rPr>
          <w:rFonts w:hint="eastAsia"/>
          <w:b w:val="0"/>
        </w:rPr>
        <w:t>评价目的</w:t>
      </w:r>
      <w:bookmarkEnd w:id="4"/>
    </w:p>
    <w:p>
      <w:pPr>
        <w:spacing w:line="560" w:lineRule="exact"/>
        <w:ind w:firstLine="640" w:firstLineChars="200"/>
        <w:rPr>
          <w:rFonts w:ascii="仿宋_GB2312" w:hAnsi="仿宋" w:eastAsia="仿宋_GB2312" w:cs="宋体"/>
          <w:color w:val="FF0000"/>
          <w:sz w:val="32"/>
          <w:szCs w:val="32"/>
        </w:rPr>
      </w:pPr>
      <w:r>
        <w:rPr>
          <w:rFonts w:hint="eastAsia" w:ascii="仿宋_GB2312" w:hAnsi="仿宋" w:eastAsia="仿宋_GB2312" w:cs="宋体"/>
          <w:sz w:val="32"/>
          <w:szCs w:val="32"/>
        </w:rPr>
        <w:t>本次绩效评价遵循喀地财社</w:t>
      </w:r>
      <w:r>
        <w:rPr>
          <w:rFonts w:ascii="仿宋_GB2312" w:hAnsi="仿宋" w:eastAsia="仿宋_GB2312" w:cs="宋体"/>
          <w:sz w:val="32"/>
          <w:szCs w:val="32"/>
        </w:rPr>
        <w:t>〔</w:t>
      </w:r>
      <w:r>
        <w:rPr>
          <w:rFonts w:hint="eastAsia" w:ascii="仿宋_GB2312" w:hAnsi="仿宋" w:eastAsia="仿宋_GB2312" w:cs="宋体"/>
          <w:sz w:val="32"/>
          <w:szCs w:val="32"/>
        </w:rPr>
        <w:t>2018</w:t>
      </w:r>
      <w:r>
        <w:rPr>
          <w:rFonts w:ascii="仿宋_GB2312" w:hAnsi="仿宋" w:eastAsia="仿宋_GB2312" w:cs="宋体"/>
          <w:sz w:val="32"/>
          <w:szCs w:val="32"/>
        </w:rPr>
        <w:t>〕</w:t>
      </w:r>
      <w:r>
        <w:rPr>
          <w:rFonts w:hint="eastAsia" w:ascii="仿宋_GB2312" w:hAnsi="仿宋" w:eastAsia="仿宋_GB2312" w:cs="宋体"/>
          <w:sz w:val="32"/>
          <w:szCs w:val="32"/>
        </w:rPr>
        <w:t>118号《关于转发财政厅民政厅、〈自治区财政困难群众项目资金管理办法〉的通知》和《关于印发〈全区民政社会救助资金社会化发放实施方案〉的通知》</w:t>
      </w:r>
      <w:r>
        <w:rPr>
          <w:rFonts w:ascii="仿宋_GB2312" w:hAnsi="仿宋" w:eastAsia="仿宋_GB2312" w:cs="宋体"/>
          <w:sz w:val="32"/>
          <w:szCs w:val="32"/>
        </w:rPr>
        <w:t>相关政策文件与规定，</w:t>
      </w:r>
      <w:r>
        <w:rPr>
          <w:rFonts w:hint="eastAsia" w:ascii="仿宋_GB2312" w:hAnsi="仿宋" w:eastAsia="仿宋_GB2312" w:cs="宋体"/>
          <w:sz w:val="32"/>
          <w:szCs w:val="32"/>
        </w:rPr>
        <w:t>旨在评价2019困难群众补助资金项目管理和项目绩效作出评定,全面了解财政预算资金支出安排情况、资金实际使用状况和项目的绩效</w:t>
      </w:r>
      <w:r>
        <w:rPr>
          <w:rFonts w:hint="eastAsia" w:ascii="仿宋_GB2312" w:hAnsi="仿宋" w:eastAsia="仿宋_GB2312" w:cs="宋体"/>
          <w:color w:val="000000" w:themeColor="text1"/>
          <w:sz w:val="32"/>
          <w:szCs w:val="32"/>
        </w:rPr>
        <w:t>,帮助健全和完善科学的、符合实际情况的项目绩效目标,肯定取得的成绩,提出存在的问题,给出相应的建议,以而保证项目的持续开展,推进财政绩效预算工作的顺利实施。</w:t>
      </w:r>
    </w:p>
    <w:p>
      <w:pPr>
        <w:pStyle w:val="24"/>
        <w:numPr>
          <w:ilvl w:val="0"/>
          <w:numId w:val="4"/>
        </w:numPr>
        <w:spacing w:before="0" w:after="0" w:line="560" w:lineRule="exact"/>
        <w:ind w:left="0" w:firstLine="640" w:firstLineChars="200"/>
        <w:rPr>
          <w:b w:val="0"/>
        </w:rPr>
      </w:pPr>
      <w:r>
        <w:rPr>
          <w:rFonts w:hint="eastAsia"/>
          <w:b w:val="0"/>
        </w:rPr>
        <w:t>本次绩效评价的对象及范围</w:t>
      </w:r>
      <w:bookmarkStart w:id="5" w:name="_Toc26401554"/>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1.</w:t>
      </w:r>
      <w:r>
        <w:rPr>
          <w:rFonts w:ascii="仿宋_GB2312" w:hAnsi="仿宋" w:eastAsia="仿宋_GB2312" w:cs="宋体"/>
          <w:sz w:val="32"/>
          <w:szCs w:val="32"/>
        </w:rPr>
        <w:t>评价对象</w:t>
      </w:r>
      <w:r>
        <w:rPr>
          <w:rFonts w:hint="eastAsia" w:ascii="仿宋_GB2312" w:hAnsi="仿宋" w:eastAsia="仿宋_GB2312" w:cs="宋体"/>
          <w:sz w:val="32"/>
          <w:szCs w:val="32"/>
        </w:rPr>
        <w:t>：</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《关于拨付</w:t>
      </w:r>
      <w:r>
        <w:rPr>
          <w:rFonts w:ascii="仿宋_GB2312" w:hAnsi="仿宋" w:eastAsia="仿宋_GB2312" w:cs="宋体"/>
          <w:sz w:val="32"/>
          <w:szCs w:val="32"/>
        </w:rPr>
        <w:t>2019年中央财政困难群众救助资金预算的通知</w:t>
      </w:r>
      <w:r>
        <w:rPr>
          <w:rFonts w:hint="eastAsia" w:ascii="仿宋_GB2312" w:hAnsi="仿宋" w:eastAsia="仿宋_GB2312" w:cs="宋体"/>
          <w:sz w:val="32"/>
          <w:szCs w:val="32"/>
        </w:rPr>
        <w:t>》（喀地财社〔2019</w:t>
      </w:r>
      <w:r>
        <w:rPr>
          <w:rFonts w:ascii="仿宋_GB2312" w:hAnsi="仿宋" w:eastAsia="仿宋_GB2312" w:cs="宋体"/>
          <w:sz w:val="32"/>
          <w:szCs w:val="32"/>
        </w:rPr>
        <w:t>〕</w:t>
      </w:r>
      <w:r>
        <w:rPr>
          <w:rFonts w:hint="eastAsia" w:ascii="仿宋_GB2312" w:hAnsi="仿宋" w:eastAsia="仿宋_GB2312" w:cs="宋体"/>
          <w:sz w:val="32"/>
          <w:szCs w:val="32"/>
        </w:rPr>
        <w:t>73号）、《关于提前下达</w:t>
      </w:r>
      <w:r>
        <w:rPr>
          <w:rFonts w:ascii="仿宋_GB2312" w:hAnsi="仿宋" w:eastAsia="仿宋_GB2312" w:cs="宋体"/>
          <w:sz w:val="32"/>
          <w:szCs w:val="32"/>
        </w:rPr>
        <w:t>2019年困难群众救助补助预算的通知</w:t>
      </w:r>
      <w:r>
        <w:rPr>
          <w:rFonts w:hint="eastAsia" w:ascii="仿宋_GB2312" w:hAnsi="仿宋" w:eastAsia="仿宋_GB2312" w:cs="宋体"/>
          <w:sz w:val="32"/>
          <w:szCs w:val="32"/>
        </w:rPr>
        <w:t>》（喀地财社〔2019</w:t>
      </w:r>
      <w:r>
        <w:rPr>
          <w:rFonts w:ascii="仿宋_GB2312" w:hAnsi="仿宋" w:eastAsia="仿宋_GB2312" w:cs="宋体"/>
          <w:sz w:val="32"/>
          <w:szCs w:val="32"/>
        </w:rPr>
        <w:t>〕</w:t>
      </w:r>
      <w:r>
        <w:rPr>
          <w:rFonts w:hint="eastAsia" w:ascii="仿宋_GB2312" w:hAnsi="仿宋" w:eastAsia="仿宋_GB2312" w:cs="宋体"/>
          <w:sz w:val="32"/>
          <w:szCs w:val="32"/>
        </w:rPr>
        <w:t>4号）文件下发的2019困难群众补助资金项目</w:t>
      </w:r>
      <w:r>
        <w:rPr>
          <w:rFonts w:ascii="仿宋_GB2312" w:hAnsi="仿宋" w:eastAsia="仿宋_GB2312" w:cs="宋体"/>
          <w:sz w:val="32"/>
          <w:szCs w:val="32"/>
        </w:rPr>
        <w:t>资金，</w:t>
      </w:r>
      <w:r>
        <w:rPr>
          <w:rFonts w:hint="eastAsia" w:ascii="仿宋_GB2312" w:hAnsi="仿宋" w:eastAsia="仿宋_GB2312" w:cs="宋体"/>
          <w:sz w:val="32"/>
          <w:szCs w:val="32"/>
        </w:rPr>
        <w:t>该项目资金到位数为588.34万元，资金到位率100%，资金来源为一般公共预算资金。</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2.评价范围</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资金执行情况：根据《自治区财政困难群众项目资金管理办法》和《民政局财务收支管理制度》的要求，叶城县喀格勒克镇严格按照困难群众项目资金规定的专项资金支持的项目条件和范围要求，严格按照有关规定使用管理项目资金。</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资金管理情况：资金支付由喀格勒克镇人民政府财务负责人、单位负责人、叶城县财政局等各级部门审批审核；资金的支付有完整的审批程序和手续符合制度要求；不存在截留、挤占、挪用、虚列支出等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项目实施情况：项目经立项后。由叶城县喀格勒克镇人民政府组织实施，制定实施方案，实施过程均按照上级管理制度和实施方案执行。</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按照“民政部门精准核定对象和救助金额，财政部门核拨资金，代办金融机构及时发放”的工作分工，结合实际制定当地民政社会救助资金社会化发放的具体实施办法，细化工作任务、责任分解和工作流程，突出操作性和实效性，为民政社会救助对象领取资金提供安全、方便、快捷、优质的服务。</w:t>
      </w:r>
    </w:p>
    <w:p>
      <w:pPr>
        <w:pStyle w:val="24"/>
        <w:numPr>
          <w:ilvl w:val="0"/>
          <w:numId w:val="4"/>
        </w:numPr>
        <w:spacing w:before="0" w:after="0" w:line="560" w:lineRule="exact"/>
        <w:ind w:left="0" w:firstLine="640" w:firstLineChars="200"/>
        <w:rPr>
          <w:b w:val="0"/>
        </w:rPr>
      </w:pPr>
      <w:r>
        <w:rPr>
          <w:rFonts w:hint="eastAsia"/>
          <w:b w:val="0"/>
        </w:rPr>
        <w:t>绩效评价原则</w:t>
      </w:r>
      <w:bookmarkEnd w:id="5"/>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本次绩效评价遵循的原则包括：</w:t>
      </w:r>
    </w:p>
    <w:p>
      <w:pPr>
        <w:pStyle w:val="24"/>
        <w:keepNext w:val="0"/>
        <w:keepLines w:val="0"/>
        <w:numPr>
          <w:ilvl w:val="1"/>
          <w:numId w:val="5"/>
        </w:numPr>
        <w:spacing w:before="0" w:after="0" w:line="560" w:lineRule="exact"/>
        <w:ind w:left="0" w:firstLine="640" w:firstLineChars="200"/>
        <w:rPr>
          <w:rFonts w:hAnsi="仿宋" w:cs="宋体"/>
          <w:b w:val="0"/>
        </w:rPr>
      </w:pPr>
      <w:r>
        <w:rPr>
          <w:rFonts w:hint="eastAsia" w:hAnsi="仿宋" w:cs="宋体"/>
          <w:b w:val="0"/>
        </w:rPr>
        <w:t>科学公正。绩效评价应当运用科学合理的方法，按照规范的程序，对项目绩效进行客观、公正的反映。</w:t>
      </w:r>
    </w:p>
    <w:p>
      <w:pPr>
        <w:pStyle w:val="24"/>
        <w:keepNext w:val="0"/>
        <w:keepLines w:val="0"/>
        <w:numPr>
          <w:ilvl w:val="1"/>
          <w:numId w:val="5"/>
        </w:numPr>
        <w:spacing w:before="0" w:after="0" w:line="560" w:lineRule="exact"/>
        <w:ind w:left="0" w:firstLine="640" w:firstLineChars="200"/>
        <w:rPr>
          <w:rFonts w:hAnsi="仿宋" w:cs="宋体"/>
          <w:b w:val="0"/>
        </w:rPr>
      </w:pPr>
      <w:r>
        <w:rPr>
          <w:rFonts w:hint="eastAsia" w:hAnsi="仿宋" w:cs="宋体"/>
          <w:b w:val="0"/>
        </w:rPr>
        <w:t>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24"/>
        <w:keepNext w:val="0"/>
        <w:keepLines w:val="0"/>
        <w:numPr>
          <w:ilvl w:val="1"/>
          <w:numId w:val="5"/>
        </w:numPr>
        <w:spacing w:before="0" w:after="0" w:line="560" w:lineRule="exact"/>
        <w:ind w:left="0" w:firstLine="640" w:firstLineChars="200"/>
        <w:rPr>
          <w:rFonts w:hAnsi="仿宋" w:cs="宋体"/>
          <w:b w:val="0"/>
        </w:rPr>
      </w:pPr>
      <w:r>
        <w:rPr>
          <w:rFonts w:hint="eastAsia" w:hAnsi="仿宋" w:cs="宋体"/>
          <w:b w:val="0"/>
        </w:rPr>
        <w:t>激励约束。绩效评价结果应与预算安排、政策调整、改进管理实质性挂钩，体现奖优罚劣和激励相容导向，有效要安排、低效要压减、无效要问责。</w:t>
      </w:r>
    </w:p>
    <w:p>
      <w:pPr>
        <w:pStyle w:val="24"/>
        <w:keepNext w:val="0"/>
        <w:keepLines w:val="0"/>
        <w:numPr>
          <w:ilvl w:val="1"/>
          <w:numId w:val="5"/>
        </w:numPr>
        <w:spacing w:before="0" w:after="0" w:line="560" w:lineRule="exact"/>
        <w:ind w:left="0" w:firstLine="640" w:firstLineChars="200"/>
        <w:rPr>
          <w:b w:val="0"/>
        </w:rPr>
      </w:pPr>
      <w:r>
        <w:rPr>
          <w:rFonts w:hint="eastAsia" w:hAnsi="仿宋" w:cs="宋体"/>
          <w:b w:val="0"/>
        </w:rPr>
        <w:t>公开透明。绩效评价结果应依法依规公开，并自觉接受社会监督。</w:t>
      </w:r>
    </w:p>
    <w:p>
      <w:pPr>
        <w:pStyle w:val="24"/>
        <w:numPr>
          <w:ilvl w:val="0"/>
          <w:numId w:val="4"/>
        </w:numPr>
        <w:spacing w:before="0" w:after="0" w:line="560" w:lineRule="exact"/>
        <w:ind w:left="0" w:firstLine="640" w:firstLineChars="200"/>
        <w:rPr>
          <w:b w:val="0"/>
        </w:rPr>
      </w:pPr>
      <w:r>
        <w:rPr>
          <w:rFonts w:hint="eastAsia"/>
          <w:b w:val="0"/>
        </w:rPr>
        <w:t>本项目绩效评价体系</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遵循“科学性、规范性、客观性和公正性”的绩效评价原则,根据财政部制定的《项目支出绩效评价共性指标体系框架》,结合困难群众补助项目特性、喀格勒克镇人民政府实际情况,本项目按照财预﹝2020﹞10号文件制定评价指标体系。</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我单位选取共性指标：决策中一级指标1个，二级指标3个，三级指标4个，分别是立项依据充分性、绩效目标合理性、绩效指标明确性、预算编制科学性。</w:t>
      </w:r>
    </w:p>
    <w:p>
      <w:pPr>
        <w:spacing w:line="560" w:lineRule="exact"/>
        <w:ind w:firstLine="640" w:firstLineChars="200"/>
      </w:pPr>
      <w:r>
        <w:rPr>
          <w:rFonts w:hint="eastAsia" w:ascii="仿宋_GB2312" w:hAnsi="仿宋" w:eastAsia="仿宋_GB2312" w:cs="宋体"/>
          <w:sz w:val="32"/>
          <w:szCs w:val="32"/>
        </w:rPr>
        <w:t>过程中一级指标3个，二级指标7个，三级指标21个，分别是农村低保人数、城市低保人数、农村特困人数、城市特困人数、供养老人人数、临时救助人数、社会救助资金发放覆盖率、社会救助资金发放及时性、城市低保标准、城市特困标准、供养老人补助标准、临时救助标准、受益建档立卡贫困人口数、困难群众生活水平、社会救助对象受益满意度。</w:t>
      </w:r>
    </w:p>
    <w:p>
      <w:pPr>
        <w:pStyle w:val="24"/>
        <w:keepNext w:val="0"/>
        <w:keepLines w:val="0"/>
        <w:numPr>
          <w:ilvl w:val="0"/>
          <w:numId w:val="4"/>
        </w:numPr>
        <w:spacing w:before="0" w:after="0" w:line="560" w:lineRule="exact"/>
        <w:ind w:left="0" w:firstLine="640" w:firstLineChars="200"/>
        <w:rPr>
          <w:b w:val="0"/>
        </w:rPr>
      </w:pPr>
      <w:bookmarkStart w:id="6" w:name="_Toc26401555"/>
      <w:r>
        <w:rPr>
          <w:rFonts w:hint="eastAsia"/>
          <w:b w:val="0"/>
        </w:rPr>
        <w:t>绩效评价方法</w:t>
      </w:r>
      <w:bookmarkEnd w:id="6"/>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本次绩效评价方法的选用坚持简便有效的原则采用了成本效益分析法和问卷调查法。</w:t>
      </w:r>
    </w:p>
    <w:p>
      <w:pPr>
        <w:numPr>
          <w:ilvl w:val="0"/>
          <w:numId w:val="6"/>
        </w:num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历史比较法</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我单位困难群众补助项目为长期性、延续项目，按照历年发放标准以及中央、自治区下达关于困难群众补助的发放标准进行发放。</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2.问卷调查法</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我单位对可接受问卷调查的困难群众进行纸质版问卷调查，以及电话访问，通过调查了解各类困难群众的实际需求，切实解决困难群众的生活难的实际问题。</w:t>
      </w:r>
    </w:p>
    <w:p>
      <w:pPr>
        <w:pStyle w:val="24"/>
        <w:keepNext w:val="0"/>
        <w:keepLines w:val="0"/>
        <w:numPr>
          <w:ilvl w:val="0"/>
          <w:numId w:val="4"/>
        </w:numPr>
        <w:spacing w:before="0" w:after="0" w:line="560" w:lineRule="exact"/>
        <w:ind w:left="0" w:firstLine="640" w:firstLineChars="200"/>
        <w:rPr>
          <w:b w:val="0"/>
        </w:rPr>
      </w:pPr>
      <w:r>
        <w:rPr>
          <w:rFonts w:hint="eastAsia"/>
          <w:b w:val="0"/>
        </w:rPr>
        <w:t>评价标准</w:t>
      </w:r>
    </w:p>
    <w:p>
      <w:pPr>
        <w:pStyle w:val="24"/>
        <w:keepNext w:val="0"/>
        <w:keepLines w:val="0"/>
        <w:numPr>
          <w:ilvl w:val="0"/>
          <w:numId w:val="0"/>
        </w:numPr>
        <w:spacing w:before="0" w:after="0" w:line="560" w:lineRule="exact"/>
        <w:ind w:firstLine="640" w:firstLineChars="200"/>
        <w:rPr>
          <w:rFonts w:hAnsi="仿宋" w:cs="宋体"/>
          <w:b w:val="0"/>
          <w:bCs w:val="0"/>
        </w:rPr>
      </w:pPr>
      <w:r>
        <w:rPr>
          <w:rFonts w:hint="eastAsia" w:hAnsi="仿宋" w:cs="宋体"/>
          <w:b w:val="0"/>
          <w:bCs w:val="0"/>
        </w:rPr>
        <w:t>本项目评价标准采用计划标准，是根据《关于提高叶城县困难群众救助标准的通知（2019）》，标准依据为中央和自治区下达标准，和后续的项目进度管理来评价本项目的实施进度和完成情况。</w:t>
      </w:r>
    </w:p>
    <w:p>
      <w:pPr>
        <w:pStyle w:val="24"/>
        <w:keepNext w:val="0"/>
        <w:keepLines w:val="0"/>
        <w:numPr>
          <w:ilvl w:val="0"/>
          <w:numId w:val="4"/>
        </w:numPr>
        <w:spacing w:before="0" w:after="0" w:line="560" w:lineRule="exact"/>
        <w:ind w:left="0" w:firstLine="640" w:firstLineChars="200"/>
        <w:rPr>
          <w:b w:val="0"/>
        </w:rPr>
      </w:pPr>
      <w:r>
        <w:rPr>
          <w:rFonts w:hint="eastAsia"/>
          <w:b w:val="0"/>
        </w:rPr>
        <w:t>绩效评价工作过程</w:t>
      </w:r>
    </w:p>
    <w:p>
      <w:pPr>
        <w:pStyle w:val="24"/>
        <w:keepNext w:val="0"/>
        <w:keepLines w:val="0"/>
        <w:numPr>
          <w:ilvl w:val="0"/>
          <w:numId w:val="0"/>
        </w:numPr>
        <w:spacing w:before="0" w:after="0" w:line="560" w:lineRule="exact"/>
        <w:ind w:firstLine="640" w:firstLineChars="200"/>
        <w:outlineLvl w:val="9"/>
        <w:rPr>
          <w:b w:val="0"/>
          <w:bCs w:val="0"/>
        </w:rPr>
      </w:pPr>
      <w:r>
        <w:rPr>
          <w:rFonts w:hint="eastAsia"/>
          <w:b w:val="0"/>
          <w:bCs w:val="0"/>
        </w:rPr>
        <w:t>本次评价成立了评价工作组，成员如下：</w:t>
      </w:r>
    </w:p>
    <w:tbl>
      <w:tblPr>
        <w:tblStyle w:val="13"/>
        <w:tblW w:w="8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1"/>
        <w:gridCol w:w="2841"/>
        <w:gridCol w:w="2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1" w:type="dxa"/>
            <w:vAlign w:val="center"/>
          </w:tcPr>
          <w:p>
            <w:pPr>
              <w:pStyle w:val="24"/>
              <w:keepNext w:val="0"/>
              <w:keepLines w:val="0"/>
              <w:numPr>
                <w:ilvl w:val="0"/>
                <w:numId w:val="0"/>
              </w:numPr>
              <w:spacing w:line="240" w:lineRule="atLeast"/>
              <w:jc w:val="center"/>
              <w:rPr>
                <w:rFonts w:ascii="宋体" w:hAnsi="宋体" w:eastAsia="宋体" w:cs="宋体"/>
                <w:sz w:val="20"/>
                <w:szCs w:val="20"/>
              </w:rPr>
            </w:pPr>
            <w:r>
              <w:rPr>
                <w:rFonts w:hint="eastAsia" w:ascii="宋体" w:hAnsi="宋体" w:eastAsia="宋体" w:cs="宋体"/>
                <w:sz w:val="20"/>
                <w:szCs w:val="20"/>
              </w:rPr>
              <w:t>评价人</w:t>
            </w:r>
          </w:p>
        </w:tc>
        <w:tc>
          <w:tcPr>
            <w:tcW w:w="2841" w:type="dxa"/>
            <w:vAlign w:val="center"/>
          </w:tcPr>
          <w:p>
            <w:pPr>
              <w:pStyle w:val="24"/>
              <w:keepNext w:val="0"/>
              <w:keepLines w:val="0"/>
              <w:numPr>
                <w:ilvl w:val="0"/>
                <w:numId w:val="0"/>
              </w:numPr>
              <w:spacing w:line="240" w:lineRule="atLeast"/>
              <w:jc w:val="center"/>
              <w:rPr>
                <w:rFonts w:ascii="宋体" w:hAnsi="宋体" w:eastAsia="宋体" w:cs="宋体"/>
                <w:sz w:val="20"/>
                <w:szCs w:val="20"/>
              </w:rPr>
            </w:pPr>
            <w:r>
              <w:rPr>
                <w:rFonts w:hint="eastAsia" w:ascii="宋体" w:hAnsi="宋体" w:eastAsia="宋体" w:cs="宋体"/>
                <w:sz w:val="20"/>
                <w:szCs w:val="20"/>
              </w:rPr>
              <w:t>职责</w:t>
            </w:r>
          </w:p>
        </w:tc>
        <w:tc>
          <w:tcPr>
            <w:tcW w:w="2843" w:type="dxa"/>
            <w:vAlign w:val="center"/>
          </w:tcPr>
          <w:p>
            <w:pPr>
              <w:pStyle w:val="24"/>
              <w:keepNext w:val="0"/>
              <w:keepLines w:val="0"/>
              <w:numPr>
                <w:ilvl w:val="0"/>
                <w:numId w:val="0"/>
              </w:numPr>
              <w:spacing w:line="240" w:lineRule="atLeast"/>
              <w:jc w:val="center"/>
              <w:rPr>
                <w:rFonts w:ascii="宋体" w:hAnsi="宋体" w:eastAsia="宋体" w:cs="宋体"/>
                <w:sz w:val="20"/>
                <w:szCs w:val="20"/>
              </w:rPr>
            </w:pPr>
            <w:r>
              <w:rPr>
                <w:rFonts w:hint="eastAsia" w:ascii="宋体" w:hAnsi="宋体" w:eastAsia="宋体" w:cs="宋体"/>
                <w:sz w:val="20"/>
                <w:szCs w:val="20"/>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1" w:type="dxa"/>
            <w:vAlign w:val="center"/>
          </w:tcPr>
          <w:p>
            <w:pPr>
              <w:pStyle w:val="24"/>
              <w:keepNext w:val="0"/>
              <w:keepLines w:val="0"/>
              <w:numPr>
                <w:ilvl w:val="0"/>
                <w:numId w:val="0"/>
              </w:numPr>
              <w:spacing w:line="240" w:lineRule="atLeast"/>
              <w:jc w:val="center"/>
              <w:rPr>
                <w:rFonts w:ascii="宋体" w:hAnsi="宋体" w:eastAsia="宋体" w:cs="宋体"/>
                <w:b w:val="0"/>
                <w:bCs w:val="0"/>
                <w:sz w:val="20"/>
                <w:szCs w:val="20"/>
              </w:rPr>
            </w:pPr>
            <w:r>
              <w:rPr>
                <w:rFonts w:hint="eastAsia" w:ascii="宋体" w:hAnsi="宋体" w:eastAsia="宋体" w:cs="宋体"/>
                <w:b w:val="0"/>
                <w:bCs w:val="0"/>
                <w:sz w:val="20"/>
                <w:szCs w:val="20"/>
              </w:rPr>
              <w:t>闫江浩</w:t>
            </w:r>
          </w:p>
        </w:tc>
        <w:tc>
          <w:tcPr>
            <w:tcW w:w="2841" w:type="dxa"/>
            <w:vAlign w:val="center"/>
          </w:tcPr>
          <w:p>
            <w:pPr>
              <w:pStyle w:val="24"/>
              <w:keepNext w:val="0"/>
              <w:keepLines w:val="0"/>
              <w:numPr>
                <w:ilvl w:val="0"/>
                <w:numId w:val="0"/>
              </w:numPr>
              <w:spacing w:line="240" w:lineRule="atLeast"/>
              <w:jc w:val="center"/>
              <w:rPr>
                <w:rFonts w:ascii="宋体" w:hAnsi="宋体" w:eastAsia="宋体" w:cs="宋体"/>
                <w:b w:val="0"/>
                <w:bCs w:val="0"/>
                <w:sz w:val="20"/>
                <w:szCs w:val="20"/>
              </w:rPr>
            </w:pPr>
            <w:r>
              <w:rPr>
                <w:rFonts w:hint="eastAsia" w:ascii="宋体" w:hAnsi="宋体" w:eastAsia="宋体" w:cs="宋体"/>
                <w:b w:val="0"/>
                <w:bCs w:val="0"/>
                <w:sz w:val="20"/>
                <w:szCs w:val="20"/>
              </w:rPr>
              <w:t>评价组组长</w:t>
            </w:r>
          </w:p>
        </w:tc>
        <w:tc>
          <w:tcPr>
            <w:tcW w:w="2843" w:type="dxa"/>
            <w:vAlign w:val="center"/>
          </w:tcPr>
          <w:p>
            <w:pPr>
              <w:pStyle w:val="24"/>
              <w:keepNext w:val="0"/>
              <w:keepLines w:val="0"/>
              <w:numPr>
                <w:ilvl w:val="0"/>
                <w:numId w:val="0"/>
              </w:numPr>
              <w:spacing w:line="240" w:lineRule="atLeast"/>
              <w:jc w:val="center"/>
              <w:rPr>
                <w:rFonts w:ascii="宋体" w:hAnsi="宋体" w:eastAsia="宋体" w:cs="宋体"/>
                <w:b w:val="0"/>
                <w:bCs w:val="0"/>
                <w:sz w:val="20"/>
                <w:szCs w:val="20"/>
              </w:rPr>
            </w:pPr>
            <w:r>
              <w:rPr>
                <w:rFonts w:hint="eastAsia" w:ascii="宋体" w:hAnsi="宋体" w:eastAsia="宋体" w:cs="宋体"/>
                <w:b w:val="0"/>
                <w:bCs w:val="0"/>
                <w:sz w:val="20"/>
                <w:szCs w:val="20"/>
              </w:rPr>
              <w:t>喀格勒克镇常务镇长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1" w:type="dxa"/>
            <w:vAlign w:val="center"/>
          </w:tcPr>
          <w:p>
            <w:pPr>
              <w:pStyle w:val="24"/>
              <w:keepNext w:val="0"/>
              <w:keepLines w:val="0"/>
              <w:numPr>
                <w:ilvl w:val="0"/>
                <w:numId w:val="0"/>
              </w:numPr>
              <w:spacing w:line="240" w:lineRule="atLeast"/>
              <w:jc w:val="center"/>
              <w:rPr>
                <w:rFonts w:ascii="宋体" w:hAnsi="宋体" w:eastAsia="宋体" w:cs="宋体"/>
                <w:b w:val="0"/>
                <w:bCs w:val="0"/>
                <w:sz w:val="20"/>
                <w:szCs w:val="20"/>
              </w:rPr>
            </w:pPr>
            <w:r>
              <w:rPr>
                <w:rFonts w:hint="eastAsia" w:ascii="宋体" w:hAnsi="宋体" w:eastAsia="宋体" w:cs="宋体"/>
                <w:b w:val="0"/>
                <w:bCs w:val="0"/>
                <w:sz w:val="20"/>
                <w:szCs w:val="20"/>
              </w:rPr>
              <w:t>阿依怒尔吐尔逊</w:t>
            </w:r>
          </w:p>
        </w:tc>
        <w:tc>
          <w:tcPr>
            <w:tcW w:w="2841" w:type="dxa"/>
            <w:vAlign w:val="center"/>
          </w:tcPr>
          <w:p>
            <w:pPr>
              <w:pStyle w:val="24"/>
              <w:keepNext w:val="0"/>
              <w:keepLines w:val="0"/>
              <w:numPr>
                <w:ilvl w:val="0"/>
                <w:numId w:val="0"/>
              </w:numPr>
              <w:spacing w:line="240" w:lineRule="atLeast"/>
              <w:jc w:val="center"/>
              <w:rPr>
                <w:rFonts w:ascii="宋体" w:hAnsi="宋体" w:eastAsia="宋体" w:cs="宋体"/>
                <w:b w:val="0"/>
                <w:bCs w:val="0"/>
                <w:sz w:val="20"/>
                <w:szCs w:val="20"/>
              </w:rPr>
            </w:pPr>
            <w:r>
              <w:rPr>
                <w:rFonts w:hint="eastAsia" w:ascii="宋体" w:hAnsi="宋体" w:eastAsia="宋体" w:cs="宋体"/>
                <w:b w:val="0"/>
                <w:bCs w:val="0"/>
                <w:sz w:val="20"/>
                <w:szCs w:val="20"/>
              </w:rPr>
              <w:t>评价组成员</w:t>
            </w:r>
          </w:p>
        </w:tc>
        <w:tc>
          <w:tcPr>
            <w:tcW w:w="2843" w:type="dxa"/>
            <w:vAlign w:val="center"/>
          </w:tcPr>
          <w:p>
            <w:pPr>
              <w:pStyle w:val="24"/>
              <w:keepNext w:val="0"/>
              <w:keepLines w:val="0"/>
              <w:numPr>
                <w:ilvl w:val="0"/>
                <w:numId w:val="0"/>
              </w:numPr>
              <w:spacing w:line="240" w:lineRule="atLeast"/>
              <w:jc w:val="center"/>
              <w:rPr>
                <w:rFonts w:ascii="宋体" w:hAnsi="宋体" w:eastAsia="宋体" w:cs="宋体"/>
                <w:b w:val="0"/>
                <w:bCs w:val="0"/>
                <w:sz w:val="20"/>
                <w:szCs w:val="20"/>
              </w:rPr>
            </w:pPr>
            <w:r>
              <w:rPr>
                <w:rFonts w:hint="eastAsia" w:ascii="宋体" w:hAnsi="宋体" w:eastAsia="宋体" w:cs="宋体"/>
                <w:b w:val="0"/>
                <w:bCs w:val="0"/>
                <w:sz w:val="20"/>
                <w:szCs w:val="20"/>
              </w:rPr>
              <w:t>民政干事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1" w:type="dxa"/>
            <w:vAlign w:val="center"/>
          </w:tcPr>
          <w:p>
            <w:pPr>
              <w:pStyle w:val="24"/>
              <w:keepNext w:val="0"/>
              <w:keepLines w:val="0"/>
              <w:numPr>
                <w:ilvl w:val="0"/>
                <w:numId w:val="0"/>
              </w:numPr>
              <w:spacing w:line="240" w:lineRule="atLeast"/>
              <w:jc w:val="center"/>
              <w:rPr>
                <w:rFonts w:ascii="宋体" w:hAnsi="宋体" w:eastAsia="宋体" w:cs="宋体"/>
                <w:b w:val="0"/>
                <w:bCs w:val="0"/>
                <w:sz w:val="20"/>
                <w:szCs w:val="20"/>
              </w:rPr>
            </w:pPr>
            <w:r>
              <w:rPr>
                <w:rFonts w:hint="eastAsia" w:ascii="宋体" w:hAnsi="宋体" w:eastAsia="宋体" w:cs="宋体"/>
                <w:b w:val="0"/>
                <w:bCs w:val="0"/>
                <w:sz w:val="20"/>
                <w:szCs w:val="20"/>
              </w:rPr>
              <w:t>冯东梅</w:t>
            </w:r>
          </w:p>
        </w:tc>
        <w:tc>
          <w:tcPr>
            <w:tcW w:w="2841" w:type="dxa"/>
            <w:vAlign w:val="center"/>
          </w:tcPr>
          <w:p>
            <w:pPr>
              <w:pStyle w:val="24"/>
              <w:keepNext w:val="0"/>
              <w:keepLines w:val="0"/>
              <w:numPr>
                <w:ilvl w:val="0"/>
                <w:numId w:val="0"/>
              </w:numPr>
              <w:spacing w:line="240" w:lineRule="atLeast"/>
              <w:jc w:val="center"/>
              <w:rPr>
                <w:rFonts w:ascii="宋体" w:hAnsi="宋体" w:eastAsia="宋体" w:cs="宋体"/>
                <w:b w:val="0"/>
                <w:bCs w:val="0"/>
                <w:sz w:val="20"/>
                <w:szCs w:val="20"/>
              </w:rPr>
            </w:pPr>
            <w:r>
              <w:rPr>
                <w:rFonts w:hint="eastAsia" w:ascii="宋体" w:hAnsi="宋体" w:eastAsia="宋体" w:cs="宋体"/>
                <w:b w:val="0"/>
                <w:bCs w:val="0"/>
                <w:sz w:val="20"/>
                <w:szCs w:val="20"/>
              </w:rPr>
              <w:t>评价组成员</w:t>
            </w:r>
          </w:p>
        </w:tc>
        <w:tc>
          <w:tcPr>
            <w:tcW w:w="2843" w:type="dxa"/>
            <w:vAlign w:val="center"/>
          </w:tcPr>
          <w:p>
            <w:pPr>
              <w:pStyle w:val="24"/>
              <w:keepNext w:val="0"/>
              <w:keepLines w:val="0"/>
              <w:numPr>
                <w:ilvl w:val="0"/>
                <w:numId w:val="0"/>
              </w:numPr>
              <w:spacing w:line="240" w:lineRule="atLeast"/>
              <w:jc w:val="center"/>
              <w:rPr>
                <w:rFonts w:ascii="宋体" w:hAnsi="宋体" w:eastAsia="宋体" w:cs="宋体"/>
                <w:b w:val="0"/>
                <w:bCs w:val="0"/>
                <w:sz w:val="20"/>
                <w:szCs w:val="20"/>
              </w:rPr>
            </w:pPr>
            <w:r>
              <w:rPr>
                <w:rFonts w:hint="eastAsia" w:ascii="宋体" w:hAnsi="宋体" w:eastAsia="宋体" w:cs="宋体"/>
                <w:b w:val="0"/>
                <w:bCs w:val="0"/>
                <w:sz w:val="20"/>
                <w:szCs w:val="20"/>
              </w:rPr>
              <w:t>财务人员</w:t>
            </w:r>
          </w:p>
        </w:tc>
      </w:tr>
    </w:tbl>
    <w:p>
      <w:pPr>
        <w:spacing w:line="560" w:lineRule="exact"/>
        <w:ind w:firstLine="640" w:firstLineChars="200"/>
        <w:rPr>
          <w:rFonts w:ascii="仿宋_GB2312" w:eastAsia="仿宋_GB2312" w:cs="Times New Roman" w:hAnsiTheme="majorHAnsi"/>
          <w:sz w:val="32"/>
          <w:szCs w:val="32"/>
        </w:rPr>
      </w:pPr>
      <w:r>
        <w:rPr>
          <w:rFonts w:hint="eastAsia" w:ascii="仿宋_GB2312" w:eastAsia="仿宋_GB2312" w:cs="Times New Roman" w:hAnsiTheme="majorHAnsi"/>
          <w:sz w:val="32"/>
          <w:szCs w:val="32"/>
        </w:rPr>
        <w:t>本次评价从绩效目标的设定、绩效指标的分析、项目资金执行率等几个方面对项目进行分析评价，对项目资金使用及管理情况、项目组织情况、项目实施后形成的社会效益以及收益群众满意度进行调查并形成评价结论。项目实施后，项目评价组各成员对项目确定评价意见，并出具评价报告。</w:t>
      </w:r>
    </w:p>
    <w:p>
      <w:pPr>
        <w:pStyle w:val="22"/>
        <w:numPr>
          <w:ilvl w:val="0"/>
          <w:numId w:val="2"/>
        </w:numPr>
        <w:spacing w:before="0" w:after="0" w:line="560" w:lineRule="exact"/>
        <w:ind w:left="0" w:firstLine="640"/>
        <w:rPr>
          <w:b w:val="0"/>
          <w:color w:val="000000" w:themeColor="text1"/>
        </w:rPr>
      </w:pPr>
      <w:bookmarkStart w:id="7" w:name="_Toc26401558"/>
      <w:r>
        <w:rPr>
          <w:rFonts w:hint="eastAsia" w:ascii="黑体" w:hAnsi="黑体"/>
          <w:b w:val="0"/>
          <w:color w:val="000000" w:themeColor="text1"/>
        </w:rPr>
        <w:t>综合评价情况及评价结论</w:t>
      </w:r>
    </w:p>
    <w:p>
      <w:pPr>
        <w:pStyle w:val="22"/>
        <w:spacing w:before="0" w:after="0" w:line="560" w:lineRule="exact"/>
        <w:ind w:firstLine="640"/>
        <w:rPr>
          <w:rFonts w:ascii="仿宋_GB2312" w:eastAsia="仿宋_GB2312" w:hAnsiTheme="majorHAnsi"/>
          <w:b w:val="0"/>
          <w:bCs w:val="0"/>
          <w:kern w:val="2"/>
        </w:rPr>
      </w:pPr>
      <w:r>
        <w:rPr>
          <w:rFonts w:hint="eastAsia" w:ascii="仿宋_GB2312" w:eastAsia="仿宋_GB2312" w:hAnsiTheme="majorHAnsi"/>
          <w:b w:val="0"/>
          <w:bCs w:val="0"/>
          <w:kern w:val="2"/>
        </w:rPr>
        <w:t>经评价组通过实地调研、资料分析等方式，采用综合分析法、成本效益分析法等对项目的决策、管理、绩效进行的综合评价分析，项目得分为97分，</w:t>
      </w:r>
      <w:r>
        <w:rPr>
          <w:rFonts w:hint="eastAsia" w:ascii="仿宋_GB2312" w:eastAsia="仿宋_GB2312" w:hAnsiTheme="majorHAnsi"/>
          <w:b w:val="0"/>
          <w:bCs w:val="0"/>
          <w:color w:val="000000" w:themeColor="text1"/>
          <w:kern w:val="2"/>
        </w:rPr>
        <w:t>评价结果为优，</w:t>
      </w:r>
      <w:r>
        <w:rPr>
          <w:rFonts w:hint="eastAsia" w:ascii="仿宋_GB2312" w:eastAsia="仿宋_GB2312" w:hAnsiTheme="majorHAnsi"/>
          <w:b w:val="0"/>
          <w:bCs w:val="0"/>
          <w:kern w:val="2"/>
        </w:rPr>
        <w:t>详见附件4。</w:t>
      </w:r>
    </w:p>
    <w:p>
      <w:pPr>
        <w:pStyle w:val="22"/>
        <w:numPr>
          <w:ilvl w:val="0"/>
          <w:numId w:val="2"/>
        </w:numPr>
        <w:spacing w:before="0" w:after="0" w:line="560" w:lineRule="exact"/>
        <w:ind w:left="0" w:firstLine="640"/>
        <w:rPr>
          <w:b w:val="0"/>
        </w:rPr>
      </w:pPr>
      <w:r>
        <w:rPr>
          <w:rFonts w:hint="eastAsia"/>
          <w:b w:val="0"/>
        </w:rPr>
        <w:t>绩效评价指标分析</w:t>
      </w:r>
      <w:bookmarkEnd w:id="7"/>
    </w:p>
    <w:p>
      <w:pPr>
        <w:pStyle w:val="18"/>
        <w:numPr>
          <w:ilvl w:val="0"/>
          <w:numId w:val="7"/>
        </w:numPr>
        <w:spacing w:line="560" w:lineRule="exact"/>
        <w:ind w:left="0" w:firstLine="640"/>
        <w:rPr>
          <w:rFonts w:ascii="仿宋_GB2312" w:hAnsi="仿宋" w:eastAsia="仿宋_GB2312" w:cs="宋体"/>
          <w:bCs/>
          <w:sz w:val="32"/>
          <w:szCs w:val="32"/>
        </w:rPr>
      </w:pPr>
      <w:r>
        <w:rPr>
          <w:rFonts w:hint="eastAsia" w:ascii="仿宋_GB2312" w:hAnsi="仿宋" w:eastAsia="仿宋_GB2312" w:cs="宋体"/>
          <w:bCs/>
          <w:sz w:val="32"/>
          <w:szCs w:val="32"/>
        </w:rPr>
        <w:t>项目的决策情况</w:t>
      </w:r>
    </w:p>
    <w:p>
      <w:pPr>
        <w:pStyle w:val="27"/>
        <w:spacing w:line="560" w:lineRule="exact"/>
        <w:ind w:firstLine="640"/>
        <w:rPr>
          <w:rFonts w:ascii="仿宋_GB2312" w:hAnsi="仿宋" w:cs="宋体"/>
          <w:sz w:val="32"/>
          <w:szCs w:val="32"/>
        </w:rPr>
      </w:pPr>
      <w:r>
        <w:rPr>
          <w:rFonts w:hint="eastAsia" w:ascii="仿宋_GB2312" w:hAnsi="仿宋" w:cs="宋体"/>
          <w:sz w:val="32"/>
          <w:szCs w:val="32"/>
        </w:rPr>
        <w:t>1.决策依据</w:t>
      </w:r>
    </w:p>
    <w:p>
      <w:pPr>
        <w:pStyle w:val="27"/>
        <w:spacing w:line="560" w:lineRule="exact"/>
        <w:ind w:firstLine="640"/>
        <w:rPr>
          <w:rFonts w:ascii="仿宋_GB2312" w:hAnsi="仿宋" w:cs="宋体"/>
          <w:sz w:val="32"/>
          <w:szCs w:val="32"/>
        </w:rPr>
      </w:pPr>
      <w:r>
        <w:rPr>
          <w:rFonts w:hint="eastAsia" w:ascii="仿宋_GB2312" w:hAnsi="仿宋" w:cs="宋体"/>
          <w:sz w:val="32"/>
          <w:szCs w:val="32"/>
        </w:rPr>
        <w:t>本项目根据《关于精准做好城乡低保工作的通知》（新民发〔</w:t>
      </w:r>
      <w:r>
        <w:rPr>
          <w:rFonts w:ascii="仿宋_GB2312" w:hAnsi="仿宋" w:cs="宋体"/>
          <w:sz w:val="32"/>
          <w:szCs w:val="32"/>
        </w:rPr>
        <w:t>2019〕12号）</w:t>
      </w:r>
      <w:r>
        <w:rPr>
          <w:rFonts w:hint="eastAsia" w:ascii="仿宋_GB2312" w:hAnsi="仿宋" w:cs="宋体"/>
          <w:sz w:val="32"/>
          <w:szCs w:val="32"/>
        </w:rPr>
        <w:t>、《关于全面开展特困人员精准救助工作的通知》、《关于下发〈喀什地区综合社会保障兜底工程实施方案〉的通知》、《关于印发〈喀什地区全面建立五保老人供养制度实施方案〉的通知》、《关于拨付</w:t>
      </w:r>
      <w:r>
        <w:rPr>
          <w:rFonts w:ascii="仿宋_GB2312" w:hAnsi="仿宋" w:cs="宋体"/>
          <w:sz w:val="32"/>
          <w:szCs w:val="32"/>
        </w:rPr>
        <w:t>2019年中央财政困难群众救助资金预算的通知</w:t>
      </w:r>
      <w:r>
        <w:rPr>
          <w:rFonts w:hint="eastAsia" w:ascii="仿宋_GB2312" w:hAnsi="仿宋" w:cs="宋体"/>
          <w:sz w:val="32"/>
          <w:szCs w:val="32"/>
        </w:rPr>
        <w:t>》（喀地财社〔2019</w:t>
      </w:r>
      <w:r>
        <w:rPr>
          <w:rFonts w:ascii="仿宋_GB2312" w:hAnsi="仿宋" w:cs="宋体"/>
          <w:sz w:val="32"/>
          <w:szCs w:val="32"/>
        </w:rPr>
        <w:t>〕</w:t>
      </w:r>
      <w:r>
        <w:rPr>
          <w:rFonts w:hint="eastAsia" w:ascii="仿宋_GB2312" w:hAnsi="仿宋" w:cs="宋体"/>
          <w:sz w:val="32"/>
          <w:szCs w:val="32"/>
        </w:rPr>
        <w:t>73号）、《关于提前下达</w:t>
      </w:r>
      <w:r>
        <w:rPr>
          <w:rFonts w:ascii="仿宋_GB2312" w:hAnsi="仿宋" w:cs="宋体"/>
          <w:sz w:val="32"/>
          <w:szCs w:val="32"/>
        </w:rPr>
        <w:t>2019年困难群众救助补助预算的通知</w:t>
      </w:r>
      <w:r>
        <w:rPr>
          <w:rFonts w:hint="eastAsia" w:ascii="仿宋_GB2312" w:hAnsi="仿宋" w:cs="宋体"/>
          <w:sz w:val="32"/>
          <w:szCs w:val="32"/>
        </w:rPr>
        <w:t>》（喀地财社〔2019</w:t>
      </w:r>
      <w:r>
        <w:rPr>
          <w:rFonts w:ascii="仿宋_GB2312" w:hAnsi="仿宋" w:cs="宋体"/>
          <w:sz w:val="32"/>
          <w:szCs w:val="32"/>
        </w:rPr>
        <w:t>〕</w:t>
      </w:r>
      <w:r>
        <w:rPr>
          <w:rFonts w:hint="eastAsia" w:ascii="仿宋_GB2312" w:hAnsi="仿宋" w:cs="宋体"/>
          <w:sz w:val="32"/>
          <w:szCs w:val="32"/>
        </w:rPr>
        <w:t>4号）文件立项。</w:t>
      </w:r>
      <w:r>
        <w:rPr>
          <w:rFonts w:hint="eastAsia" w:ascii="仿宋_GB2312" w:hAnsi="仿宋" w:cs="宋体"/>
          <w:color w:val="000000" w:themeColor="text1"/>
          <w:sz w:val="32"/>
          <w:szCs w:val="32"/>
        </w:rPr>
        <w:t>根据《叶城县喀格勒克镇人民政府项目资金管理制度》和《叶城县喀格勒克镇财务收支审批制度》进行资金支付和管理</w:t>
      </w:r>
      <w:r>
        <w:rPr>
          <w:rFonts w:hint="eastAsia" w:ascii="仿宋_GB2312" w:hAnsi="仿宋" w:cs="宋体"/>
          <w:sz w:val="32"/>
          <w:szCs w:val="32"/>
        </w:rPr>
        <w:t>。</w:t>
      </w:r>
    </w:p>
    <w:p>
      <w:pPr>
        <w:pStyle w:val="27"/>
        <w:spacing w:line="560" w:lineRule="exact"/>
        <w:ind w:firstLine="640"/>
        <w:rPr>
          <w:rFonts w:ascii="仿宋_GB2312" w:hAnsi="仿宋" w:cs="宋体"/>
          <w:sz w:val="32"/>
          <w:szCs w:val="32"/>
        </w:rPr>
      </w:pPr>
      <w:r>
        <w:rPr>
          <w:rFonts w:hint="eastAsia" w:ascii="仿宋_GB2312" w:hAnsi="仿宋" w:cs="宋体"/>
          <w:sz w:val="32"/>
          <w:szCs w:val="32"/>
        </w:rPr>
        <w:t>2.决策程序</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根据相关通知，此项目负责成员前期研读政策文件、了解类似项目投入使用情况等，并召开工作会议分析讨论，最后确定预算明细及金额，预算编制经过科学论证、有明确标准，资金额度与年度目标是否相适应，与地方实际标准相适应。</w:t>
      </w:r>
    </w:p>
    <w:p>
      <w:pPr>
        <w:pStyle w:val="27"/>
        <w:spacing w:line="560" w:lineRule="exact"/>
        <w:ind w:firstLine="640"/>
        <w:rPr>
          <w:rFonts w:ascii="仿宋_GB2312" w:hAnsi="仿宋" w:cs="宋体"/>
          <w:sz w:val="32"/>
          <w:szCs w:val="32"/>
        </w:rPr>
      </w:pPr>
      <w:r>
        <w:rPr>
          <w:rFonts w:hint="eastAsia" w:ascii="仿宋_GB2312" w:hAnsi="仿宋" w:cs="宋体"/>
          <w:sz w:val="32"/>
          <w:szCs w:val="32"/>
        </w:rPr>
        <w:t>根据困难群众补助项目文件，本单位负责人及项目成员对政策文件进行研读，</w:t>
      </w:r>
      <w:r>
        <w:rPr>
          <w:rFonts w:ascii="仿宋_GB2312" w:hAnsi="仿宋" w:cs="宋体"/>
          <w:sz w:val="32"/>
          <w:szCs w:val="32"/>
        </w:rPr>
        <w:t xml:space="preserve"> </w:t>
      </w:r>
      <w:r>
        <w:rPr>
          <w:rFonts w:hint="eastAsia" w:ascii="仿宋_GB2312" w:hAnsi="仿宋" w:cs="宋体"/>
          <w:sz w:val="32"/>
          <w:szCs w:val="32"/>
        </w:rPr>
        <w:t>项目根据《关于拨付</w:t>
      </w:r>
      <w:r>
        <w:rPr>
          <w:rFonts w:ascii="仿宋_GB2312" w:hAnsi="仿宋" w:cs="宋体"/>
          <w:sz w:val="32"/>
          <w:szCs w:val="32"/>
        </w:rPr>
        <w:t>2019年中央财政困难群众救助资金预算的通知</w:t>
      </w:r>
      <w:r>
        <w:rPr>
          <w:rFonts w:hint="eastAsia" w:ascii="仿宋_GB2312" w:hAnsi="仿宋" w:cs="宋体"/>
          <w:sz w:val="32"/>
          <w:szCs w:val="32"/>
        </w:rPr>
        <w:t>》（喀地财社〔2019</w:t>
      </w:r>
      <w:r>
        <w:rPr>
          <w:rFonts w:ascii="仿宋_GB2312" w:hAnsi="仿宋" w:cs="宋体"/>
          <w:sz w:val="32"/>
          <w:szCs w:val="32"/>
        </w:rPr>
        <w:t>〕</w:t>
      </w:r>
      <w:r>
        <w:rPr>
          <w:rFonts w:hint="eastAsia" w:ascii="仿宋_GB2312" w:hAnsi="仿宋" w:cs="宋体"/>
          <w:sz w:val="32"/>
          <w:szCs w:val="32"/>
        </w:rPr>
        <w:t>73号）、《关于提前下达</w:t>
      </w:r>
      <w:r>
        <w:rPr>
          <w:rFonts w:ascii="仿宋_GB2312" w:hAnsi="仿宋" w:cs="宋体"/>
          <w:sz w:val="32"/>
          <w:szCs w:val="32"/>
        </w:rPr>
        <w:t>2019年困难群众救助补助预算的通知</w:t>
      </w:r>
      <w:r>
        <w:rPr>
          <w:rFonts w:hint="eastAsia" w:ascii="仿宋_GB2312" w:hAnsi="仿宋" w:cs="宋体"/>
          <w:sz w:val="32"/>
          <w:szCs w:val="32"/>
        </w:rPr>
        <w:t>》（喀地财社〔2019</w:t>
      </w:r>
      <w:r>
        <w:rPr>
          <w:rFonts w:ascii="仿宋_GB2312" w:hAnsi="仿宋" w:cs="宋体"/>
          <w:sz w:val="32"/>
          <w:szCs w:val="32"/>
        </w:rPr>
        <w:t>〕</w:t>
      </w:r>
      <w:r>
        <w:rPr>
          <w:rFonts w:hint="eastAsia" w:ascii="仿宋_GB2312" w:hAnsi="仿宋" w:cs="宋体"/>
          <w:sz w:val="32"/>
          <w:szCs w:val="32"/>
        </w:rPr>
        <w:t>4号）文件的要求设置了绩效目标，项目绩效目标基本合理。</w:t>
      </w:r>
    </w:p>
    <w:p>
      <w:pPr>
        <w:pStyle w:val="27"/>
        <w:spacing w:line="560" w:lineRule="exact"/>
        <w:ind w:firstLine="640"/>
        <w:rPr>
          <w:rFonts w:ascii="仿宋_GB2312" w:hAnsi="仿宋" w:cs="宋体"/>
          <w:sz w:val="32"/>
          <w:szCs w:val="32"/>
        </w:rPr>
      </w:pPr>
      <w:r>
        <w:rPr>
          <w:rFonts w:hint="eastAsia" w:ascii="仿宋_GB2312" w:hAnsi="仿宋" w:cs="宋体"/>
          <w:sz w:val="32"/>
          <w:szCs w:val="32"/>
        </w:rPr>
        <w:t>3.目标设置</w:t>
      </w:r>
    </w:p>
    <w:p>
      <w:pPr>
        <w:spacing w:line="560" w:lineRule="exact"/>
        <w:ind w:firstLine="640" w:firstLineChars="200"/>
      </w:pPr>
      <w:r>
        <w:rPr>
          <w:rFonts w:ascii="仿宋_GB2312" w:hAnsi="仿宋" w:eastAsia="仿宋_GB2312" w:cs="宋体"/>
          <w:sz w:val="32"/>
          <w:szCs w:val="32"/>
        </w:rPr>
        <w:t>该项目前期项目单位已设置了明确、量化的绩效目标，但其部分绩效指标的设置过于笼统不够细化，经评价小组与</w:t>
      </w:r>
      <w:r>
        <w:rPr>
          <w:rFonts w:hint="eastAsia" w:ascii="仿宋_GB2312" w:hAnsi="仿宋" w:eastAsia="仿宋_GB2312" w:cs="宋体"/>
          <w:sz w:val="32"/>
          <w:szCs w:val="32"/>
        </w:rPr>
        <w:t>叶城县绩效评价中心进行咨询</w:t>
      </w:r>
      <w:r>
        <w:rPr>
          <w:rFonts w:ascii="仿宋_GB2312" w:hAnsi="仿宋" w:eastAsia="仿宋_GB2312" w:cs="宋体"/>
          <w:sz w:val="32"/>
          <w:szCs w:val="32"/>
        </w:rPr>
        <w:t>，将原有的绩效目标和绩效指标根据项目实际开展情况进一步细化，将绩效目标细分，精准设置绩效指标及准确指标值的表述，因此该项目绩效评价指标体系可明确反映项目目标，项目绩效评价指标体系分为 2 类指标，其中：共性指标数量为</w:t>
      </w:r>
      <w:r>
        <w:rPr>
          <w:rFonts w:hint="eastAsia" w:ascii="仿宋_GB2312" w:hAnsi="仿宋" w:eastAsia="仿宋_GB2312" w:cs="宋体"/>
          <w:sz w:val="32"/>
          <w:szCs w:val="32"/>
        </w:rPr>
        <w:t>3</w:t>
      </w:r>
      <w:r>
        <w:rPr>
          <w:rFonts w:ascii="仿宋_GB2312" w:hAnsi="仿宋" w:eastAsia="仿宋_GB2312" w:cs="宋体"/>
          <w:sz w:val="32"/>
          <w:szCs w:val="32"/>
        </w:rPr>
        <w:t>个，</w:t>
      </w:r>
      <w:r>
        <w:rPr>
          <w:rFonts w:hint="eastAsia" w:ascii="仿宋_GB2312" w:hAnsi="仿宋" w:eastAsia="仿宋_GB2312" w:cs="宋体"/>
          <w:sz w:val="32"/>
          <w:szCs w:val="32"/>
        </w:rPr>
        <w:t>分别是立项依据充分性，绩效指标明确性及资金分配合理性。</w:t>
      </w:r>
      <w:r>
        <w:rPr>
          <w:rFonts w:ascii="仿宋_GB2312" w:hAnsi="仿宋" w:eastAsia="仿宋_GB2312" w:cs="宋体"/>
          <w:sz w:val="32"/>
          <w:szCs w:val="32"/>
        </w:rPr>
        <w:t>个性指标包括该项目的数量指标、质量指标、时效指标、成本指标、社会效益指标、可持续影响指标以及满意度指标等</w:t>
      </w:r>
      <w:r>
        <w:rPr>
          <w:rFonts w:hint="eastAsia" w:ascii="仿宋_GB2312" w:hAnsi="仿宋" w:eastAsia="仿宋_GB2312" w:cs="宋体"/>
          <w:sz w:val="32"/>
          <w:szCs w:val="32"/>
        </w:rPr>
        <w:t>，共计7个</w:t>
      </w:r>
      <w:r>
        <w:rPr>
          <w:rFonts w:ascii="仿宋_GB2312" w:hAnsi="仿宋" w:eastAsia="仿宋_GB2312" w:cs="宋体"/>
          <w:sz w:val="32"/>
          <w:szCs w:val="32"/>
        </w:rPr>
        <w:t>。</w:t>
      </w:r>
    </w:p>
    <w:p>
      <w:pPr>
        <w:pStyle w:val="18"/>
        <w:numPr>
          <w:ilvl w:val="0"/>
          <w:numId w:val="7"/>
        </w:numPr>
        <w:spacing w:line="560" w:lineRule="exact"/>
        <w:ind w:left="0" w:firstLine="640"/>
        <w:rPr>
          <w:rFonts w:ascii="仿宋_GB2312" w:hAnsi="仿宋" w:eastAsia="仿宋_GB2312" w:cs="宋体"/>
          <w:bCs/>
          <w:sz w:val="32"/>
          <w:szCs w:val="32"/>
        </w:rPr>
      </w:pPr>
      <w:r>
        <w:rPr>
          <w:rFonts w:hint="eastAsia" w:ascii="仿宋_GB2312" w:hAnsi="仿宋" w:eastAsia="仿宋_GB2312" w:cs="宋体"/>
          <w:bCs/>
          <w:sz w:val="32"/>
          <w:szCs w:val="32"/>
        </w:rPr>
        <w:t>项目的过程情况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1.资金管理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项目资金到位充足及时，专资金的拨付本着专款专用的原则，实行“专人管理、专项使用”。严格执行项目资金批准的使用计划和项目批复内容，不擅自调项、扩项、缩项，更不拆借、挪用、挤占和随意扣压；资金拨付动向按专项资金的要求不任意改变。严格按照专项资金出身、审核制度，不缺项和越程序办理手续，资金拨付有完整的审批程序和手续，符合困难群众补助项目预算批复的用途；不存在截留、挤占、挪用、虚列支出等情况。   </w:t>
      </w:r>
    </w:p>
    <w:p>
      <w:pPr>
        <w:pStyle w:val="18"/>
        <w:numPr>
          <w:ilvl w:val="0"/>
          <w:numId w:val="5"/>
        </w:numPr>
        <w:spacing w:line="560" w:lineRule="exact"/>
        <w:ind w:left="0" w:firstLine="640"/>
        <w:rPr>
          <w:rFonts w:ascii="仿宋_GB2312" w:eastAsia="仿宋_GB2312"/>
          <w:sz w:val="32"/>
          <w:szCs w:val="32"/>
        </w:rPr>
      </w:pPr>
      <w:r>
        <w:rPr>
          <w:rFonts w:hint="eastAsia" w:ascii="仿宋_GB2312" w:eastAsia="仿宋_GB2312"/>
          <w:sz w:val="32"/>
          <w:szCs w:val="32"/>
        </w:rPr>
        <w:t>组织实施</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叶城县喀格勒克镇民政办已制定《叶城县喀格勒克镇民政资金项目管理制度》，制度具有合法性、合规性和完整性。困难群众补助项目的实施严格遵守地区下达的项目政策文件和资金制度要求进行补助支付。本项目由民政局的下属单位城乡居民最低生活保障服务中心核算汇总城乡低保、城乡特困，由社会福利科核算汇总临时救助，汇总表经单位负责人签字后交由财务室，财务室严格按照资金支出的管理办法，对各项补助进行打卡发放。</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本项目不存在调整情况。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叶城县喀格勒克镇依据城乡最低生活保障核对机制数据库，精准认定低保等救助对象，制作实名制花名册及当期发放的民政社会救助资金数额清单。对当期发放的民政社会救助资金数额清单报上级民政部门。</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对实行社会化发放有困难的救助对象开展上门服务，教会操作方法，帮助领取救助资金，积极推进社会化发放有效落实。并按时将救助对象名单、救助资金数额等送到村“两委”和社区组织，在村（社区）进行公示公开。</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督促农村信用社将“救助资金专用卡”发放到户，根据救助对象变动情况，协助及时发放或收回。救助对象账户发生变更(换卡、挂失等情形)情况，由村（社区）民政协理员负责代办有关手续。</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指导乡镇人民政府（街道办事处）严格按照要求落实好救助政策、救助对象和救助资金的公示公开并自觉接受群众的监督。</w:t>
      </w:r>
    </w:p>
    <w:p>
      <w:pPr>
        <w:spacing w:line="560" w:lineRule="exact"/>
        <w:ind w:firstLine="640" w:firstLineChars="200"/>
        <w:rPr>
          <w:rFonts w:ascii="仿宋_GB2312" w:hAnsi="仿宋" w:eastAsia="仿宋_GB2312" w:cs="宋体"/>
          <w:color w:val="FF0000"/>
          <w:sz w:val="32"/>
          <w:szCs w:val="32"/>
        </w:rPr>
      </w:pPr>
      <w:r>
        <w:rPr>
          <w:rFonts w:hint="eastAsia" w:ascii="仿宋_GB2312" w:hAnsi="仿宋" w:eastAsia="仿宋_GB2312" w:cs="宋体"/>
          <w:sz w:val="32"/>
          <w:szCs w:val="32"/>
        </w:rPr>
        <w:t>社会救助补助资金的发放清册齐全并做到及时归档，健全档案管理措施。</w:t>
      </w:r>
    </w:p>
    <w:p>
      <w:pPr>
        <w:pStyle w:val="18"/>
        <w:numPr>
          <w:ilvl w:val="0"/>
          <w:numId w:val="7"/>
        </w:numPr>
        <w:spacing w:line="560" w:lineRule="exact"/>
        <w:ind w:left="0" w:firstLine="640"/>
        <w:rPr>
          <w:rFonts w:ascii="仿宋_GB2312" w:hAnsi="仿宋" w:eastAsia="仿宋_GB2312" w:cs="宋体"/>
          <w:bCs/>
          <w:sz w:val="32"/>
          <w:szCs w:val="32"/>
        </w:rPr>
      </w:pPr>
      <w:r>
        <w:rPr>
          <w:rFonts w:hint="eastAsia" w:ascii="仿宋_GB2312" w:hAnsi="仿宋" w:eastAsia="仿宋_GB2312" w:cs="宋体"/>
          <w:bCs/>
          <w:sz w:val="32"/>
          <w:szCs w:val="32"/>
        </w:rPr>
        <w:t>项目产出情况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本项目成功为城市低保6658人发放了生活补助；供养了福为生活无依的五保老人保障了的基本生活，</w:t>
      </w:r>
      <w:r>
        <w:rPr>
          <w:rFonts w:ascii="仿宋_GB2312" w:hAnsi="仿宋" w:eastAsia="仿宋_GB2312" w:cs="宋体"/>
          <w:sz w:val="32"/>
          <w:szCs w:val="32"/>
        </w:rPr>
        <w:t>为生活无着流动人员、流浪未成年人提供临时补助、临时监护责任</w:t>
      </w:r>
      <w:r>
        <w:rPr>
          <w:rFonts w:hint="eastAsia" w:ascii="仿宋_GB2312" w:eastAsia="仿宋_GB2312"/>
          <w:sz w:val="32"/>
          <w:szCs w:val="32"/>
        </w:rPr>
        <w:t>。</w:t>
      </w:r>
      <w:r>
        <w:rPr>
          <w:rFonts w:hint="eastAsia" w:ascii="仿宋_GB2312" w:hAnsi="仿宋" w:eastAsia="仿宋_GB2312" w:cs="宋体"/>
          <w:sz w:val="32"/>
          <w:szCs w:val="32"/>
        </w:rPr>
        <w:t>根据年</w:t>
      </w:r>
      <w:r>
        <w:rPr>
          <w:rFonts w:hint="eastAsia" w:ascii="仿宋_GB2312" w:eastAsia="仿宋_GB2312"/>
          <w:sz w:val="32"/>
          <w:szCs w:val="32"/>
        </w:rPr>
        <w:t>初设定绩效指标严格执行，完成良好。指标完成率100%。</w:t>
      </w:r>
    </w:p>
    <w:tbl>
      <w:tblPr>
        <w:tblStyle w:val="12"/>
        <w:tblW w:w="8342" w:type="dxa"/>
        <w:tblInd w:w="0" w:type="dxa"/>
        <w:tblLayout w:type="fixed"/>
        <w:tblCellMar>
          <w:top w:w="0" w:type="dxa"/>
          <w:left w:w="0" w:type="dxa"/>
          <w:bottom w:w="0" w:type="dxa"/>
          <w:right w:w="0" w:type="dxa"/>
        </w:tblCellMar>
      </w:tblPr>
      <w:tblGrid>
        <w:gridCol w:w="1437"/>
        <w:gridCol w:w="1337"/>
        <w:gridCol w:w="2714"/>
        <w:gridCol w:w="1617"/>
        <w:gridCol w:w="1237"/>
      </w:tblGrid>
      <w:tr>
        <w:trPr>
          <w:trHeight w:val="499" w:hRule="atLeast"/>
        </w:trPr>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161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年度指标值</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实际完成值</w:t>
            </w:r>
          </w:p>
        </w:tc>
      </w:tr>
      <w:tr>
        <w:tblPrEx>
          <w:tblCellMar>
            <w:top w:w="0" w:type="dxa"/>
            <w:left w:w="0" w:type="dxa"/>
            <w:bottom w:w="0" w:type="dxa"/>
            <w:right w:w="0" w:type="dxa"/>
          </w:tblCellMar>
        </w:tblPrEx>
        <w:trPr>
          <w:trHeight w:val="499" w:hRule="atLeast"/>
        </w:trPr>
        <w:tc>
          <w:tcPr>
            <w:tcW w:w="14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3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城市低保金保障人数（人）</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6652</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6652</w:t>
            </w:r>
          </w:p>
        </w:tc>
      </w:tr>
      <w:tr>
        <w:tblPrEx>
          <w:tblCellMar>
            <w:top w:w="0" w:type="dxa"/>
            <w:left w:w="0" w:type="dxa"/>
            <w:bottom w:w="0" w:type="dxa"/>
            <w:right w:w="0" w:type="dxa"/>
          </w:tblCellMar>
        </w:tblPrEx>
        <w:trPr>
          <w:trHeight w:val="499"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3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临时补助金保障人数（人）</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1933</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1933</w:t>
            </w:r>
          </w:p>
        </w:tc>
      </w:tr>
      <w:tr>
        <w:tblPrEx>
          <w:tblCellMar>
            <w:top w:w="0" w:type="dxa"/>
            <w:left w:w="0" w:type="dxa"/>
            <w:bottom w:w="0" w:type="dxa"/>
            <w:right w:w="0" w:type="dxa"/>
          </w:tblCellMar>
        </w:tblPrEx>
        <w:trPr>
          <w:trHeight w:val="499"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3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困难居民慰问补助保障人数（人）</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193</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193</w:t>
            </w:r>
          </w:p>
        </w:tc>
      </w:tr>
      <w:tr>
        <w:tblPrEx>
          <w:tblCellMar>
            <w:top w:w="0" w:type="dxa"/>
            <w:left w:w="0" w:type="dxa"/>
            <w:bottom w:w="0" w:type="dxa"/>
            <w:right w:w="0" w:type="dxa"/>
          </w:tblCellMar>
        </w:tblPrEx>
        <w:trPr>
          <w:trHeight w:val="499"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3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退役士兵补助保障人数（人）</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10</w:t>
            </w:r>
          </w:p>
        </w:tc>
      </w:tr>
      <w:tr>
        <w:tblPrEx>
          <w:tblCellMar>
            <w:top w:w="0" w:type="dxa"/>
            <w:left w:w="0" w:type="dxa"/>
            <w:bottom w:w="0" w:type="dxa"/>
            <w:right w:w="0" w:type="dxa"/>
          </w:tblCellMar>
        </w:tblPrEx>
        <w:trPr>
          <w:trHeight w:val="499"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3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特困供养保障人数（人）</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60</w:t>
            </w:r>
          </w:p>
        </w:tc>
      </w:tr>
      <w:tr>
        <w:tblPrEx>
          <w:tblCellMar>
            <w:top w:w="0" w:type="dxa"/>
            <w:left w:w="0" w:type="dxa"/>
            <w:bottom w:w="0" w:type="dxa"/>
            <w:right w:w="0" w:type="dxa"/>
          </w:tblCellMar>
        </w:tblPrEx>
        <w:trPr>
          <w:trHeight w:val="499"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社会补助资金保障率（%）</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r>
      <w:tr>
        <w:tblPrEx>
          <w:tblCellMar>
            <w:top w:w="0" w:type="dxa"/>
            <w:left w:w="0" w:type="dxa"/>
            <w:bottom w:w="0" w:type="dxa"/>
            <w:right w:w="0" w:type="dxa"/>
          </w:tblCellMar>
        </w:tblPrEx>
        <w:trPr>
          <w:trHeight w:val="499"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资金发放及时率（%）</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r>
      <w:tr>
        <w:tblPrEx>
          <w:tblCellMar>
            <w:top w:w="0" w:type="dxa"/>
            <w:left w:w="0" w:type="dxa"/>
            <w:bottom w:w="0" w:type="dxa"/>
            <w:right w:w="0" w:type="dxa"/>
          </w:tblCellMar>
        </w:tblPrEx>
        <w:trPr>
          <w:trHeight w:val="499"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3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城市低保标准（元/月/人）</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396.16</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396.16</w:t>
            </w:r>
          </w:p>
        </w:tc>
      </w:tr>
      <w:tr>
        <w:tblPrEx>
          <w:tblCellMar>
            <w:top w:w="0" w:type="dxa"/>
            <w:left w:w="0" w:type="dxa"/>
            <w:bottom w:w="0" w:type="dxa"/>
            <w:right w:w="0" w:type="dxa"/>
          </w:tblCellMar>
        </w:tblPrEx>
        <w:trPr>
          <w:trHeight w:val="499"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3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临时补助标准（元/月/人）</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119.14</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119.14</w:t>
            </w:r>
          </w:p>
        </w:tc>
      </w:tr>
      <w:tr>
        <w:tblPrEx>
          <w:tblCellMar>
            <w:top w:w="0" w:type="dxa"/>
            <w:left w:w="0" w:type="dxa"/>
            <w:bottom w:w="0" w:type="dxa"/>
            <w:right w:w="0" w:type="dxa"/>
          </w:tblCellMar>
        </w:tblPrEx>
        <w:trPr>
          <w:trHeight w:val="499"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3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困难居民慰问补助标准（元/次/人）</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363.73</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363.73</w:t>
            </w:r>
          </w:p>
        </w:tc>
      </w:tr>
      <w:tr>
        <w:tblPrEx>
          <w:tblCellMar>
            <w:top w:w="0" w:type="dxa"/>
            <w:left w:w="0" w:type="dxa"/>
            <w:bottom w:w="0" w:type="dxa"/>
            <w:right w:w="0" w:type="dxa"/>
          </w:tblCellMar>
        </w:tblPrEx>
        <w:trPr>
          <w:trHeight w:val="499"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3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退役士兵补助标准（元/月/人）</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600</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600</w:t>
            </w:r>
          </w:p>
        </w:tc>
      </w:tr>
      <w:tr>
        <w:tblPrEx>
          <w:tblCellMar>
            <w:top w:w="0" w:type="dxa"/>
            <w:left w:w="0" w:type="dxa"/>
            <w:bottom w:w="0" w:type="dxa"/>
            <w:right w:w="0" w:type="dxa"/>
          </w:tblCellMar>
        </w:tblPrEx>
        <w:trPr>
          <w:trHeight w:val="499"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3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特困供养标准（元/月/人）</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584.17</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584.17</w:t>
            </w:r>
          </w:p>
        </w:tc>
      </w:tr>
    </w:tbl>
    <w:p>
      <w:pPr>
        <w:spacing w:line="560" w:lineRule="exact"/>
        <w:ind w:firstLine="640" w:firstLineChars="200"/>
        <w:rPr>
          <w:rFonts w:ascii="仿宋_GB2312" w:eastAsia="仿宋_GB2312"/>
          <w:sz w:val="32"/>
          <w:szCs w:val="32"/>
        </w:rPr>
      </w:pPr>
    </w:p>
    <w:p>
      <w:pPr>
        <w:pStyle w:val="18"/>
        <w:numPr>
          <w:ilvl w:val="0"/>
          <w:numId w:val="7"/>
        </w:numPr>
        <w:spacing w:line="560" w:lineRule="exact"/>
        <w:ind w:left="0" w:firstLine="640"/>
        <w:rPr>
          <w:rFonts w:ascii="仿宋_GB2312" w:hAnsi="仿宋" w:eastAsia="仿宋_GB2312" w:cs="宋体"/>
          <w:bCs/>
          <w:sz w:val="32"/>
          <w:szCs w:val="32"/>
        </w:rPr>
      </w:pPr>
      <w:r>
        <w:rPr>
          <w:rFonts w:hint="eastAsia" w:ascii="仿宋_GB2312" w:hAnsi="仿宋" w:eastAsia="仿宋_GB2312" w:cs="宋体"/>
          <w:bCs/>
          <w:sz w:val="32"/>
          <w:szCs w:val="32"/>
        </w:rPr>
        <w:t>项目效益情况</w:t>
      </w:r>
    </w:p>
    <w:p>
      <w:pPr>
        <w:spacing w:line="56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通过困难群众补助项目的实施，项目实施产生的社会效益</w:t>
      </w:r>
      <w:r>
        <w:rPr>
          <w:rFonts w:hint="eastAsia" w:ascii="仿宋_GB2312" w:eastAsia="仿宋_GB2312"/>
          <w:sz w:val="32"/>
          <w:szCs w:val="32"/>
        </w:rPr>
        <w:t>指标为受益建档立卡贫困人口数，预期指标值为</w:t>
      </w:r>
      <w:r>
        <w:rPr>
          <w:rFonts w:ascii="仿宋_GB2312" w:eastAsia="仿宋_GB2312"/>
          <w:sz w:val="32"/>
          <w:szCs w:val="32"/>
        </w:rPr>
        <w:t>61284</w:t>
      </w:r>
      <w:r>
        <w:rPr>
          <w:rFonts w:hint="eastAsia" w:ascii="仿宋_GB2312" w:eastAsia="仿宋_GB2312"/>
          <w:sz w:val="32"/>
          <w:szCs w:val="32"/>
        </w:rPr>
        <w:t>人，实际完成值为</w:t>
      </w:r>
      <w:r>
        <w:rPr>
          <w:rFonts w:ascii="仿宋_GB2312" w:eastAsia="仿宋_GB2312"/>
          <w:sz w:val="32"/>
          <w:szCs w:val="32"/>
        </w:rPr>
        <w:t>61284</w:t>
      </w:r>
      <w:r>
        <w:rPr>
          <w:rFonts w:hint="eastAsia" w:ascii="仿宋_GB2312" w:eastAsia="仿宋_GB2312"/>
          <w:sz w:val="32"/>
          <w:szCs w:val="32"/>
        </w:rPr>
        <w:t>人</w:t>
      </w:r>
      <w:r>
        <w:rPr>
          <w:rFonts w:hint="eastAsia" w:ascii="仿宋_GB2312" w:hAnsi="仿宋" w:eastAsia="仿宋_GB2312" w:cs="宋体"/>
          <w:bCs/>
          <w:sz w:val="32"/>
          <w:szCs w:val="32"/>
        </w:rPr>
        <w:t>；切实解决了困难群众的实际问题，保障了困难群众的基础生活条件，增强了困难群众的幸福感满意度，夯实了群众基础，有效提升了人民政府的公信力。</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经问卷调查，项目收益群众满意度为95%，达到了预期目标。</w:t>
      </w:r>
    </w:p>
    <w:tbl>
      <w:tblPr>
        <w:tblStyle w:val="12"/>
        <w:tblW w:w="8342" w:type="dxa"/>
        <w:tblInd w:w="0" w:type="dxa"/>
        <w:tblLayout w:type="fixed"/>
        <w:tblCellMar>
          <w:top w:w="0" w:type="dxa"/>
          <w:left w:w="0" w:type="dxa"/>
          <w:bottom w:w="0" w:type="dxa"/>
          <w:right w:w="0" w:type="dxa"/>
        </w:tblCellMar>
      </w:tblPr>
      <w:tblGrid>
        <w:gridCol w:w="1437"/>
        <w:gridCol w:w="1337"/>
        <w:gridCol w:w="2714"/>
        <w:gridCol w:w="1617"/>
        <w:gridCol w:w="1237"/>
      </w:tblGrid>
      <w:tr>
        <w:tblPrEx>
          <w:tblCellMar>
            <w:top w:w="0" w:type="dxa"/>
            <w:left w:w="0" w:type="dxa"/>
            <w:bottom w:w="0" w:type="dxa"/>
            <w:right w:w="0" w:type="dxa"/>
          </w:tblCellMar>
        </w:tblPrEx>
        <w:trPr>
          <w:trHeight w:val="499" w:hRule="atLeast"/>
        </w:trPr>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一级指标</w:t>
            </w:r>
          </w:p>
        </w:tc>
        <w:tc>
          <w:tcPr>
            <w:tcW w:w="133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二级指标</w:t>
            </w: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年度指标值</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实际完成值</w:t>
            </w:r>
          </w:p>
        </w:tc>
      </w:tr>
      <w:tr>
        <w:tblPrEx>
          <w:tblCellMar>
            <w:top w:w="0" w:type="dxa"/>
            <w:left w:w="0" w:type="dxa"/>
            <w:bottom w:w="0" w:type="dxa"/>
            <w:right w:w="0" w:type="dxa"/>
          </w:tblCellMar>
        </w:tblPrEx>
        <w:trPr>
          <w:trHeight w:val="499" w:hRule="atLeast"/>
        </w:trPr>
        <w:tc>
          <w:tcPr>
            <w:tcW w:w="14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33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经济效益指标</w:t>
            </w: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宋体" w:hAnsi="宋体" w:eastAsia="宋体" w:cs="宋体"/>
                <w:color w:val="000000"/>
                <w:sz w:val="18"/>
                <w:szCs w:val="18"/>
              </w:rPr>
            </w:pP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宋体" w:hAnsi="宋体" w:eastAsia="宋体" w:cs="宋体"/>
                <w:color w:val="000000"/>
                <w:sz w:val="18"/>
                <w:szCs w:val="18"/>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宋体" w:hAnsi="宋体" w:eastAsia="宋体" w:cs="宋体"/>
                <w:color w:val="000000"/>
                <w:sz w:val="18"/>
                <w:szCs w:val="18"/>
              </w:rPr>
            </w:pPr>
          </w:p>
        </w:tc>
      </w:tr>
      <w:tr>
        <w:tblPrEx>
          <w:tblCellMar>
            <w:top w:w="0" w:type="dxa"/>
            <w:left w:w="0" w:type="dxa"/>
            <w:bottom w:w="0" w:type="dxa"/>
            <w:right w:w="0" w:type="dxa"/>
          </w:tblCellMar>
        </w:tblPrEx>
        <w:trPr>
          <w:trHeight w:val="499"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33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保障困难居民基本生活水平</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有效提高</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95%</w:t>
            </w:r>
          </w:p>
        </w:tc>
      </w:tr>
      <w:tr>
        <w:tblPrEx>
          <w:tblCellMar>
            <w:top w:w="0" w:type="dxa"/>
            <w:left w:w="0" w:type="dxa"/>
            <w:bottom w:w="0" w:type="dxa"/>
            <w:right w:w="0" w:type="dxa"/>
          </w:tblCellMar>
        </w:tblPrEx>
        <w:trPr>
          <w:trHeight w:val="499"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33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生态效益指标</w:t>
            </w: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宋体" w:hAnsi="宋体" w:eastAsia="宋体" w:cs="宋体"/>
                <w:color w:val="000000"/>
                <w:sz w:val="18"/>
                <w:szCs w:val="18"/>
              </w:rPr>
            </w:pP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宋体" w:hAnsi="宋体" w:eastAsia="宋体" w:cs="宋体"/>
                <w:color w:val="000000"/>
                <w:sz w:val="18"/>
                <w:szCs w:val="18"/>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宋体" w:hAnsi="宋体" w:eastAsia="宋体" w:cs="宋体"/>
                <w:color w:val="000000"/>
                <w:sz w:val="18"/>
                <w:szCs w:val="18"/>
              </w:rPr>
            </w:pPr>
          </w:p>
        </w:tc>
      </w:tr>
      <w:tr>
        <w:tblPrEx>
          <w:tblCellMar>
            <w:top w:w="0" w:type="dxa"/>
            <w:left w:w="0" w:type="dxa"/>
            <w:bottom w:w="0" w:type="dxa"/>
            <w:right w:w="0" w:type="dxa"/>
          </w:tblCellMar>
        </w:tblPrEx>
        <w:trPr>
          <w:trHeight w:val="499"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可持续影响指标</w:t>
            </w: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困难居民持续享受时限（月）</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r>
      <w:tr>
        <w:tblPrEx>
          <w:tblCellMar>
            <w:top w:w="0" w:type="dxa"/>
            <w:left w:w="0" w:type="dxa"/>
            <w:bottom w:w="0" w:type="dxa"/>
            <w:right w:w="0" w:type="dxa"/>
          </w:tblCellMar>
        </w:tblPrEx>
        <w:trPr>
          <w:trHeight w:val="499" w:hRule="atLeast"/>
        </w:trPr>
        <w:tc>
          <w:tcPr>
            <w:tcW w:w="143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居民满意度（%）</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92%</w:t>
            </w:r>
          </w:p>
        </w:tc>
      </w:tr>
    </w:tbl>
    <w:p>
      <w:pPr>
        <w:spacing w:line="560" w:lineRule="exact"/>
        <w:rPr>
          <w:rFonts w:ascii="仿宋_GB2312" w:eastAsia="仿宋_GB2312"/>
          <w:sz w:val="32"/>
          <w:szCs w:val="32"/>
        </w:rPr>
      </w:pPr>
    </w:p>
    <w:p>
      <w:pPr>
        <w:pStyle w:val="22"/>
        <w:numPr>
          <w:ilvl w:val="0"/>
          <w:numId w:val="2"/>
        </w:numPr>
        <w:spacing w:before="0" w:after="0" w:line="560" w:lineRule="exact"/>
        <w:ind w:left="0" w:firstLine="640"/>
        <w:rPr>
          <w:b w:val="0"/>
        </w:rPr>
      </w:pPr>
      <w:r>
        <w:rPr>
          <w:rFonts w:hint="eastAsia" w:ascii="黑体" w:hAnsi="黑体"/>
          <w:b w:val="0"/>
        </w:rPr>
        <w:t>主要经验及做法、存在的问题及原因分析</w:t>
      </w:r>
    </w:p>
    <w:p>
      <w:pPr>
        <w:pStyle w:val="24"/>
        <w:numPr>
          <w:ilvl w:val="0"/>
          <w:numId w:val="8"/>
        </w:numPr>
        <w:spacing w:before="0" w:after="0" w:line="560" w:lineRule="exact"/>
        <w:ind w:left="0" w:firstLine="640" w:firstLineChars="200"/>
        <w:rPr>
          <w:b w:val="0"/>
        </w:rPr>
      </w:pPr>
      <w:r>
        <w:rPr>
          <w:rFonts w:hint="eastAsia"/>
          <w:b w:val="0"/>
        </w:rPr>
        <w:t>主要经验及做法</w:t>
      </w:r>
    </w:p>
    <w:p>
      <w:pPr>
        <w:pStyle w:val="24"/>
        <w:numPr>
          <w:ilvl w:val="0"/>
          <w:numId w:val="0"/>
        </w:numPr>
        <w:spacing w:before="0" w:after="0" w:line="560" w:lineRule="exact"/>
        <w:ind w:firstLine="640" w:firstLineChars="200"/>
        <w:rPr>
          <w:b w:val="0"/>
        </w:rPr>
      </w:pPr>
      <w:r>
        <w:rPr>
          <w:rFonts w:hint="eastAsia"/>
          <w:b w:val="0"/>
        </w:rPr>
        <w:t>本项目实施效果较好的原因主要是管理制度完善、责任落实到位，跟踪考核机制完善且运行有效，在项目实施过程中创新管理办法，年度预算时严格按照相关文件要求等严格进行预算编制年度预算，严格执行《预算法》，严把支出关，确保了项目支出各项经费按时足额保障到位，有效地杜绝了非预算支出，挤占挪用、虚报等套取财政资金违规行为。</w:t>
      </w:r>
    </w:p>
    <w:p>
      <w:pPr>
        <w:pStyle w:val="24"/>
        <w:numPr>
          <w:ilvl w:val="0"/>
          <w:numId w:val="8"/>
        </w:numPr>
        <w:spacing w:before="0" w:after="0" w:line="560" w:lineRule="exact"/>
        <w:ind w:left="0" w:firstLine="640" w:firstLineChars="200"/>
        <w:rPr>
          <w:b w:val="0"/>
        </w:rPr>
      </w:pPr>
      <w:r>
        <w:rPr>
          <w:rFonts w:hint="eastAsia"/>
          <w:b w:val="0"/>
        </w:rPr>
        <w:t>存在的问题及原因分析</w:t>
      </w:r>
    </w:p>
    <w:p>
      <w:pPr>
        <w:spacing w:line="560" w:lineRule="exact"/>
        <w:ind w:firstLine="420" w:firstLineChars="200"/>
        <w:rPr>
          <w:b/>
        </w:rPr>
      </w:pPr>
      <w:r>
        <w:rPr>
          <w:rFonts w:hint="eastAsia"/>
          <w:b/>
        </w:rPr>
        <w:t xml:space="preserve"> </w:t>
      </w:r>
      <w:r>
        <w:rPr>
          <w:rFonts w:hint="eastAsia" w:ascii="仿宋_GB2312" w:eastAsia="仿宋_GB2312"/>
          <w:sz w:val="32"/>
          <w:szCs w:val="32"/>
        </w:rPr>
        <w:t>在专项转移支付项目资金支付过程中，存在经费年初预算安排不足的问题以及在困难群众的补助卡号收集困难，造成补助资金打卡发放不成功的问题，影响了转移支付项目的资金支付进度。</w:t>
      </w:r>
    </w:p>
    <w:p>
      <w:pPr>
        <w:pStyle w:val="22"/>
        <w:numPr>
          <w:ilvl w:val="0"/>
          <w:numId w:val="2"/>
        </w:numPr>
        <w:spacing w:before="0" w:after="0" w:line="560" w:lineRule="exact"/>
        <w:ind w:left="0" w:firstLine="640"/>
        <w:rPr>
          <w:rFonts w:ascii="黑体" w:hAnsi="黑体"/>
          <w:b w:val="0"/>
        </w:rPr>
      </w:pPr>
      <w:r>
        <w:rPr>
          <w:rFonts w:hint="eastAsia" w:ascii="黑体" w:hAnsi="黑体"/>
          <w:b w:val="0"/>
        </w:rPr>
        <w:t>有关建议</w:t>
      </w:r>
    </w:p>
    <w:p>
      <w:pPr>
        <w:spacing w:line="560" w:lineRule="exact"/>
        <w:ind w:firstLine="640" w:firstLineChars="200"/>
        <w:rPr>
          <w:rFonts w:ascii="仿宋_GB2312" w:hAnsi="Calibri" w:eastAsia="仿宋_GB2312"/>
        </w:rPr>
      </w:pPr>
      <w:r>
        <w:rPr>
          <w:rFonts w:hint="eastAsia" w:ascii="仿宋_GB2312" w:eastAsia="仿宋_GB2312"/>
          <w:sz w:val="32"/>
          <w:szCs w:val="32"/>
        </w:rPr>
        <w:t>进一步加强单位内部的预算管理意识，严格按照预算编制的相关制度进行预算编制；进一步提高预算编制的科学性、合理性、严谨性和可控性。</w:t>
      </w:r>
    </w:p>
    <w:p>
      <w:pPr>
        <w:pStyle w:val="22"/>
        <w:spacing w:before="0" w:after="0" w:line="560" w:lineRule="exact"/>
        <w:ind w:firstLine="640"/>
        <w:rPr>
          <w:rFonts w:ascii="黑体" w:hAnsi="黑体"/>
          <w:b w:val="0"/>
        </w:rPr>
      </w:pPr>
      <w:r>
        <w:rPr>
          <w:rFonts w:hint="eastAsia" w:ascii="仿宋_GB2312" w:hAnsi="Calibri" w:eastAsia="仿宋_GB2312"/>
          <w:b w:val="0"/>
        </w:rPr>
        <w:t>年初做好资金计划，按照项目进度及时拨付资金，使资金使用效益最大化，减少不必要的浪费，节约成本。</w:t>
      </w:r>
    </w:p>
    <w:p>
      <w:pPr>
        <w:pStyle w:val="22"/>
        <w:numPr>
          <w:ilvl w:val="0"/>
          <w:numId w:val="2"/>
        </w:numPr>
        <w:spacing w:before="0" w:after="0" w:line="560" w:lineRule="exact"/>
        <w:ind w:left="0" w:firstLine="640"/>
        <w:rPr>
          <w:rFonts w:ascii="黑体" w:hAnsi="黑体"/>
          <w:b w:val="0"/>
        </w:rPr>
      </w:pPr>
      <w:r>
        <w:rPr>
          <w:rFonts w:hint="eastAsia" w:ascii="黑体" w:hAnsi="黑体"/>
          <w:b w:val="0"/>
        </w:rPr>
        <w:t>其他需要说明的问题</w:t>
      </w:r>
    </w:p>
    <w:p>
      <w:pPr>
        <w:pStyle w:val="22"/>
        <w:spacing w:before="0" w:after="0" w:line="560" w:lineRule="exact"/>
        <w:ind w:firstLine="640"/>
        <w:rPr>
          <w:rFonts w:ascii="仿宋_GB2312" w:hAnsi="仿宋" w:eastAsia="仿宋_GB2312" w:cs="宋体"/>
          <w:b w:val="0"/>
        </w:rPr>
      </w:pPr>
      <w:r>
        <w:rPr>
          <w:rFonts w:hint="eastAsia" w:ascii="仿宋_GB2312" w:hAnsi="仿宋" w:eastAsia="仿宋_GB2312" w:cs="宋体"/>
          <w:b w:val="0"/>
          <w:kern w:val="2"/>
        </w:rPr>
        <w:t>本项目无其他情况说明。</w:t>
      </w:r>
    </w:p>
    <w:p>
      <w:pPr>
        <w:spacing w:line="560" w:lineRule="exact"/>
        <w:ind w:firstLine="640" w:firstLineChars="200"/>
        <w:rPr>
          <w:rFonts w:ascii="仿宋_GB2312" w:hAnsi="仿宋" w:eastAsia="仿宋_GB2312" w:cs="宋体"/>
          <w:sz w:val="32"/>
          <w:szCs w:val="32"/>
        </w:rPr>
      </w:pPr>
    </w:p>
    <w:p>
      <w:pPr>
        <w:spacing w:line="560" w:lineRule="exact"/>
        <w:ind w:firstLine="640" w:firstLineChars="200"/>
        <w:rPr>
          <w:rFonts w:ascii="仿宋_GB2312" w:hAnsi="仿宋" w:eastAsia="仿宋_GB2312" w:cs="宋体"/>
          <w:sz w:val="32"/>
          <w:szCs w:val="32"/>
        </w:rPr>
      </w:pPr>
    </w:p>
    <w:p>
      <w:pPr>
        <w:spacing w:line="560" w:lineRule="exact"/>
        <w:ind w:firstLine="640" w:firstLineChars="200"/>
        <w:rPr>
          <w:rFonts w:ascii="仿宋_GB2312" w:hAnsi="仿宋" w:eastAsia="仿宋_GB2312" w:cs="宋体"/>
          <w:sz w:val="32"/>
          <w:szCs w:val="32"/>
        </w:rPr>
      </w:pPr>
    </w:p>
    <w:p>
      <w:pPr>
        <w:spacing w:line="560" w:lineRule="exact"/>
        <w:ind w:firstLine="640" w:firstLineChars="200"/>
        <w:rPr>
          <w:rFonts w:ascii="仿宋_GB2312" w:hAnsi="仿宋" w:eastAsia="仿宋_GB2312" w:cs="宋体"/>
          <w:sz w:val="32"/>
          <w:szCs w:val="32"/>
        </w:rPr>
      </w:pPr>
    </w:p>
    <w:p>
      <w:pPr>
        <w:spacing w:line="560" w:lineRule="exact"/>
        <w:ind w:firstLine="640" w:firstLineChars="200"/>
        <w:rPr>
          <w:rFonts w:ascii="仿宋_GB2312" w:hAnsi="仿宋" w:eastAsia="仿宋_GB2312" w:cs="宋体"/>
          <w:color w:val="FF0000"/>
          <w:sz w:val="32"/>
          <w:szCs w:val="32"/>
        </w:rPr>
      </w:pPr>
      <w:r>
        <w:rPr>
          <w:rFonts w:hint="eastAsia" w:ascii="仿宋_GB2312" w:hAnsi="仿宋" w:eastAsia="仿宋_GB2312" w:cs="宋体"/>
          <w:sz w:val="32"/>
          <w:szCs w:val="32"/>
        </w:rPr>
        <w:t>附件1：喀什地区叶城县喀格勒克镇2019社会保障资金项目支出绩效目标申报表</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附件2：喀什地区叶城县喀格勒克镇2019社会保障资金项目支出绩效项目支出绩效自评表</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附件3：喀什地区叶城县喀格勒克镇2019社会保障资金项目支出评价指标体系</w:t>
      </w:r>
    </w:p>
    <w:p>
      <w:pPr>
        <w:spacing w:before="120" w:beforeLines="50" w:line="600" w:lineRule="exact"/>
        <w:ind w:firstLine="640" w:firstLineChars="200"/>
        <w:rPr>
          <w:rFonts w:ascii="仿宋_GB2312" w:hAnsi="仿宋" w:eastAsia="仿宋_GB2312" w:cs="宋体"/>
          <w:b/>
          <w:sz w:val="32"/>
          <w:szCs w:val="32"/>
        </w:rPr>
      </w:pPr>
      <w:r>
        <w:rPr>
          <w:rFonts w:hint="eastAsia" w:ascii="仿宋_GB2312" w:hAnsi="仿宋" w:eastAsia="仿宋_GB2312" w:cs="宋体"/>
          <w:sz w:val="32"/>
          <w:szCs w:val="32"/>
        </w:rPr>
        <w:t>附件4：喀什地区部门支出绩效评价评分表</w:t>
      </w:r>
    </w:p>
    <w:sectPr>
      <w:footerReference r:id="rId3" w:type="default"/>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13E7E5"/>
    <w:multiLevelType w:val="singleLevel"/>
    <w:tmpl w:val="9E13E7E5"/>
    <w:lvl w:ilvl="0" w:tentative="0">
      <w:start w:val="1"/>
      <w:numFmt w:val="decimal"/>
      <w:lvlText w:val="%1."/>
      <w:lvlJc w:val="left"/>
      <w:pPr>
        <w:tabs>
          <w:tab w:val="left" w:pos="312"/>
        </w:tabs>
      </w:pPr>
    </w:lvl>
  </w:abstractNum>
  <w:abstractNum w:abstractNumId="1">
    <w:nsid w:val="316D4D14"/>
    <w:multiLevelType w:val="multilevel"/>
    <w:tmpl w:val="316D4D14"/>
    <w:lvl w:ilvl="0" w:tentative="0">
      <w:start w:val="1"/>
      <w:numFmt w:val="decimal"/>
      <w:lvlText w:val="%1."/>
      <w:lvlJc w:val="left"/>
      <w:pPr>
        <w:ind w:left="988" w:hanging="420"/>
      </w:pPr>
    </w:lvl>
    <w:lvl w:ilvl="1" w:tentative="0">
      <w:start w:val="1"/>
      <w:numFmt w:val="decimal"/>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2">
    <w:nsid w:val="3A7260C0"/>
    <w:multiLevelType w:val="multilevel"/>
    <w:tmpl w:val="3A7260C0"/>
    <w:lvl w:ilvl="0" w:tentative="0">
      <w:start w:val="1"/>
      <w:numFmt w:val="chineseCountingThousand"/>
      <w:pStyle w:val="24"/>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F37299F"/>
    <w:multiLevelType w:val="multilevel"/>
    <w:tmpl w:val="4F37299F"/>
    <w:lvl w:ilvl="0" w:tentative="0">
      <w:start w:val="1"/>
      <w:numFmt w:val="chineseCountingThousand"/>
      <w:lvlText w:val="(%1)"/>
      <w:lvlJc w:val="left"/>
      <w:pPr>
        <w:ind w:left="420" w:hanging="420"/>
      </w:pPr>
      <w:rPr>
        <w:rFonts w:hint="eastAsia"/>
      </w:rPr>
    </w:lvl>
    <w:lvl w:ilvl="1" w:tentative="0">
      <w:start w:val="1"/>
      <w:numFmt w:val="japaneseCounting"/>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B493FDA"/>
    <w:multiLevelType w:val="multilevel"/>
    <w:tmpl w:val="5B493FDA"/>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6757463D"/>
    <w:multiLevelType w:val="multilevel"/>
    <w:tmpl w:val="6757463D"/>
    <w:lvl w:ilvl="0" w:tentative="0">
      <w:start w:val="1"/>
      <w:numFmt w:val="chineseCountingThousand"/>
      <w:lvlText w:val="%1、"/>
      <w:lvlJc w:val="left"/>
      <w:pPr>
        <w:ind w:left="1063" w:hanging="420"/>
      </w:pPr>
      <w:rPr>
        <w:rFonts w:hint="eastAsia"/>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6">
    <w:nsid w:val="71192C1A"/>
    <w:multiLevelType w:val="singleLevel"/>
    <w:tmpl w:val="71192C1A"/>
    <w:lvl w:ilvl="0" w:tentative="0">
      <w:start w:val="1"/>
      <w:numFmt w:val="chineseCounting"/>
      <w:suff w:val="nothing"/>
      <w:lvlText w:val="（%1）"/>
      <w:lvlJc w:val="left"/>
      <w:rPr>
        <w:rFonts w:hint="eastAsia"/>
      </w:rPr>
    </w:lvl>
  </w:abstractNum>
  <w:num w:numId="1">
    <w:abstractNumId w:val="2"/>
  </w:num>
  <w:num w:numId="2">
    <w:abstractNumId w:val="5"/>
  </w:num>
  <w:num w:numId="3">
    <w:abstractNumId w:val="6"/>
  </w:num>
  <w:num w:numId="4">
    <w:abstractNumId w:val="3"/>
  </w:num>
  <w:num w:numId="5">
    <w:abstractNumId w:val="1"/>
  </w:num>
  <w:num w:numId="6">
    <w:abstractNumId w:val="0"/>
  </w:num>
  <w:num w:numId="7">
    <w:abstractNumId w:val="4"/>
  </w:num>
  <w:num w:numId="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0"/>
  <w:drawingGridHorizontalSpacing w:val="210"/>
  <w:drawingGridVerticalSpacing w:val="158"/>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kzNzgyM2E2Yjg1NDJlZmFjYTEwNGIyZWYwNjY4MWIifQ=="/>
  </w:docVars>
  <w:rsids>
    <w:rsidRoot w:val="00F75715"/>
    <w:rsid w:val="000100BE"/>
    <w:rsid w:val="00010EB4"/>
    <w:rsid w:val="00012DF1"/>
    <w:rsid w:val="00022413"/>
    <w:rsid w:val="000244AD"/>
    <w:rsid w:val="00024735"/>
    <w:rsid w:val="000254B5"/>
    <w:rsid w:val="00025D92"/>
    <w:rsid w:val="00036757"/>
    <w:rsid w:val="00037F93"/>
    <w:rsid w:val="00042126"/>
    <w:rsid w:val="000429EF"/>
    <w:rsid w:val="000476B6"/>
    <w:rsid w:val="0005359E"/>
    <w:rsid w:val="00063E1B"/>
    <w:rsid w:val="00067B59"/>
    <w:rsid w:val="00085C7A"/>
    <w:rsid w:val="00091206"/>
    <w:rsid w:val="0009366C"/>
    <w:rsid w:val="0009598B"/>
    <w:rsid w:val="000A6DE4"/>
    <w:rsid w:val="000A77D9"/>
    <w:rsid w:val="000A7D12"/>
    <w:rsid w:val="000B36C0"/>
    <w:rsid w:val="000C44B9"/>
    <w:rsid w:val="000C4E7E"/>
    <w:rsid w:val="000C6891"/>
    <w:rsid w:val="000D3A3C"/>
    <w:rsid w:val="000E0C7B"/>
    <w:rsid w:val="000E2774"/>
    <w:rsid w:val="000F2007"/>
    <w:rsid w:val="000F6D41"/>
    <w:rsid w:val="00100A64"/>
    <w:rsid w:val="00100AA9"/>
    <w:rsid w:val="00110AAA"/>
    <w:rsid w:val="001143D6"/>
    <w:rsid w:val="00120378"/>
    <w:rsid w:val="00126193"/>
    <w:rsid w:val="0012798F"/>
    <w:rsid w:val="001279C6"/>
    <w:rsid w:val="00132553"/>
    <w:rsid w:val="0013735E"/>
    <w:rsid w:val="00144751"/>
    <w:rsid w:val="00151AF1"/>
    <w:rsid w:val="00151B31"/>
    <w:rsid w:val="00153388"/>
    <w:rsid w:val="001636B9"/>
    <w:rsid w:val="00174F3A"/>
    <w:rsid w:val="00175EBD"/>
    <w:rsid w:val="00176618"/>
    <w:rsid w:val="0018169D"/>
    <w:rsid w:val="001848D9"/>
    <w:rsid w:val="00193649"/>
    <w:rsid w:val="00195197"/>
    <w:rsid w:val="00195A36"/>
    <w:rsid w:val="0019720C"/>
    <w:rsid w:val="001A0A67"/>
    <w:rsid w:val="001A1359"/>
    <w:rsid w:val="001A1902"/>
    <w:rsid w:val="001A350D"/>
    <w:rsid w:val="001A4FFA"/>
    <w:rsid w:val="001A6890"/>
    <w:rsid w:val="001A6F1A"/>
    <w:rsid w:val="001B4CEC"/>
    <w:rsid w:val="001B5465"/>
    <w:rsid w:val="001B5B44"/>
    <w:rsid w:val="001B7E1F"/>
    <w:rsid w:val="001C2D6B"/>
    <w:rsid w:val="001D01E5"/>
    <w:rsid w:val="001D5FF2"/>
    <w:rsid w:val="001D6F2E"/>
    <w:rsid w:val="001E1FA6"/>
    <w:rsid w:val="001E617A"/>
    <w:rsid w:val="001E6342"/>
    <w:rsid w:val="00200AF7"/>
    <w:rsid w:val="00203FB6"/>
    <w:rsid w:val="00215CC5"/>
    <w:rsid w:val="0022009F"/>
    <w:rsid w:val="00220593"/>
    <w:rsid w:val="00222AEC"/>
    <w:rsid w:val="00225DE5"/>
    <w:rsid w:val="00233ECE"/>
    <w:rsid w:val="002346CF"/>
    <w:rsid w:val="002521B5"/>
    <w:rsid w:val="00254BF5"/>
    <w:rsid w:val="00257879"/>
    <w:rsid w:val="002646E3"/>
    <w:rsid w:val="002668D7"/>
    <w:rsid w:val="002739EE"/>
    <w:rsid w:val="00283F4B"/>
    <w:rsid w:val="00284244"/>
    <w:rsid w:val="002969FF"/>
    <w:rsid w:val="002A1BF4"/>
    <w:rsid w:val="002A7DC1"/>
    <w:rsid w:val="002B0B42"/>
    <w:rsid w:val="002B3A72"/>
    <w:rsid w:val="002C10DA"/>
    <w:rsid w:val="002C6231"/>
    <w:rsid w:val="002F08AA"/>
    <w:rsid w:val="002F5B06"/>
    <w:rsid w:val="002F7CDC"/>
    <w:rsid w:val="003015D0"/>
    <w:rsid w:val="00304423"/>
    <w:rsid w:val="00315C39"/>
    <w:rsid w:val="00321F3E"/>
    <w:rsid w:val="00324E56"/>
    <w:rsid w:val="00331AF1"/>
    <w:rsid w:val="00337BE4"/>
    <w:rsid w:val="0034051B"/>
    <w:rsid w:val="00340A43"/>
    <w:rsid w:val="00344FF0"/>
    <w:rsid w:val="003468D7"/>
    <w:rsid w:val="003564E5"/>
    <w:rsid w:val="00356EB0"/>
    <w:rsid w:val="00356F3B"/>
    <w:rsid w:val="00360A4D"/>
    <w:rsid w:val="00363E52"/>
    <w:rsid w:val="00375274"/>
    <w:rsid w:val="00382736"/>
    <w:rsid w:val="00383390"/>
    <w:rsid w:val="003924C8"/>
    <w:rsid w:val="003A04D1"/>
    <w:rsid w:val="003A43EE"/>
    <w:rsid w:val="003A7220"/>
    <w:rsid w:val="003B095F"/>
    <w:rsid w:val="003B79A0"/>
    <w:rsid w:val="003C327E"/>
    <w:rsid w:val="003C4B3D"/>
    <w:rsid w:val="003C6E7F"/>
    <w:rsid w:val="003D5A2E"/>
    <w:rsid w:val="003E0E95"/>
    <w:rsid w:val="003F1C70"/>
    <w:rsid w:val="003F21BE"/>
    <w:rsid w:val="003F2E47"/>
    <w:rsid w:val="003F3C79"/>
    <w:rsid w:val="003F7825"/>
    <w:rsid w:val="00403544"/>
    <w:rsid w:val="0040659D"/>
    <w:rsid w:val="00407688"/>
    <w:rsid w:val="00410AF4"/>
    <w:rsid w:val="004115AA"/>
    <w:rsid w:val="004218C7"/>
    <w:rsid w:val="00422642"/>
    <w:rsid w:val="004255E5"/>
    <w:rsid w:val="00434A60"/>
    <w:rsid w:val="00434C92"/>
    <w:rsid w:val="00442EE7"/>
    <w:rsid w:val="0044327B"/>
    <w:rsid w:val="00443C47"/>
    <w:rsid w:val="004466DD"/>
    <w:rsid w:val="00452560"/>
    <w:rsid w:val="00455D82"/>
    <w:rsid w:val="00457927"/>
    <w:rsid w:val="00463BB4"/>
    <w:rsid w:val="00464C26"/>
    <w:rsid w:val="00467DBB"/>
    <w:rsid w:val="00472AFC"/>
    <w:rsid w:val="004750A4"/>
    <w:rsid w:val="00477DD1"/>
    <w:rsid w:val="004847F4"/>
    <w:rsid w:val="004860E9"/>
    <w:rsid w:val="004A0587"/>
    <w:rsid w:val="004A277F"/>
    <w:rsid w:val="004A6778"/>
    <w:rsid w:val="004B3B7D"/>
    <w:rsid w:val="004B64E8"/>
    <w:rsid w:val="004C56AB"/>
    <w:rsid w:val="004D088E"/>
    <w:rsid w:val="004D1CA0"/>
    <w:rsid w:val="004D4F06"/>
    <w:rsid w:val="004D51E8"/>
    <w:rsid w:val="004D5556"/>
    <w:rsid w:val="004D768F"/>
    <w:rsid w:val="004E2446"/>
    <w:rsid w:val="004E6E48"/>
    <w:rsid w:val="004F235A"/>
    <w:rsid w:val="004F2727"/>
    <w:rsid w:val="004F5B84"/>
    <w:rsid w:val="005038F5"/>
    <w:rsid w:val="0050731E"/>
    <w:rsid w:val="00507808"/>
    <w:rsid w:val="005160B4"/>
    <w:rsid w:val="0052025B"/>
    <w:rsid w:val="00520D10"/>
    <w:rsid w:val="005219FC"/>
    <w:rsid w:val="005225F1"/>
    <w:rsid w:val="005231C3"/>
    <w:rsid w:val="00531253"/>
    <w:rsid w:val="00531874"/>
    <w:rsid w:val="00540B36"/>
    <w:rsid w:val="0054217A"/>
    <w:rsid w:val="00563C1B"/>
    <w:rsid w:val="00563E06"/>
    <w:rsid w:val="00565DCA"/>
    <w:rsid w:val="005720FD"/>
    <w:rsid w:val="00575EE7"/>
    <w:rsid w:val="0058526B"/>
    <w:rsid w:val="0058554B"/>
    <w:rsid w:val="00590CFE"/>
    <w:rsid w:val="00596DDF"/>
    <w:rsid w:val="00596EB4"/>
    <w:rsid w:val="005978E9"/>
    <w:rsid w:val="005A0439"/>
    <w:rsid w:val="005A246A"/>
    <w:rsid w:val="005A631C"/>
    <w:rsid w:val="005B4159"/>
    <w:rsid w:val="005B5C1A"/>
    <w:rsid w:val="005B6EAB"/>
    <w:rsid w:val="005D1541"/>
    <w:rsid w:val="005D363A"/>
    <w:rsid w:val="005D65CA"/>
    <w:rsid w:val="005D7AC7"/>
    <w:rsid w:val="005E1ADF"/>
    <w:rsid w:val="005F0E7A"/>
    <w:rsid w:val="005F421D"/>
    <w:rsid w:val="005F7AD2"/>
    <w:rsid w:val="00600FF9"/>
    <w:rsid w:val="0060196E"/>
    <w:rsid w:val="00617C41"/>
    <w:rsid w:val="0062458B"/>
    <w:rsid w:val="0063047D"/>
    <w:rsid w:val="00630E69"/>
    <w:rsid w:val="006362B2"/>
    <w:rsid w:val="0064108C"/>
    <w:rsid w:val="0065420A"/>
    <w:rsid w:val="00656821"/>
    <w:rsid w:val="00657D28"/>
    <w:rsid w:val="00661EDF"/>
    <w:rsid w:val="006700C6"/>
    <w:rsid w:val="00670BFF"/>
    <w:rsid w:val="00672C39"/>
    <w:rsid w:val="00673CD8"/>
    <w:rsid w:val="006864ED"/>
    <w:rsid w:val="006869EC"/>
    <w:rsid w:val="006873D8"/>
    <w:rsid w:val="00694A44"/>
    <w:rsid w:val="006A52DF"/>
    <w:rsid w:val="006B1F1C"/>
    <w:rsid w:val="006B3E0A"/>
    <w:rsid w:val="006B60F9"/>
    <w:rsid w:val="006C2A22"/>
    <w:rsid w:val="006D0AA4"/>
    <w:rsid w:val="006D358F"/>
    <w:rsid w:val="006D363F"/>
    <w:rsid w:val="006E32D5"/>
    <w:rsid w:val="006F03B6"/>
    <w:rsid w:val="006F0FCA"/>
    <w:rsid w:val="006F2513"/>
    <w:rsid w:val="006F549F"/>
    <w:rsid w:val="006F64CB"/>
    <w:rsid w:val="006F6CAF"/>
    <w:rsid w:val="00701276"/>
    <w:rsid w:val="00703E53"/>
    <w:rsid w:val="007076A8"/>
    <w:rsid w:val="00711530"/>
    <w:rsid w:val="00716EF6"/>
    <w:rsid w:val="0071759F"/>
    <w:rsid w:val="00721598"/>
    <w:rsid w:val="00723952"/>
    <w:rsid w:val="007253B3"/>
    <w:rsid w:val="00725837"/>
    <w:rsid w:val="007273AE"/>
    <w:rsid w:val="00731D46"/>
    <w:rsid w:val="00734BAD"/>
    <w:rsid w:val="007362A0"/>
    <w:rsid w:val="00737312"/>
    <w:rsid w:val="00744CDC"/>
    <w:rsid w:val="007450D4"/>
    <w:rsid w:val="007502EE"/>
    <w:rsid w:val="00752C57"/>
    <w:rsid w:val="00752E66"/>
    <w:rsid w:val="00772D67"/>
    <w:rsid w:val="00774D84"/>
    <w:rsid w:val="00776D2A"/>
    <w:rsid w:val="00781733"/>
    <w:rsid w:val="007819B7"/>
    <w:rsid w:val="00787155"/>
    <w:rsid w:val="0079159F"/>
    <w:rsid w:val="007916F0"/>
    <w:rsid w:val="00797887"/>
    <w:rsid w:val="007A2BC9"/>
    <w:rsid w:val="007A4C68"/>
    <w:rsid w:val="007A75DE"/>
    <w:rsid w:val="007C5CF9"/>
    <w:rsid w:val="007D340B"/>
    <w:rsid w:val="007E0FB2"/>
    <w:rsid w:val="007E6392"/>
    <w:rsid w:val="007F29CA"/>
    <w:rsid w:val="007F3C25"/>
    <w:rsid w:val="007F3D24"/>
    <w:rsid w:val="00811F2D"/>
    <w:rsid w:val="0081277D"/>
    <w:rsid w:val="00815938"/>
    <w:rsid w:val="008226BA"/>
    <w:rsid w:val="00827DA6"/>
    <w:rsid w:val="00835103"/>
    <w:rsid w:val="00835E8E"/>
    <w:rsid w:val="00846C21"/>
    <w:rsid w:val="00854416"/>
    <w:rsid w:val="00856036"/>
    <w:rsid w:val="00861EDE"/>
    <w:rsid w:val="00861FA8"/>
    <w:rsid w:val="00862FD6"/>
    <w:rsid w:val="00866F54"/>
    <w:rsid w:val="0086758F"/>
    <w:rsid w:val="00877EE4"/>
    <w:rsid w:val="00882D07"/>
    <w:rsid w:val="008830AA"/>
    <w:rsid w:val="00883FF2"/>
    <w:rsid w:val="0089235F"/>
    <w:rsid w:val="0089293E"/>
    <w:rsid w:val="00893E6C"/>
    <w:rsid w:val="008A364E"/>
    <w:rsid w:val="008B1A1E"/>
    <w:rsid w:val="008C1083"/>
    <w:rsid w:val="008C6E51"/>
    <w:rsid w:val="008D3E7C"/>
    <w:rsid w:val="008D7BC7"/>
    <w:rsid w:val="008F7807"/>
    <w:rsid w:val="0090104C"/>
    <w:rsid w:val="00902AB6"/>
    <w:rsid w:val="0091423E"/>
    <w:rsid w:val="00914F08"/>
    <w:rsid w:val="00915C8C"/>
    <w:rsid w:val="00924AD5"/>
    <w:rsid w:val="00931D9E"/>
    <w:rsid w:val="009340AB"/>
    <w:rsid w:val="009342DD"/>
    <w:rsid w:val="0093657E"/>
    <w:rsid w:val="0095559A"/>
    <w:rsid w:val="0096057D"/>
    <w:rsid w:val="00961ADD"/>
    <w:rsid w:val="009620B5"/>
    <w:rsid w:val="009622F4"/>
    <w:rsid w:val="00963F63"/>
    <w:rsid w:val="00964FF7"/>
    <w:rsid w:val="009714BC"/>
    <w:rsid w:val="009747B3"/>
    <w:rsid w:val="00977C73"/>
    <w:rsid w:val="00982B10"/>
    <w:rsid w:val="009941A3"/>
    <w:rsid w:val="00994CDF"/>
    <w:rsid w:val="009A258C"/>
    <w:rsid w:val="009A3C42"/>
    <w:rsid w:val="009A4056"/>
    <w:rsid w:val="009A696C"/>
    <w:rsid w:val="009B6937"/>
    <w:rsid w:val="009C0267"/>
    <w:rsid w:val="009C27CF"/>
    <w:rsid w:val="009C7A3E"/>
    <w:rsid w:val="009D05E5"/>
    <w:rsid w:val="009E5354"/>
    <w:rsid w:val="009F258C"/>
    <w:rsid w:val="009F36F6"/>
    <w:rsid w:val="009F6CCF"/>
    <w:rsid w:val="00A01EC9"/>
    <w:rsid w:val="00A04062"/>
    <w:rsid w:val="00A05A7B"/>
    <w:rsid w:val="00A10F1E"/>
    <w:rsid w:val="00A12A0C"/>
    <w:rsid w:val="00A2294A"/>
    <w:rsid w:val="00A32725"/>
    <w:rsid w:val="00A365D5"/>
    <w:rsid w:val="00A36BF5"/>
    <w:rsid w:val="00A411F0"/>
    <w:rsid w:val="00A41DB8"/>
    <w:rsid w:val="00A43094"/>
    <w:rsid w:val="00A46AB2"/>
    <w:rsid w:val="00A53361"/>
    <w:rsid w:val="00A5786D"/>
    <w:rsid w:val="00A60191"/>
    <w:rsid w:val="00A60949"/>
    <w:rsid w:val="00A6251C"/>
    <w:rsid w:val="00A7295A"/>
    <w:rsid w:val="00A74A53"/>
    <w:rsid w:val="00A81609"/>
    <w:rsid w:val="00A8196A"/>
    <w:rsid w:val="00A8213C"/>
    <w:rsid w:val="00A822EC"/>
    <w:rsid w:val="00A85237"/>
    <w:rsid w:val="00A87232"/>
    <w:rsid w:val="00A9025D"/>
    <w:rsid w:val="00A90AD4"/>
    <w:rsid w:val="00A9288B"/>
    <w:rsid w:val="00A94068"/>
    <w:rsid w:val="00A9538D"/>
    <w:rsid w:val="00AA1DE0"/>
    <w:rsid w:val="00AA58D1"/>
    <w:rsid w:val="00AB07C5"/>
    <w:rsid w:val="00AB7127"/>
    <w:rsid w:val="00AC1C06"/>
    <w:rsid w:val="00AC5E76"/>
    <w:rsid w:val="00AD25AD"/>
    <w:rsid w:val="00AD70AE"/>
    <w:rsid w:val="00AE1FDF"/>
    <w:rsid w:val="00AE3042"/>
    <w:rsid w:val="00AE688E"/>
    <w:rsid w:val="00AF38F9"/>
    <w:rsid w:val="00AF5EC5"/>
    <w:rsid w:val="00AF6F9B"/>
    <w:rsid w:val="00AF7702"/>
    <w:rsid w:val="00B03B29"/>
    <w:rsid w:val="00B07AA7"/>
    <w:rsid w:val="00B16C8F"/>
    <w:rsid w:val="00B21491"/>
    <w:rsid w:val="00B25F01"/>
    <w:rsid w:val="00B32FA4"/>
    <w:rsid w:val="00B36F46"/>
    <w:rsid w:val="00B4078A"/>
    <w:rsid w:val="00B46728"/>
    <w:rsid w:val="00B47B13"/>
    <w:rsid w:val="00B47E64"/>
    <w:rsid w:val="00B505DC"/>
    <w:rsid w:val="00B51B06"/>
    <w:rsid w:val="00B521DA"/>
    <w:rsid w:val="00B53BE4"/>
    <w:rsid w:val="00B57C9A"/>
    <w:rsid w:val="00B6063F"/>
    <w:rsid w:val="00B65067"/>
    <w:rsid w:val="00B67C87"/>
    <w:rsid w:val="00B740DB"/>
    <w:rsid w:val="00B84815"/>
    <w:rsid w:val="00B85401"/>
    <w:rsid w:val="00B9042A"/>
    <w:rsid w:val="00B9135F"/>
    <w:rsid w:val="00B93EF7"/>
    <w:rsid w:val="00B94DC3"/>
    <w:rsid w:val="00B97ED2"/>
    <w:rsid w:val="00BA0855"/>
    <w:rsid w:val="00BA0973"/>
    <w:rsid w:val="00BA2CB6"/>
    <w:rsid w:val="00BA42C4"/>
    <w:rsid w:val="00BA65AD"/>
    <w:rsid w:val="00BA7817"/>
    <w:rsid w:val="00BB0E6E"/>
    <w:rsid w:val="00BC43F8"/>
    <w:rsid w:val="00BC460A"/>
    <w:rsid w:val="00BC7696"/>
    <w:rsid w:val="00BD208F"/>
    <w:rsid w:val="00BD7FFB"/>
    <w:rsid w:val="00BE1DFA"/>
    <w:rsid w:val="00BE341B"/>
    <w:rsid w:val="00BE7DDB"/>
    <w:rsid w:val="00BF0FE0"/>
    <w:rsid w:val="00BF42BA"/>
    <w:rsid w:val="00C05FCC"/>
    <w:rsid w:val="00C1304B"/>
    <w:rsid w:val="00C152BE"/>
    <w:rsid w:val="00C2671D"/>
    <w:rsid w:val="00C3726E"/>
    <w:rsid w:val="00C41288"/>
    <w:rsid w:val="00C42CA5"/>
    <w:rsid w:val="00C468B5"/>
    <w:rsid w:val="00C46E08"/>
    <w:rsid w:val="00C5222C"/>
    <w:rsid w:val="00C563AA"/>
    <w:rsid w:val="00C604AC"/>
    <w:rsid w:val="00C71C91"/>
    <w:rsid w:val="00C71FF0"/>
    <w:rsid w:val="00C75382"/>
    <w:rsid w:val="00C761C2"/>
    <w:rsid w:val="00C77259"/>
    <w:rsid w:val="00C84284"/>
    <w:rsid w:val="00C84A92"/>
    <w:rsid w:val="00C97E2D"/>
    <w:rsid w:val="00CB14A6"/>
    <w:rsid w:val="00CB3398"/>
    <w:rsid w:val="00CB652C"/>
    <w:rsid w:val="00CC2DDE"/>
    <w:rsid w:val="00CC54E7"/>
    <w:rsid w:val="00CD7103"/>
    <w:rsid w:val="00CE0D94"/>
    <w:rsid w:val="00CE4841"/>
    <w:rsid w:val="00D043D7"/>
    <w:rsid w:val="00D117FB"/>
    <w:rsid w:val="00D23C2E"/>
    <w:rsid w:val="00D27D4A"/>
    <w:rsid w:val="00D309F8"/>
    <w:rsid w:val="00D35727"/>
    <w:rsid w:val="00D47332"/>
    <w:rsid w:val="00D564A7"/>
    <w:rsid w:val="00D60AF8"/>
    <w:rsid w:val="00D61EC8"/>
    <w:rsid w:val="00D7687F"/>
    <w:rsid w:val="00D860D6"/>
    <w:rsid w:val="00D93516"/>
    <w:rsid w:val="00DA646D"/>
    <w:rsid w:val="00DA7F4C"/>
    <w:rsid w:val="00DB28DC"/>
    <w:rsid w:val="00DB7E9B"/>
    <w:rsid w:val="00DC1B6A"/>
    <w:rsid w:val="00DC5F94"/>
    <w:rsid w:val="00DD4AED"/>
    <w:rsid w:val="00DD7D7E"/>
    <w:rsid w:val="00DE0F64"/>
    <w:rsid w:val="00DE152F"/>
    <w:rsid w:val="00DE16D7"/>
    <w:rsid w:val="00DE257D"/>
    <w:rsid w:val="00DE293B"/>
    <w:rsid w:val="00DE3A31"/>
    <w:rsid w:val="00DE4F8A"/>
    <w:rsid w:val="00DE6335"/>
    <w:rsid w:val="00DF54FA"/>
    <w:rsid w:val="00DF68CE"/>
    <w:rsid w:val="00E05626"/>
    <w:rsid w:val="00E1767F"/>
    <w:rsid w:val="00E25B2F"/>
    <w:rsid w:val="00E32467"/>
    <w:rsid w:val="00E35CE2"/>
    <w:rsid w:val="00E373A5"/>
    <w:rsid w:val="00E40CF5"/>
    <w:rsid w:val="00E66A4D"/>
    <w:rsid w:val="00E67448"/>
    <w:rsid w:val="00E72B1C"/>
    <w:rsid w:val="00E86547"/>
    <w:rsid w:val="00E96169"/>
    <w:rsid w:val="00EA4826"/>
    <w:rsid w:val="00EB2A2D"/>
    <w:rsid w:val="00EB40B6"/>
    <w:rsid w:val="00ED0EE3"/>
    <w:rsid w:val="00ED3572"/>
    <w:rsid w:val="00ED64CB"/>
    <w:rsid w:val="00EE4711"/>
    <w:rsid w:val="00EE6E53"/>
    <w:rsid w:val="00EF1914"/>
    <w:rsid w:val="00EF7F13"/>
    <w:rsid w:val="00F03A33"/>
    <w:rsid w:val="00F05758"/>
    <w:rsid w:val="00F0780F"/>
    <w:rsid w:val="00F10881"/>
    <w:rsid w:val="00F11FA6"/>
    <w:rsid w:val="00F152BC"/>
    <w:rsid w:val="00F155A7"/>
    <w:rsid w:val="00F166F9"/>
    <w:rsid w:val="00F16D54"/>
    <w:rsid w:val="00F17E5B"/>
    <w:rsid w:val="00F30221"/>
    <w:rsid w:val="00F33840"/>
    <w:rsid w:val="00F350DB"/>
    <w:rsid w:val="00F41F28"/>
    <w:rsid w:val="00F510A5"/>
    <w:rsid w:val="00F56342"/>
    <w:rsid w:val="00F565AF"/>
    <w:rsid w:val="00F6015C"/>
    <w:rsid w:val="00F62A25"/>
    <w:rsid w:val="00F640C5"/>
    <w:rsid w:val="00F72CCB"/>
    <w:rsid w:val="00F75715"/>
    <w:rsid w:val="00F75894"/>
    <w:rsid w:val="00FA06A5"/>
    <w:rsid w:val="00FA08F2"/>
    <w:rsid w:val="00FA5372"/>
    <w:rsid w:val="00FB2E2F"/>
    <w:rsid w:val="00FB4293"/>
    <w:rsid w:val="00FC3E9A"/>
    <w:rsid w:val="00FC5B36"/>
    <w:rsid w:val="00FD300A"/>
    <w:rsid w:val="00FF137F"/>
    <w:rsid w:val="00FF2370"/>
    <w:rsid w:val="00FF4D24"/>
    <w:rsid w:val="00FF5A11"/>
    <w:rsid w:val="00FF6959"/>
    <w:rsid w:val="00FF6C14"/>
    <w:rsid w:val="01BE6316"/>
    <w:rsid w:val="072C7352"/>
    <w:rsid w:val="0D1A708D"/>
    <w:rsid w:val="129A135E"/>
    <w:rsid w:val="158A65A9"/>
    <w:rsid w:val="1C9713E9"/>
    <w:rsid w:val="24E73B1F"/>
    <w:rsid w:val="26F03C06"/>
    <w:rsid w:val="28F77CAB"/>
    <w:rsid w:val="2A547683"/>
    <w:rsid w:val="2DCC1731"/>
    <w:rsid w:val="2EA2048F"/>
    <w:rsid w:val="340A75A6"/>
    <w:rsid w:val="37413346"/>
    <w:rsid w:val="5DD12A5A"/>
    <w:rsid w:val="61905115"/>
    <w:rsid w:val="667765BF"/>
    <w:rsid w:val="677849B6"/>
    <w:rsid w:val="7775238E"/>
    <w:rsid w:val="7A8638D9"/>
    <w:rsid w:val="7A9E37BB"/>
    <w:rsid w:val="7EF019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17"/>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rPr>
      <w:rFonts w:eastAsia="仿宋_GB2312"/>
      <w:sz w:val="28"/>
    </w:rPr>
  </w:style>
  <w:style w:type="paragraph" w:styleId="6">
    <w:name w:val="Balloon Text"/>
    <w:basedOn w:val="1"/>
    <w:link w:val="21"/>
    <w:unhideWhenUsed/>
    <w:qFormat/>
    <w:uiPriority w:val="99"/>
    <w:rPr>
      <w:sz w:val="18"/>
      <w:szCs w:val="18"/>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rPr>
      <w:rFonts w:eastAsia="仿宋_GB2312"/>
      <w:sz w:val="28"/>
    </w:rPr>
  </w:style>
  <w:style w:type="paragraph" w:styleId="10">
    <w:name w:val="toc 2"/>
    <w:basedOn w:val="1"/>
    <w:next w:val="1"/>
    <w:unhideWhenUsed/>
    <w:qFormat/>
    <w:uiPriority w:val="39"/>
    <w:rPr>
      <w:rFonts w:eastAsia="仿宋_GB2312"/>
      <w:sz w:val="2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bCs/>
    </w:rPr>
  </w:style>
  <w:style w:type="character" w:styleId="16">
    <w:name w:val="Hyperlink"/>
    <w:basedOn w:val="14"/>
    <w:unhideWhenUsed/>
    <w:qFormat/>
    <w:uiPriority w:val="99"/>
    <w:rPr>
      <w:color w:val="0563C1" w:themeColor="hyperlink"/>
      <w:u w:val="single"/>
    </w:rPr>
  </w:style>
  <w:style w:type="character" w:customStyle="1" w:styleId="17">
    <w:name w:val="标题 1 字符"/>
    <w:basedOn w:val="14"/>
    <w:link w:val="2"/>
    <w:qFormat/>
    <w:uiPriority w:val="9"/>
    <w:rPr>
      <w:rFonts w:ascii="Times New Roman" w:hAnsi="Times New Roman" w:eastAsia="黑体" w:cs="Arial"/>
      <w:b/>
      <w:bCs/>
      <w:kern w:val="44"/>
      <w:sz w:val="28"/>
      <w:szCs w:val="44"/>
    </w:rPr>
  </w:style>
  <w:style w:type="paragraph" w:styleId="18">
    <w:name w:val="List Paragraph"/>
    <w:basedOn w:val="1"/>
    <w:qFormat/>
    <w:uiPriority w:val="34"/>
    <w:pPr>
      <w:ind w:firstLine="420" w:firstLineChars="200"/>
    </w:pPr>
  </w:style>
  <w:style w:type="character" w:customStyle="1" w:styleId="19">
    <w:name w:val="页眉 字符"/>
    <w:basedOn w:val="14"/>
    <w:link w:val="8"/>
    <w:qFormat/>
    <w:uiPriority w:val="99"/>
    <w:rPr>
      <w:sz w:val="18"/>
      <w:szCs w:val="18"/>
    </w:rPr>
  </w:style>
  <w:style w:type="character" w:customStyle="1" w:styleId="20">
    <w:name w:val="页脚 字符"/>
    <w:basedOn w:val="14"/>
    <w:link w:val="7"/>
    <w:qFormat/>
    <w:uiPriority w:val="99"/>
    <w:rPr>
      <w:sz w:val="18"/>
      <w:szCs w:val="18"/>
    </w:rPr>
  </w:style>
  <w:style w:type="character" w:customStyle="1" w:styleId="21">
    <w:name w:val="批注框文本 字符"/>
    <w:basedOn w:val="14"/>
    <w:link w:val="6"/>
    <w:semiHidden/>
    <w:qFormat/>
    <w:uiPriority w:val="99"/>
    <w:rPr>
      <w:sz w:val="18"/>
      <w:szCs w:val="18"/>
    </w:rPr>
  </w:style>
  <w:style w:type="paragraph" w:customStyle="1" w:styleId="22">
    <w:name w:val="标题1"/>
    <w:basedOn w:val="2"/>
    <w:qFormat/>
    <w:uiPriority w:val="0"/>
    <w:pPr>
      <w:spacing w:before="120" w:after="120" w:line="500" w:lineRule="exact"/>
      <w:ind w:firstLine="200" w:firstLineChars="200"/>
    </w:pPr>
    <w:rPr>
      <w:rFonts w:cs="Times New Roman"/>
      <w:sz w:val="32"/>
      <w:szCs w:val="32"/>
    </w:rPr>
  </w:style>
  <w:style w:type="character" w:customStyle="1" w:styleId="23">
    <w:name w:val="标题 2 字符"/>
    <w:basedOn w:val="14"/>
    <w:link w:val="3"/>
    <w:qFormat/>
    <w:uiPriority w:val="9"/>
    <w:rPr>
      <w:rFonts w:asciiTheme="majorHAnsi" w:hAnsiTheme="majorHAnsi" w:eastAsiaTheme="majorEastAsia" w:cstheme="majorBidi"/>
      <w:b/>
      <w:bCs/>
      <w:sz w:val="32"/>
      <w:szCs w:val="32"/>
    </w:rPr>
  </w:style>
  <w:style w:type="paragraph" w:customStyle="1" w:styleId="24">
    <w:name w:val="标题2"/>
    <w:basedOn w:val="3"/>
    <w:qFormat/>
    <w:uiPriority w:val="0"/>
    <w:pPr>
      <w:numPr>
        <w:ilvl w:val="0"/>
        <w:numId w:val="1"/>
      </w:numPr>
      <w:spacing w:before="120" w:after="120" w:line="500" w:lineRule="exact"/>
    </w:pPr>
    <w:rPr>
      <w:rFonts w:ascii="仿宋_GB2312" w:eastAsia="仿宋_GB2312" w:cs="Times New Roman"/>
    </w:rPr>
  </w:style>
  <w:style w:type="paragraph" w:customStyle="1" w:styleId="25">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26">
    <w:name w:val="闻政正文 Char"/>
    <w:link w:val="27"/>
    <w:qFormat/>
    <w:uiPriority w:val="0"/>
    <w:rPr>
      <w:rFonts w:ascii="Times New Roman" w:hAnsi="Times New Roman" w:eastAsia="仿宋_GB2312" w:cs="Times New Roman"/>
      <w:sz w:val="28"/>
      <w:szCs w:val="28"/>
    </w:rPr>
  </w:style>
  <w:style w:type="paragraph" w:customStyle="1" w:styleId="27">
    <w:name w:val="闻政正文"/>
    <w:basedOn w:val="1"/>
    <w:link w:val="26"/>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28">
    <w:name w:val="闻政表 Char"/>
    <w:link w:val="29"/>
    <w:qFormat/>
    <w:uiPriority w:val="0"/>
    <w:rPr>
      <w:rFonts w:ascii="Times New Roman" w:hAnsi="Times New Roman" w:eastAsia="仿宋_GB2312" w:cs="Times New Roman"/>
      <w:b/>
      <w:sz w:val="24"/>
      <w:szCs w:val="28"/>
    </w:rPr>
  </w:style>
  <w:style w:type="paragraph" w:customStyle="1" w:styleId="29">
    <w:name w:val="闻政表"/>
    <w:basedOn w:val="1"/>
    <w:link w:val="28"/>
    <w:qFormat/>
    <w:uiPriority w:val="0"/>
    <w:pPr>
      <w:spacing w:before="60" w:after="60"/>
      <w:jc w:val="center"/>
    </w:pPr>
    <w:rPr>
      <w:rFonts w:ascii="Times New Roman" w:hAnsi="Times New Roman" w:eastAsia="仿宋_GB2312" w:cs="Times New Roman"/>
      <w:b/>
      <w:sz w:val="24"/>
      <w:szCs w:val="28"/>
    </w:rPr>
  </w:style>
  <w:style w:type="paragraph" w:customStyle="1" w:styleId="30">
    <w:name w:val="Char"/>
    <w:basedOn w:val="1"/>
    <w:qFormat/>
    <w:uiPriority w:val="0"/>
    <w:pPr>
      <w:widowControl/>
      <w:spacing w:after="160" w:line="240" w:lineRule="exact"/>
      <w:jc w:val="left"/>
    </w:pPr>
    <w:rPr>
      <w:rFonts w:ascii="Times New Roman" w:hAnsi="Times New Roman" w:eastAsia="宋体" w:cs="Times New Roman"/>
      <w:szCs w:val="22"/>
    </w:rPr>
  </w:style>
  <w:style w:type="character" w:customStyle="1" w:styleId="31">
    <w:name w:val="闻政标题3 Char"/>
    <w:link w:val="32"/>
    <w:qFormat/>
    <w:uiPriority w:val="0"/>
    <w:rPr>
      <w:rFonts w:ascii="黑体" w:hAnsi="黑体" w:eastAsia="黑体" w:cs="Times New Roman"/>
      <w:bCs/>
      <w:sz w:val="32"/>
      <w:szCs w:val="32"/>
    </w:rPr>
  </w:style>
  <w:style w:type="paragraph" w:customStyle="1" w:styleId="32">
    <w:name w:val="闻政标题3"/>
    <w:basedOn w:val="4"/>
    <w:link w:val="31"/>
    <w:qFormat/>
    <w:uiPriority w:val="99"/>
    <w:pPr>
      <w:spacing w:before="120" w:after="60" w:line="500" w:lineRule="exact"/>
      <w:jc w:val="left"/>
      <w:outlineLvl w:val="0"/>
    </w:pPr>
    <w:rPr>
      <w:rFonts w:ascii="黑体" w:hAnsi="黑体" w:eastAsia="黑体" w:cs="Times New Roman"/>
      <w:b w:val="0"/>
    </w:rPr>
  </w:style>
  <w:style w:type="character" w:customStyle="1" w:styleId="33">
    <w:name w:val="标题 3 字符"/>
    <w:basedOn w:val="14"/>
    <w:link w:val="4"/>
    <w:semiHidden/>
    <w:qFormat/>
    <w:uiPriority w:val="9"/>
    <w:rPr>
      <w:b/>
      <w:bCs/>
      <w:sz w:val="32"/>
      <w:szCs w:val="32"/>
    </w:rPr>
  </w:style>
  <w:style w:type="paragraph" w:customStyle="1" w:styleId="34">
    <w:name w:val="Body text|1"/>
    <w:basedOn w:val="1"/>
    <w:link w:val="35"/>
    <w:qFormat/>
    <w:uiPriority w:val="0"/>
    <w:pPr>
      <w:spacing w:after="40" w:line="334" w:lineRule="auto"/>
    </w:pPr>
    <w:rPr>
      <w:rFonts w:ascii="MingLiU" w:hAnsi="MingLiU" w:eastAsia="MingLiU" w:cs="MingLiU"/>
      <w:sz w:val="20"/>
      <w:szCs w:val="20"/>
      <w:lang w:val="zh-TW" w:eastAsia="zh-TW" w:bidi="zh-TW"/>
    </w:rPr>
  </w:style>
  <w:style w:type="character" w:customStyle="1" w:styleId="35">
    <w:name w:val="Body text|1_"/>
    <w:basedOn w:val="14"/>
    <w:link w:val="34"/>
    <w:unhideWhenUsed/>
    <w:qFormat/>
    <w:uiPriority w:val="0"/>
    <w:rPr>
      <w:rFonts w:ascii="MingLiU" w:hAnsi="MingLiU" w:eastAsia="MingLiU" w:cs="MingLiU"/>
      <w:sz w:val="20"/>
      <w:szCs w:val="20"/>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EEBE2-762E-4601-A1AF-829A1105A04B}">
  <ds:schemaRefs/>
</ds:datastoreItem>
</file>

<file path=docProps/app.xml><?xml version="1.0" encoding="utf-8"?>
<Properties xmlns="http://schemas.openxmlformats.org/officeDocument/2006/extended-properties" xmlns:vt="http://schemas.openxmlformats.org/officeDocument/2006/docPropsVTypes">
  <Template>Normal</Template>
  <Pages>1</Pages>
  <Words>1046</Words>
  <Characters>5964</Characters>
  <Lines>49</Lines>
  <Paragraphs>13</Paragraphs>
  <TotalTime>2</TotalTime>
  <ScaleCrop>false</ScaleCrop>
  <LinksUpToDate>false</LinksUpToDate>
  <CharactersWithSpaces>6997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2019-11-22T05:12:00Z</dcterms:created>
  <dc:creator>ThinkPad</dc:creator>
  <cp:lastModifiedBy>易安</cp:lastModifiedBy>
  <dcterms:modified xsi:type="dcterms:W3CDTF">2023-11-24T11:18:24Z</dcterms:modified>
  <dc:title>新疆普天鹏华商务信息咨询有限公司</dc:title>
  <cp:revision>5875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2944F38A6C454485A4DA58F331FF4DE6_12</vt:lpwstr>
  </property>
</Properties>
</file>