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喀什地区</w:t>
      </w:r>
      <w:r>
        <w:rPr>
          <w:rFonts w:hint="eastAsia" w:ascii="方正小标宋简体" w:eastAsia="方正小标宋简体"/>
          <w:color w:val="auto"/>
          <w:sz w:val="44"/>
          <w:szCs w:val="44"/>
          <w:highlight w:val="none"/>
          <w:lang w:eastAsia="zh-CN"/>
        </w:rPr>
        <w:t>叶城县</w:t>
      </w:r>
      <w:r>
        <w:rPr>
          <w:rFonts w:hint="eastAsia" w:ascii="方正小标宋简体" w:eastAsia="方正小标宋简体"/>
          <w:color w:val="auto"/>
          <w:sz w:val="44"/>
          <w:szCs w:val="44"/>
          <w:highlight w:val="none"/>
          <w:lang w:val="en-US" w:eastAsia="zh-CN"/>
        </w:rPr>
        <w:t>夏合甫</w:t>
      </w:r>
      <w:r>
        <w:rPr>
          <w:rFonts w:hint="eastAsia" w:ascii="方正小标宋简体" w:eastAsia="方正小标宋简体"/>
          <w:color w:val="auto"/>
          <w:sz w:val="44"/>
          <w:szCs w:val="44"/>
          <w:highlight w:val="none"/>
          <w:lang w:eastAsia="zh-CN"/>
        </w:rPr>
        <w:t>乡安居富民建设</w:t>
      </w:r>
      <w:r>
        <w:rPr>
          <w:rFonts w:hint="eastAsia" w:ascii="方正小标宋简体" w:eastAsia="方正小标宋简体"/>
          <w:color w:val="auto"/>
          <w:sz w:val="44"/>
          <w:szCs w:val="44"/>
          <w:highlight w:val="none"/>
        </w:rPr>
        <w:t>项目支出绩效评价报告</w:t>
      </w: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项目名称：</w:t>
      </w:r>
      <w:r>
        <w:rPr>
          <w:rFonts w:hint="eastAsia" w:ascii="仿宋_GB2312" w:hAnsi="仿宋" w:eastAsia="仿宋_GB2312" w:cs="Times New Roman"/>
          <w:color w:val="auto"/>
          <w:spacing w:val="-2"/>
          <w:sz w:val="36"/>
          <w:szCs w:val="36"/>
          <w:highlight w:val="none"/>
          <w:lang w:eastAsia="zh-CN"/>
        </w:rPr>
        <w:t>安居富民房建设项目</w:t>
      </w: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实施单位：</w:t>
      </w:r>
      <w:r>
        <w:rPr>
          <w:rFonts w:hint="eastAsia" w:ascii="仿宋_GB2312" w:hAnsi="仿宋" w:eastAsia="仿宋_GB2312" w:cs="Times New Roman"/>
          <w:color w:val="auto"/>
          <w:spacing w:val="-2"/>
          <w:sz w:val="36"/>
          <w:szCs w:val="36"/>
          <w:highlight w:val="none"/>
          <w:lang w:eastAsia="zh-CN"/>
        </w:rPr>
        <w:t>叶城县</w:t>
      </w:r>
      <w:r>
        <w:rPr>
          <w:rFonts w:hint="eastAsia" w:ascii="仿宋_GB2312" w:hAnsi="仿宋" w:eastAsia="仿宋_GB2312" w:cs="Times New Roman"/>
          <w:color w:val="auto"/>
          <w:spacing w:val="-2"/>
          <w:sz w:val="36"/>
          <w:szCs w:val="36"/>
          <w:highlight w:val="none"/>
          <w:lang w:val="en-US" w:eastAsia="zh-CN"/>
        </w:rPr>
        <w:t>夏合甫</w:t>
      </w:r>
      <w:r>
        <w:rPr>
          <w:rFonts w:hint="eastAsia" w:ascii="仿宋_GB2312" w:hAnsi="仿宋" w:eastAsia="仿宋_GB2312" w:cs="Times New Roman"/>
          <w:color w:val="auto"/>
          <w:spacing w:val="-2"/>
          <w:sz w:val="36"/>
          <w:szCs w:val="36"/>
          <w:highlight w:val="none"/>
          <w:lang w:eastAsia="zh-CN"/>
        </w:rPr>
        <w:t>乡人民政府</w:t>
      </w: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评价部门：</w:t>
      </w:r>
      <w:r>
        <w:rPr>
          <w:rFonts w:hint="eastAsia" w:ascii="仿宋_GB2312" w:hAnsi="仿宋" w:eastAsia="仿宋_GB2312" w:cs="Times New Roman"/>
          <w:color w:val="auto"/>
          <w:spacing w:val="-2"/>
          <w:sz w:val="36"/>
          <w:szCs w:val="36"/>
          <w:highlight w:val="none"/>
          <w:lang w:eastAsia="zh-CN"/>
        </w:rPr>
        <w:t>叶城县</w:t>
      </w:r>
      <w:r>
        <w:rPr>
          <w:rFonts w:hint="eastAsia" w:ascii="仿宋_GB2312" w:hAnsi="仿宋" w:eastAsia="仿宋_GB2312" w:cs="Times New Roman"/>
          <w:color w:val="auto"/>
          <w:spacing w:val="-2"/>
          <w:sz w:val="36"/>
          <w:szCs w:val="36"/>
          <w:highlight w:val="none"/>
          <w:lang w:val="en-US" w:eastAsia="zh-CN"/>
        </w:rPr>
        <w:t>夏合甫</w:t>
      </w:r>
      <w:r>
        <w:rPr>
          <w:rFonts w:hint="eastAsia" w:ascii="仿宋_GB2312" w:hAnsi="仿宋" w:eastAsia="仿宋_GB2312" w:cs="Times New Roman"/>
          <w:color w:val="auto"/>
          <w:spacing w:val="-2"/>
          <w:sz w:val="36"/>
          <w:szCs w:val="36"/>
          <w:highlight w:val="none"/>
          <w:lang w:eastAsia="zh-CN"/>
        </w:rPr>
        <w:t>乡人民政府</w:t>
      </w:r>
    </w:p>
    <w:p>
      <w:pPr>
        <w:autoSpaceDE w:val="0"/>
        <w:autoSpaceDN w:val="0"/>
        <w:spacing w:line="540" w:lineRule="exact"/>
        <w:ind w:firstLine="712" w:firstLineChars="200"/>
        <w:rPr>
          <w:rFonts w:ascii="仿宋_GB2312" w:hAnsi="仿宋" w:eastAsia="仿宋_GB2312" w:cs="Times New Roman"/>
          <w:color w:val="auto"/>
          <w:spacing w:val="-2"/>
          <w:sz w:val="36"/>
          <w:szCs w:val="36"/>
          <w:highlight w:val="none"/>
        </w:rPr>
      </w:pPr>
    </w:p>
    <w:p>
      <w:pPr>
        <w:autoSpaceDE w:val="0"/>
        <w:autoSpaceDN w:val="0"/>
        <w:spacing w:line="540" w:lineRule="exact"/>
        <w:ind w:firstLine="712" w:firstLineChars="200"/>
        <w:rPr>
          <w:rFonts w:ascii="仿宋_GB2312" w:hAnsi="仿宋" w:eastAsia="仿宋_GB2312" w:cs="Times New Roman"/>
          <w:color w:val="auto"/>
          <w:spacing w:val="-2"/>
          <w:sz w:val="36"/>
          <w:szCs w:val="36"/>
          <w:highlight w:val="none"/>
        </w:rPr>
      </w:pPr>
    </w:p>
    <w:p>
      <w:pPr>
        <w:autoSpaceDE w:val="0"/>
        <w:autoSpaceDN w:val="0"/>
        <w:spacing w:line="540" w:lineRule="exact"/>
        <w:ind w:firstLine="2136" w:firstLineChars="600"/>
        <w:rPr>
          <w:rFonts w:ascii="仿宋_GB2312" w:hAnsi="仿宋" w:eastAsia="仿宋_GB2312" w:cs="Times New Roman"/>
          <w:color w:val="auto"/>
          <w:spacing w:val="-2"/>
          <w:sz w:val="36"/>
          <w:szCs w:val="36"/>
          <w:highlight w:val="none"/>
        </w:rPr>
      </w:pPr>
    </w:p>
    <w:p>
      <w:pPr>
        <w:autoSpaceDE w:val="0"/>
        <w:autoSpaceDN w:val="0"/>
        <w:spacing w:line="540" w:lineRule="exact"/>
        <w:ind w:firstLine="2848" w:firstLineChars="800"/>
        <w:rPr>
          <w:rFonts w:ascii="仿宋_GB2312" w:hAnsi="仿宋" w:eastAsia="仿宋_GB2312" w:cs="Times New Roman"/>
          <w:color w:val="auto"/>
          <w:spacing w:val="-2"/>
          <w:sz w:val="36"/>
          <w:szCs w:val="36"/>
          <w:highlight w:val="none"/>
        </w:rPr>
      </w:pPr>
      <w:r>
        <w:rPr>
          <w:rFonts w:hint="eastAsia" w:ascii="仿宋_GB2312" w:hAnsi="仿宋" w:eastAsia="仿宋_GB2312" w:cs="Times New Roman"/>
          <w:color w:val="auto"/>
          <w:spacing w:val="-2"/>
          <w:sz w:val="36"/>
          <w:szCs w:val="36"/>
          <w:highlight w:val="none"/>
        </w:rPr>
        <w:t>二零二零年四月</w:t>
      </w:r>
    </w:p>
    <w:p>
      <w:pPr>
        <w:pStyle w:val="2"/>
        <w:rPr>
          <w:rFonts w:hint="eastAsia"/>
        </w:rPr>
      </w:pPr>
    </w:p>
    <w:p>
      <w:pPr>
        <w:rPr>
          <w:rFonts w:hint="eastAsia"/>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r>
        <w:rPr>
          <w:rFonts w:hint="eastAsia"/>
          <w:color w:val="auto"/>
          <w:highlight w:val="none"/>
          <w:lang w:bidi="ar"/>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0" w:name="_Toc26401549"/>
      <w:r>
        <w:rPr>
          <w:rFonts w:hint="eastAsia"/>
          <w:color w:val="auto"/>
          <w:highlight w:val="none"/>
          <w:lang w:bidi="ar"/>
        </w:rPr>
        <w:t>项目概况</w:t>
      </w:r>
      <w:bookmarkEnd w:id="0"/>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本项目根据</w:t>
      </w:r>
      <w:r>
        <w:rPr>
          <w:rFonts w:hint="eastAsia" w:ascii="仿宋_GB2312" w:hAnsi="仿宋_GB2312" w:eastAsia="仿宋_GB2312" w:cs="仿宋_GB2312"/>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color w:val="auto"/>
          <w:sz w:val="32"/>
          <w:szCs w:val="32"/>
          <w:highlight w:val="none"/>
        </w:rPr>
        <w:t>文件要求</w:t>
      </w:r>
      <w:r>
        <w:rPr>
          <w:rFonts w:hint="eastAsia" w:ascii="仿宋_GB2312" w:hAnsi="仿宋" w:eastAsia="仿宋_GB2312" w:cs="宋体"/>
          <w:color w:val="auto"/>
          <w:sz w:val="32"/>
          <w:szCs w:val="32"/>
          <w:highlight w:val="none"/>
          <w:lang w:bidi="ar"/>
        </w:rPr>
        <w:t>政策（文件、会议精神）立项，旨在</w:t>
      </w:r>
      <w:r>
        <w:rPr>
          <w:rFonts w:hint="eastAsia" w:ascii="仿宋_GB2312" w:hAnsi="仿宋_GB2312" w:eastAsia="仿宋_GB2312" w:cs="仿宋_GB2312"/>
          <w:b w:val="0"/>
          <w:bCs/>
          <w:color w:val="auto"/>
          <w:sz w:val="32"/>
          <w:szCs w:val="32"/>
          <w:highlight w:val="none"/>
        </w:rPr>
        <w:t>完善我乡住房保障体系，改善住房保障服务，解决建房困难户经济困难，有效促进建房户就业，提升建房户获得感与幸福感。</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本项目的主管部门为</w:t>
      </w:r>
      <w:r>
        <w:rPr>
          <w:rFonts w:hint="eastAsia" w:ascii="仿宋_GB2312" w:hAnsi="仿宋" w:eastAsia="仿宋_GB2312" w:cs="宋体"/>
          <w:color w:val="auto"/>
          <w:sz w:val="32"/>
          <w:szCs w:val="32"/>
          <w:highlight w:val="none"/>
          <w:lang w:eastAsia="zh-CN" w:bidi="ar"/>
        </w:rPr>
        <w:t>叶城县安居办</w:t>
      </w:r>
      <w:r>
        <w:rPr>
          <w:rFonts w:ascii="仿宋_GB2312" w:hAnsi="仿宋" w:eastAsia="仿宋_GB2312" w:cs="宋体"/>
          <w:color w:val="auto"/>
          <w:sz w:val="32"/>
          <w:szCs w:val="32"/>
          <w:highlight w:val="none"/>
          <w:lang w:bidi="ar"/>
        </w:rPr>
        <w:t>,</w:t>
      </w:r>
      <w:r>
        <w:rPr>
          <w:rFonts w:hint="eastAsia" w:ascii="仿宋_GB2312" w:hAnsi="仿宋" w:eastAsia="仿宋_GB2312" w:cs="宋体"/>
          <w:color w:val="auto"/>
          <w:sz w:val="32"/>
          <w:szCs w:val="32"/>
          <w:highlight w:val="none"/>
          <w:lang w:bidi="ar"/>
        </w:rPr>
        <w:t>实施单位为</w:t>
      </w:r>
      <w:r>
        <w:rPr>
          <w:rFonts w:hint="eastAsia" w:ascii="仿宋_GB2312" w:hAnsi="仿宋" w:eastAsia="仿宋_GB2312" w:cs="宋体"/>
          <w:color w:val="auto"/>
          <w:sz w:val="32"/>
          <w:szCs w:val="32"/>
          <w:highlight w:val="none"/>
          <w:lang w:eastAsia="zh-CN" w:bidi="ar"/>
        </w:rPr>
        <w:t>叶城县夏合甫乡人民政府</w:t>
      </w:r>
      <w:r>
        <w:rPr>
          <w:rFonts w:hint="eastAsia" w:ascii="仿宋_GB2312" w:hAnsi="仿宋" w:eastAsia="仿宋_GB2312" w:cs="宋体"/>
          <w:color w:val="auto"/>
          <w:sz w:val="32"/>
          <w:szCs w:val="32"/>
          <w:highlight w:val="none"/>
          <w:lang w:bidi="ar"/>
        </w:rPr>
        <w:t>，主要职责</w:t>
      </w:r>
      <w:r>
        <w:rPr>
          <w:rFonts w:hint="eastAsia" w:ascii="仿宋_GB2312" w:hAnsi="仿宋" w:eastAsia="仿宋_GB2312" w:cs="宋体"/>
          <w:color w:val="auto"/>
          <w:sz w:val="32"/>
          <w:szCs w:val="32"/>
          <w:highlight w:val="none"/>
          <w:lang w:eastAsia="zh-CN" w:bidi="ar"/>
        </w:rPr>
        <w:t>负责对补助的农户进行摸底统计，对符合要求的农户进行全面了解，及时对补助资金进行发放。监督项目进度，对项目完工情况及时验收。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项目的主要内容为：</w:t>
      </w:r>
      <w:r>
        <w:rPr>
          <w:rFonts w:hint="eastAsia" w:ascii="仿宋_GB2312" w:hAnsi="仿宋_GB2312" w:eastAsia="仿宋_GB2312" w:cs="仿宋_GB2312"/>
          <w:b w:val="0"/>
          <w:bCs/>
          <w:color w:val="auto"/>
          <w:sz w:val="32"/>
          <w:szCs w:val="32"/>
          <w:highlight w:val="none"/>
        </w:rPr>
        <w:t>年度设定的预期目标是用于完善我乡住房保障体系，改善住房保障服务，解决建房困难户经济困难，有效促进建房户就业，提升建房户获得感与幸福感。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项目的实施情况：</w:t>
      </w:r>
      <w:r>
        <w:rPr>
          <w:rStyle w:val="16"/>
          <w:rFonts w:hint="eastAsia" w:ascii="仿宋_GB2312" w:hAnsi="仿宋_GB2312" w:eastAsia="仿宋_GB2312" w:cs="仿宋_GB2312"/>
          <w:b w:val="0"/>
          <w:color w:val="auto"/>
          <w:spacing w:val="-4"/>
          <w:sz w:val="32"/>
          <w:szCs w:val="32"/>
          <w:highlight w:val="none"/>
        </w:rPr>
        <w:t>项目实施过程中，我单位建立了《</w:t>
      </w:r>
      <w:r>
        <w:rPr>
          <w:rFonts w:hint="eastAsia" w:ascii="仿宋_GB2312" w:hAnsi="仿宋_GB2312" w:eastAsia="仿宋_GB2312" w:cs="仿宋_GB2312"/>
          <w:b w:val="0"/>
          <w:bCs/>
          <w:color w:val="auto"/>
          <w:sz w:val="32"/>
          <w:szCs w:val="32"/>
          <w:highlight w:val="none"/>
          <w:lang w:eastAsia="zh-CN"/>
        </w:rPr>
        <w:t>富民安居房建设项目</w:t>
      </w:r>
      <w:r>
        <w:rPr>
          <w:rStyle w:val="16"/>
          <w:rFonts w:hint="eastAsia" w:ascii="仿宋_GB2312" w:hAnsi="仿宋_GB2312" w:eastAsia="仿宋_GB2312" w:cs="仿宋_GB2312"/>
          <w:b w:val="0"/>
          <w:color w:val="auto"/>
          <w:spacing w:val="-4"/>
          <w:sz w:val="32"/>
          <w:szCs w:val="32"/>
          <w:highlight w:val="none"/>
        </w:rPr>
        <w:t>资金执行制度》保障项目的顺利实施。项目的实施遵守相关法律法规和业务管理规定，项目资料齐全并及时装订、归档。已建立《</w:t>
      </w:r>
      <w:r>
        <w:rPr>
          <w:rFonts w:hint="eastAsia" w:ascii="仿宋_GB2312" w:hAnsi="仿宋_GB2312" w:eastAsia="仿宋_GB2312" w:cs="仿宋_GB2312"/>
          <w:b w:val="0"/>
          <w:bCs/>
          <w:color w:val="auto"/>
          <w:sz w:val="32"/>
          <w:szCs w:val="32"/>
          <w:highlight w:val="none"/>
          <w:lang w:eastAsia="zh-CN"/>
        </w:rPr>
        <w:t>富民安居房建设项目</w:t>
      </w:r>
      <w:r>
        <w:rPr>
          <w:rStyle w:val="16"/>
          <w:rFonts w:hint="eastAsia" w:ascii="仿宋_GB2312" w:hAnsi="仿宋_GB2312" w:eastAsia="仿宋_GB2312" w:cs="仿宋_GB2312"/>
          <w:b w:val="0"/>
          <w:color w:val="auto"/>
          <w:spacing w:val="-4"/>
          <w:sz w:val="32"/>
          <w:szCs w:val="32"/>
          <w:highlight w:val="none"/>
        </w:rPr>
        <w:t>管理制度》，不定期对项目进度情况进行督导检查，对检查过程中发现的问题及时督促整改，确保了项目按时保质完成。</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rPr>
        <w:t>叶城县夏合甫乡属机关行政部门，乡科级行政单位，辖18个行政村；全乡共有农牧民22980人，农户4860户，全乡维吾尔族占97%，主要以种植小麦、玉米、核桃、设施农业为主，是农业大乡。行政编制53人，政法编制1人，工勤编制3人，共计57人。事业编制为30人，参照编制22人,全额事业编制共计26人， 自收自支编制6人。截止2019年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底</w:t>
      </w:r>
      <w:r>
        <w:rPr>
          <w:rFonts w:hint="eastAsia" w:ascii="仿宋_GB2312" w:eastAsia="仿宋_GB2312"/>
          <w:sz w:val="32"/>
          <w:szCs w:val="32"/>
        </w:rPr>
        <w:t>，乡机关实有在职人数103人，行政在职46人，事业在职27人，遗属供养人员12人。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_GB2312" w:eastAsia="仿宋_GB2312" w:cs="仿宋_GB2312"/>
          <w:bCs/>
          <w:color w:val="auto"/>
          <w:sz w:val="32"/>
          <w:szCs w:val="32"/>
          <w:highlight w:val="none"/>
        </w:rPr>
        <w:t>主要职能：</w:t>
      </w:r>
      <w:r>
        <w:rPr>
          <w:rFonts w:hint="eastAsia" w:ascii="仿宋_GB2312" w:eastAsia="仿宋_GB2312"/>
          <w:sz w:val="32"/>
          <w:szCs w:val="32"/>
          <w:lang w:val="en-US" w:eastAsia="zh-CN"/>
        </w:rPr>
        <w:t>叶城</w:t>
      </w:r>
      <w:r>
        <w:rPr>
          <w:rFonts w:hint="eastAsia" w:ascii="仿宋_GB2312" w:eastAsia="仿宋_GB2312"/>
          <w:sz w:val="32"/>
          <w:szCs w:val="32"/>
        </w:rPr>
        <w:t>县</w:t>
      </w:r>
      <w:r>
        <w:rPr>
          <w:rFonts w:hint="eastAsia" w:ascii="仿宋_GB2312" w:eastAsia="仿宋_GB2312"/>
          <w:sz w:val="32"/>
          <w:szCs w:val="32"/>
          <w:lang w:eastAsia="zh-CN"/>
        </w:rPr>
        <w:t>夏合甫</w:t>
      </w:r>
      <w:r>
        <w:rPr>
          <w:rFonts w:hint="eastAsia" w:ascii="仿宋_GB2312" w:eastAsia="仿宋_GB2312"/>
          <w:sz w:val="32"/>
          <w:szCs w:val="32"/>
        </w:rPr>
        <w:t>乡</w:t>
      </w:r>
      <w:r>
        <w:rPr>
          <w:rFonts w:hint="eastAsia" w:ascii="仿宋_GB2312" w:eastAsia="仿宋_GB2312"/>
          <w:sz w:val="32"/>
          <w:szCs w:val="32"/>
          <w:lang w:eastAsia="zh-CN"/>
        </w:rPr>
        <w:t>人民政府</w:t>
      </w:r>
      <w:r>
        <w:rPr>
          <w:rFonts w:hint="eastAsia" w:ascii="仿宋_GB2312" w:eastAsia="仿宋_GB2312"/>
          <w:sz w:val="32"/>
          <w:szCs w:val="32"/>
        </w:rPr>
        <w:t>负责全乡党政行政管理事务。深刻贯彻落实新疆工作座谈会精神，以自治区全委会议精神为指导，坚决贯彻执行上级各个部门有关方</w:t>
      </w:r>
      <w:r>
        <w:rPr>
          <w:rFonts w:hint="eastAsia" w:ascii="仿宋_GB2312" w:eastAsia="仿宋_GB2312"/>
          <w:sz w:val="32"/>
          <w:szCs w:val="32"/>
          <w:lang w:eastAsia="zh-CN"/>
        </w:rPr>
        <w:t>针</w:t>
      </w:r>
      <w:bookmarkStart w:id="8" w:name="_GoBack"/>
      <w:bookmarkEnd w:id="8"/>
      <w:r>
        <w:rPr>
          <w:rFonts w:hint="eastAsia" w:ascii="仿宋_GB2312" w:eastAsia="仿宋_GB2312"/>
          <w:sz w:val="32"/>
          <w:szCs w:val="32"/>
        </w:rPr>
        <w:t>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群众提供社会服务。</w:t>
      </w:r>
    </w:p>
    <w:p>
      <w:pPr>
        <w:pageBreakBefore w:val="0"/>
        <w:widowControl w:val="0"/>
        <w:tabs>
          <w:tab w:val="left" w:pos="7770"/>
        </w:tabs>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3.项目负责人为吴振宇，主要职责为对项目进度监督，负责项目资金实时支付。对项目实施完成验收。</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1" w:name="_Toc26401550"/>
      <w:r>
        <w:rPr>
          <w:rFonts w:hint="eastAsia"/>
          <w:color w:val="auto"/>
          <w:highlight w:val="none"/>
          <w:lang w:bidi="ar"/>
        </w:rPr>
        <w:t>资金</w:t>
      </w:r>
      <w:bookmarkEnd w:id="1"/>
      <w:r>
        <w:rPr>
          <w:rFonts w:hint="eastAsia"/>
          <w:color w:val="auto"/>
          <w:highlight w:val="none"/>
          <w:lang w:bidi="ar"/>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eastAsia="zh-CN"/>
        </w:rPr>
        <w:t>夏合甫乡</w:t>
      </w:r>
      <w:r>
        <w:rPr>
          <w:rFonts w:hint="eastAsia" w:ascii="仿宋_GB2312" w:hAnsi="仿宋_GB2312" w:eastAsia="仿宋_GB2312" w:cs="仿宋_GB2312"/>
          <w:b w:val="0"/>
          <w:bCs/>
          <w:color w:val="auto"/>
          <w:sz w:val="32"/>
          <w:szCs w:val="32"/>
          <w:highlight w:val="none"/>
        </w:rPr>
        <w:t>2019年</w:t>
      </w:r>
      <w:r>
        <w:rPr>
          <w:rFonts w:hint="eastAsia" w:ascii="仿宋_GB2312" w:hAnsi="仿宋_GB2312" w:eastAsia="仿宋_GB2312" w:cs="仿宋_GB2312"/>
          <w:b w:val="0"/>
          <w:bCs/>
          <w:color w:val="auto"/>
          <w:sz w:val="32"/>
          <w:szCs w:val="32"/>
          <w:highlight w:val="none"/>
          <w:lang w:eastAsia="zh-CN"/>
        </w:rPr>
        <w:t>富民安居房建设项目</w:t>
      </w:r>
      <w:r>
        <w:rPr>
          <w:rFonts w:hint="eastAsia" w:ascii="仿宋_GB2312" w:hAnsi="仿宋_GB2312" w:eastAsia="仿宋_GB2312" w:cs="仿宋_GB2312"/>
          <w:b w:val="0"/>
          <w:bCs/>
          <w:color w:val="auto"/>
          <w:sz w:val="32"/>
          <w:szCs w:val="32"/>
          <w:highlight w:val="none"/>
        </w:rPr>
        <w:t>按照</w:t>
      </w:r>
      <w:r>
        <w:rPr>
          <w:rFonts w:hint="eastAsia" w:ascii="仿宋_GB2312" w:hAnsi="仿宋_GB2312" w:eastAsia="仿宋_GB2312" w:cs="仿宋_GB2312"/>
          <w:b w:val="0"/>
          <w:bCs/>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b w:val="0"/>
          <w:bCs/>
          <w:color w:val="auto"/>
          <w:sz w:val="32"/>
          <w:szCs w:val="32"/>
          <w:highlight w:val="none"/>
        </w:rPr>
        <w:t>文件要求，下达资金预算金额为</w:t>
      </w:r>
      <w:r>
        <w:rPr>
          <w:rFonts w:hint="eastAsia" w:ascii="仿宋_GB2312" w:hAnsi="仿宋_GB2312" w:eastAsia="仿宋_GB2312" w:cs="仿宋_GB2312"/>
          <w:b w:val="0"/>
          <w:bCs/>
          <w:color w:val="auto"/>
          <w:sz w:val="32"/>
          <w:szCs w:val="32"/>
          <w:highlight w:val="none"/>
          <w:lang w:val="en-US" w:eastAsia="zh-CN"/>
        </w:rPr>
        <w:t>1107.26万元</w:t>
      </w:r>
      <w:r>
        <w:rPr>
          <w:rFonts w:hint="eastAsia" w:ascii="仿宋_GB2312" w:hAnsi="仿宋_GB2312" w:eastAsia="仿宋_GB2312" w:cs="仿宋_GB2312"/>
          <w:b w:val="0"/>
          <w:bCs/>
          <w:color w:val="auto"/>
          <w:sz w:val="32"/>
          <w:szCs w:val="32"/>
          <w:highlight w:val="none"/>
        </w:rPr>
        <w:t>，</w:t>
      </w:r>
      <w:r>
        <w:rPr>
          <w:rFonts w:hint="eastAsia" w:ascii="仿宋_GB2312" w:hAnsi="仿宋" w:eastAsia="仿宋_GB2312" w:cs="宋体"/>
          <w:color w:val="auto"/>
          <w:sz w:val="32"/>
          <w:szCs w:val="32"/>
          <w:highlight w:val="none"/>
          <w:lang w:bidi="ar"/>
        </w:rPr>
        <w:t>资金来源为自治区专项资金</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color w:val="auto"/>
          <w:sz w:val="32"/>
          <w:szCs w:val="32"/>
          <w:highlight w:val="none"/>
          <w:lang w:val="en-US" w:eastAsia="zh-CN" w:bidi="ar"/>
        </w:rPr>
        <w:t>万</w:t>
      </w:r>
      <w:r>
        <w:rPr>
          <w:rFonts w:hint="eastAsia" w:ascii="仿宋_GB2312" w:hAnsi="仿宋" w:eastAsia="仿宋_GB2312" w:cs="宋体"/>
          <w:color w:val="auto"/>
          <w:sz w:val="32"/>
          <w:szCs w:val="32"/>
          <w:highlight w:val="none"/>
          <w:lang w:bidi="ar"/>
        </w:rPr>
        <w:t>元。</w:t>
      </w:r>
      <w:r>
        <w:rPr>
          <w:rFonts w:hint="eastAsia" w:ascii="仿宋_GB2312" w:hAnsi="仿宋_GB2312" w:eastAsia="仿宋_GB2312" w:cs="仿宋_GB2312"/>
          <w:color w:val="auto"/>
          <w:sz w:val="32"/>
          <w:szCs w:val="32"/>
          <w:highlight w:val="none"/>
        </w:rPr>
        <w:t>资金到位率100%。本项目实际支付资金</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rPr>
        <w:t>，预算执行率100%。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本项目总投资</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color w:val="auto"/>
          <w:sz w:val="32"/>
          <w:szCs w:val="32"/>
          <w:highlight w:val="none"/>
          <w:lang w:val="en-US" w:eastAsia="zh-CN" w:bidi="ar"/>
        </w:rPr>
        <w:t>万</w:t>
      </w:r>
      <w:r>
        <w:rPr>
          <w:rFonts w:hint="eastAsia" w:ascii="仿宋_GB2312" w:hAnsi="仿宋" w:eastAsia="仿宋_GB2312" w:cs="宋体"/>
          <w:color w:val="auto"/>
          <w:sz w:val="32"/>
          <w:szCs w:val="32"/>
          <w:highlight w:val="none"/>
          <w:lang w:bidi="ar"/>
        </w:rPr>
        <w:t>元</w:t>
      </w:r>
      <w:r>
        <w:rPr>
          <w:rFonts w:hint="eastAsia" w:ascii="仿宋_GB2312" w:hAnsi="仿宋" w:eastAsia="仿宋_GB2312" w:cs="宋体"/>
          <w:color w:val="auto"/>
          <w:sz w:val="32"/>
          <w:szCs w:val="32"/>
          <w:highlight w:val="none"/>
          <w:lang w:eastAsia="zh-CN" w:bidi="ar"/>
        </w:rPr>
        <w:t>自治区</w:t>
      </w:r>
      <w:r>
        <w:rPr>
          <w:rFonts w:hint="eastAsia" w:ascii="仿宋_GB2312" w:hAnsi="仿宋" w:eastAsia="仿宋_GB2312" w:cs="宋体"/>
          <w:color w:val="auto"/>
          <w:sz w:val="32"/>
          <w:szCs w:val="32"/>
          <w:highlight w:val="none"/>
          <w:lang w:bidi="ar"/>
        </w:rPr>
        <w:t>项资金的使用范围：</w:t>
      </w:r>
      <w:r>
        <w:rPr>
          <w:rFonts w:hint="eastAsia" w:ascii="仿宋_GB2312" w:hAnsi="仿宋_GB2312" w:eastAsia="仿宋_GB2312" w:cs="仿宋_GB2312"/>
          <w:color w:val="auto"/>
          <w:sz w:val="32"/>
          <w:szCs w:val="32"/>
          <w:highlight w:val="none"/>
        </w:rPr>
        <w:t>项目资金主要用于完善我乡住房保障体系，改善住房保障服务，解决建房困难户经济困难，有效促进建房户就业，提升建房户获得感与幸福感。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叶城县夏合甫乡人民政府</w:t>
      </w:r>
      <w:r>
        <w:rPr>
          <w:rFonts w:hint="eastAsia" w:ascii="仿宋_GB2312" w:hAnsi="仿宋" w:eastAsia="仿宋_GB2312" w:cs="宋体"/>
          <w:color w:val="auto"/>
          <w:sz w:val="32"/>
          <w:szCs w:val="32"/>
          <w:highlight w:val="none"/>
          <w:lang w:bidi="ar"/>
        </w:rPr>
        <w:t>制定了</w:t>
      </w:r>
      <w:r>
        <w:rPr>
          <w:rFonts w:hint="eastAsia" w:ascii="仿宋_GB2312" w:hAnsi="仿宋" w:eastAsia="仿宋_GB2312" w:cs="宋体"/>
          <w:color w:val="auto"/>
          <w:sz w:val="32"/>
          <w:szCs w:val="32"/>
          <w:highlight w:val="none"/>
          <w:lang w:eastAsia="zh-CN" w:bidi="ar"/>
        </w:rPr>
        <w:t>《安居富民建设项目</w:t>
      </w:r>
      <w:r>
        <w:rPr>
          <w:rFonts w:hint="eastAsia" w:ascii="仿宋_GB2312" w:hAnsi="仿宋" w:eastAsia="仿宋_GB2312" w:cs="宋体"/>
          <w:color w:val="auto"/>
          <w:sz w:val="32"/>
          <w:szCs w:val="32"/>
          <w:highlight w:val="none"/>
          <w:lang w:bidi="ar"/>
        </w:rPr>
        <w:t>资金管理办法</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，按照</w:t>
      </w:r>
      <w:r>
        <w:rPr>
          <w:rFonts w:hint="eastAsia" w:ascii="仿宋_GB2312" w:hAnsi="仿宋_GB2312" w:eastAsia="仿宋_GB2312" w:cs="仿宋_GB2312"/>
          <w:color w:val="auto"/>
          <w:sz w:val="32"/>
          <w:szCs w:val="32"/>
          <w:highlight w:val="none"/>
          <w:lang w:eastAsia="zh-CN"/>
        </w:rPr>
        <w:t>新财社[2018]257号、喀地财社[2018]142号、新财建[2019]69号、喀地财建[2019]44号</w:t>
      </w:r>
      <w:r>
        <w:rPr>
          <w:rFonts w:hint="eastAsia" w:ascii="仿宋_GB2312" w:hAnsi="仿宋" w:eastAsia="仿宋_GB2312" w:cs="宋体"/>
          <w:color w:val="auto"/>
          <w:sz w:val="32"/>
          <w:szCs w:val="32"/>
          <w:highlight w:val="none"/>
          <w:lang w:bidi="ar"/>
        </w:rPr>
        <w:t>文件进行使用</w:t>
      </w:r>
      <w:r>
        <w:rPr>
          <w:rFonts w:hint="eastAsia" w:ascii="仿宋_GB2312" w:hAnsi="仿宋" w:eastAsia="仿宋_GB2312" w:cs="宋体"/>
          <w:color w:val="auto"/>
          <w:sz w:val="32"/>
          <w:szCs w:val="32"/>
          <w:highlight w:val="none"/>
          <w:lang w:eastAsia="zh-CN" w:bidi="ar"/>
        </w:rPr>
        <w:t>。</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2" w:name="_Toc26401551"/>
      <w:r>
        <w:rPr>
          <w:rFonts w:hint="eastAsia"/>
          <w:color w:val="auto"/>
          <w:highlight w:val="none"/>
          <w:lang w:bidi="ar"/>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总体目标为：叶城县</w:t>
      </w:r>
      <w:r>
        <w:rPr>
          <w:rFonts w:hint="eastAsia" w:ascii="仿宋_GB2312" w:hAnsi="仿宋" w:eastAsia="仿宋_GB2312" w:cs="宋体"/>
          <w:color w:val="auto"/>
          <w:sz w:val="32"/>
          <w:szCs w:val="32"/>
          <w:highlight w:val="none"/>
          <w:lang w:eastAsia="zh-CN" w:bidi="ar"/>
        </w:rPr>
        <w:t>夏合甫</w:t>
      </w:r>
      <w:r>
        <w:rPr>
          <w:rFonts w:hint="eastAsia" w:ascii="仿宋_GB2312" w:hAnsi="仿宋" w:eastAsia="仿宋_GB2312" w:cs="宋体"/>
          <w:color w:val="auto"/>
          <w:sz w:val="32"/>
          <w:szCs w:val="32"/>
          <w:highlight w:val="none"/>
          <w:lang w:bidi="ar"/>
        </w:rPr>
        <w:t>乡该项目资金</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color w:val="auto"/>
          <w:sz w:val="32"/>
          <w:szCs w:val="32"/>
          <w:highlight w:val="none"/>
          <w:lang w:bidi="ar"/>
        </w:rPr>
        <w:t>万元，用于完善我乡住房保障体系，改善住房保障服务，解决建房困难户经济困难，有效促进建房户就业，提升建房户获得感与幸福感。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3" w:name="_Toc26401552"/>
      <w:r>
        <w:rPr>
          <w:rFonts w:hint="eastAsia"/>
          <w:color w:val="auto"/>
          <w:highlight w:val="none"/>
          <w:lang w:bidi="ar"/>
        </w:rPr>
        <w:t>评价工作简述</w:t>
      </w:r>
      <w:bookmarkEnd w:id="3"/>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4" w:name="_Toc26401553"/>
      <w:r>
        <w:rPr>
          <w:rFonts w:hint="eastAsia"/>
          <w:color w:val="auto"/>
          <w:highlight w:val="none"/>
          <w:lang w:bidi="ar"/>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本次绩效评价遵循财政部《项目</w:t>
      </w:r>
      <w:r>
        <w:rPr>
          <w:rFonts w:ascii="仿宋_GB2312" w:hAnsi="仿宋" w:eastAsia="仿宋_GB2312" w:cs="宋体"/>
          <w:color w:val="auto"/>
          <w:sz w:val="32"/>
          <w:szCs w:val="32"/>
          <w:highlight w:val="none"/>
          <w:lang w:bidi="ar"/>
        </w:rPr>
        <w:t>支出绩效评价管理办法》（财预〔2020〕10号）和自治区财政厅</w:t>
      </w:r>
      <w:r>
        <w:rPr>
          <w:rFonts w:hint="eastAsia" w:ascii="仿宋_GB2312" w:hAnsi="仿宋_GB2312" w:eastAsia="仿宋_GB2312" w:cs="仿宋_GB2312"/>
          <w:color w:val="auto"/>
          <w:kern w:val="0"/>
          <w:sz w:val="32"/>
          <w:szCs w:val="32"/>
          <w:highlight w:val="none"/>
          <w:shd w:val="clear" w:color="auto" w:fill="FFFFFF"/>
          <w:lang w:bidi="ar"/>
        </w:rPr>
        <w:t>《自治区财政支出绩效评价管理暂行办法》（新财预〔</w:t>
      </w:r>
      <w:r>
        <w:rPr>
          <w:rFonts w:ascii="仿宋_GB2312" w:hAnsi="仿宋_GB2312" w:eastAsia="仿宋_GB2312" w:cs="仿宋_GB2312"/>
          <w:color w:val="auto"/>
          <w:kern w:val="0"/>
          <w:sz w:val="32"/>
          <w:szCs w:val="32"/>
          <w:highlight w:val="none"/>
          <w:shd w:val="clear" w:color="auto" w:fill="FFFFFF"/>
          <w:lang w:bidi="ar"/>
        </w:rPr>
        <w:t>2018〕189号</w:t>
      </w:r>
      <w:r>
        <w:rPr>
          <w:rFonts w:hint="eastAsia" w:ascii="仿宋_GB2312" w:hAnsi="仿宋_GB2312" w:eastAsia="仿宋_GB2312" w:cs="仿宋_GB2312"/>
          <w:color w:val="auto"/>
          <w:kern w:val="0"/>
          <w:sz w:val="32"/>
          <w:szCs w:val="32"/>
          <w:highlight w:val="none"/>
          <w:shd w:val="clear" w:color="auto" w:fill="FFFFFF"/>
          <w:lang w:bidi="ar"/>
        </w:rPr>
        <w:t>）</w:t>
      </w:r>
      <w:r>
        <w:rPr>
          <w:rFonts w:ascii="仿宋_GB2312" w:hAnsi="仿宋" w:eastAsia="仿宋_GB2312" w:cs="宋体"/>
          <w:color w:val="auto"/>
          <w:sz w:val="32"/>
          <w:szCs w:val="32"/>
          <w:highlight w:val="none"/>
          <w:lang w:bidi="ar"/>
        </w:rPr>
        <w:t>等相关政策文件与规定，</w:t>
      </w:r>
      <w:r>
        <w:rPr>
          <w:rFonts w:hint="eastAsia" w:ascii="仿宋_GB2312" w:hAnsi="仿宋" w:eastAsia="仿宋_GB2312" w:cs="宋体"/>
          <w:color w:val="auto"/>
          <w:sz w:val="32"/>
          <w:szCs w:val="32"/>
          <w:highlight w:val="none"/>
          <w:lang w:bidi="ar"/>
        </w:rPr>
        <w:t>旨在评价</w:t>
      </w:r>
      <w:r>
        <w:rPr>
          <w:rFonts w:hint="eastAsia" w:ascii="仿宋_GB2312" w:hAnsi="仿宋" w:eastAsia="仿宋_GB2312" w:cs="宋体"/>
          <w:color w:val="auto"/>
          <w:sz w:val="32"/>
          <w:szCs w:val="32"/>
          <w:highlight w:val="none"/>
          <w:lang w:eastAsia="zh-CN" w:bidi="ar"/>
        </w:rPr>
        <w:t>安居富民房建设</w:t>
      </w:r>
      <w:r>
        <w:rPr>
          <w:rFonts w:hint="eastAsia" w:ascii="仿宋_GB2312" w:hAnsi="仿宋" w:eastAsia="仿宋_GB2312" w:cs="宋体"/>
          <w:color w:val="auto"/>
          <w:sz w:val="32"/>
          <w:szCs w:val="32"/>
          <w:highlight w:val="none"/>
          <w:lang w:bidi="ar"/>
        </w:rPr>
        <w:t>项目实施前期、过程及效果，评价财政预算资金使用的效率及效益。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绩效自评,进一步严格落实《预算法》以及党中央、国务院关于加强预算绩效管理的指示精神,建立健全“花钱问效”的绩效预算管理机制、提升政府效能。</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w:t>
      </w:r>
      <w:r>
        <w:rPr>
          <w:rFonts w:hint="eastAsia" w:ascii="仿宋_GB2312" w:hAnsi="仿宋" w:eastAsia="仿宋_GB2312" w:cs="宋体"/>
          <w:color w:val="auto"/>
          <w:sz w:val="32"/>
          <w:szCs w:val="32"/>
          <w:highlight w:val="none"/>
          <w:lang w:val="en-US" w:eastAsia="zh-CN" w:bidi="ar"/>
        </w:rPr>
        <w:t>评价</w:t>
      </w:r>
      <w:r>
        <w:rPr>
          <w:rFonts w:hint="eastAsia" w:ascii="仿宋_GB2312" w:hAnsi="仿宋" w:eastAsia="仿宋_GB2312" w:cs="宋体"/>
          <w:color w:val="auto"/>
          <w:sz w:val="32"/>
          <w:szCs w:val="32"/>
          <w:highlight w:val="none"/>
          <w:lang w:eastAsia="zh-CN" w:bidi="ar"/>
        </w:rPr>
        <w:t>,进一步做实绩效目标,根据项目绩效目标,细化形成多维度绩效指标,将绩效指标细化为数量、质量、</w:t>
      </w:r>
      <w:r>
        <w:rPr>
          <w:rFonts w:hint="eastAsia" w:ascii="仿宋_GB2312" w:hAnsi="仿宋" w:eastAsia="仿宋_GB2312" w:cs="宋体"/>
          <w:color w:val="auto"/>
          <w:sz w:val="32"/>
          <w:szCs w:val="32"/>
          <w:highlight w:val="none"/>
          <w:lang w:val="en-US" w:eastAsia="zh-CN" w:bidi="ar"/>
        </w:rPr>
        <w:t>时效</w:t>
      </w:r>
      <w:r>
        <w:rPr>
          <w:rFonts w:hint="eastAsia" w:ascii="仿宋_GB2312" w:hAnsi="仿宋" w:eastAsia="仿宋_GB2312" w:cs="宋体"/>
          <w:color w:val="auto"/>
          <w:sz w:val="32"/>
          <w:szCs w:val="32"/>
          <w:highlight w:val="none"/>
          <w:lang w:eastAsia="zh-CN" w:bidi="ar"/>
        </w:rPr>
        <w:t>、成本、经济效益、社会效益、可持续影响、服务对象满意度等内容,保证项目绩效指标设置规范、合理、可衡量。</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w:t>
      </w:r>
      <w:r>
        <w:rPr>
          <w:rFonts w:hint="eastAsia" w:ascii="仿宋_GB2312" w:hAnsi="仿宋" w:eastAsia="仿宋_GB2312" w:cs="宋体"/>
          <w:b w:val="0"/>
          <w:bCs w:val="0"/>
          <w:color w:val="auto"/>
          <w:sz w:val="32"/>
          <w:szCs w:val="32"/>
          <w:highlight w:val="none"/>
          <w:lang w:eastAsia="zh-CN" w:bidi="ar"/>
        </w:rPr>
        <w:t>逐步建立“以绩效目标为导向,以绩效评价为手段,以评价结果应用为保障,</w:t>
      </w:r>
      <w:r>
        <w:rPr>
          <w:rFonts w:hint="eastAsia" w:ascii="仿宋_GB2312" w:hAnsi="仿宋" w:eastAsia="仿宋_GB2312" w:cs="宋体"/>
          <w:b w:val="0"/>
          <w:bCs w:val="0"/>
          <w:color w:val="auto"/>
          <w:sz w:val="32"/>
          <w:szCs w:val="32"/>
          <w:highlight w:val="none"/>
          <w:lang w:val="en-US" w:eastAsia="zh-CN" w:bidi="ar"/>
        </w:rPr>
        <w:t>全覆盖、全过程</w:t>
      </w:r>
      <w:r>
        <w:rPr>
          <w:rFonts w:hint="eastAsia" w:ascii="仿宋_GB2312" w:hAnsi="仿宋" w:eastAsia="仿宋_GB2312" w:cs="宋体"/>
          <w:b w:val="0"/>
          <w:bCs w:val="0"/>
          <w:color w:val="auto"/>
          <w:sz w:val="32"/>
          <w:szCs w:val="32"/>
          <w:highlight w:val="none"/>
          <w:lang w:eastAsia="zh-CN" w:bidi="ar"/>
        </w:rPr>
        <w:t>”的绩效预算管理新体制。</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val="en-US" w:eastAsia="zh-CN" w:bidi="ar"/>
        </w:rPr>
      </w:pPr>
      <w:r>
        <w:rPr>
          <w:rFonts w:hint="eastAsia" w:ascii="仿宋_GB2312" w:hAnsi="仿宋" w:eastAsia="仿宋_GB2312" w:cs="宋体"/>
          <w:color w:val="auto"/>
          <w:sz w:val="32"/>
          <w:szCs w:val="32"/>
          <w:highlight w:val="none"/>
          <w:lang w:eastAsia="zh-CN" w:bidi="ar"/>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r>
        <w:rPr>
          <w:rFonts w:hint="eastAsia"/>
          <w:color w:val="auto"/>
          <w:highlight w:val="none"/>
          <w:lang w:bidi="ar"/>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ascii="仿宋_GB2312" w:hAnsi="仿宋" w:eastAsia="仿宋_GB2312" w:cs="宋体"/>
          <w:color w:val="auto"/>
          <w:sz w:val="32"/>
          <w:szCs w:val="32"/>
          <w:highlight w:val="none"/>
          <w:lang w:bidi="ar"/>
        </w:rPr>
        <w:t>本次评价对象为</w:t>
      </w:r>
      <w:r>
        <w:rPr>
          <w:rFonts w:hint="eastAsia" w:ascii="仿宋_GB2312" w:hAnsi="仿宋" w:eastAsia="仿宋_GB2312" w:cs="宋体"/>
          <w:color w:val="auto"/>
          <w:sz w:val="32"/>
          <w:szCs w:val="32"/>
          <w:highlight w:val="none"/>
          <w:lang w:eastAsia="zh-CN" w:bidi="ar"/>
        </w:rPr>
        <w:t>安居富民房建设</w:t>
      </w:r>
      <w:r>
        <w:rPr>
          <w:rFonts w:ascii="仿宋_GB2312" w:hAnsi="仿宋" w:eastAsia="仿宋_GB2312" w:cs="宋体"/>
          <w:color w:val="auto"/>
          <w:sz w:val="32"/>
          <w:szCs w:val="32"/>
          <w:highlight w:val="none"/>
          <w:lang w:bidi="ar"/>
        </w:rPr>
        <w:t>项目资金，评价范围包括专项资</w:t>
      </w:r>
      <w:r>
        <w:rPr>
          <w:rFonts w:hint="eastAsia" w:ascii="仿宋_GB2312" w:hAnsi="仿宋" w:eastAsia="仿宋_GB2312" w:cs="宋体"/>
          <w:color w:val="auto"/>
          <w:sz w:val="32"/>
          <w:szCs w:val="32"/>
          <w:highlight w:val="none"/>
          <w:lang w:bidi="ar"/>
        </w:rPr>
        <w:t>金的安排、组织及使用效益。</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1.</w:t>
      </w:r>
      <w:r>
        <w:rPr>
          <w:rFonts w:hint="eastAsia" w:ascii="仿宋_GB2312" w:hAnsi="仿宋" w:eastAsia="仿宋_GB2312" w:cs="宋体"/>
          <w:color w:val="auto"/>
          <w:sz w:val="32"/>
          <w:szCs w:val="32"/>
          <w:highlight w:val="none"/>
          <w:lang w:eastAsia="zh-CN" w:bidi="ar"/>
        </w:rPr>
        <w:t>资金使用范围：</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根据《安居富民房建设资金管理</w:t>
      </w:r>
      <w:r>
        <w:rPr>
          <w:rFonts w:hint="eastAsia" w:ascii="仿宋_GB2312" w:hAnsi="仿宋" w:eastAsia="仿宋_GB2312" w:cs="宋体"/>
          <w:sz w:val="32"/>
          <w:szCs w:val="32"/>
          <w:highlight w:val="none"/>
          <w:lang w:eastAsia="zh-CN" w:bidi="ar"/>
        </w:rPr>
        <w:t>办法》《扶贫资金管理制度》</w:t>
      </w:r>
      <w:r>
        <w:rPr>
          <w:rFonts w:hint="eastAsia" w:ascii="仿宋_GB2312" w:hAnsi="仿宋" w:eastAsia="仿宋_GB2312" w:cs="宋体"/>
          <w:color w:val="auto"/>
          <w:sz w:val="32"/>
          <w:szCs w:val="32"/>
          <w:highlight w:val="none"/>
          <w:lang w:eastAsia="zh-CN" w:bidi="ar"/>
        </w:rPr>
        <w:t>进行支付，实行实施一个项目，支付一笔资金、报账一笔资金，资金跟着项目走，项目跟着需求走。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2.</w:t>
      </w:r>
      <w:r>
        <w:rPr>
          <w:rFonts w:hint="eastAsia" w:ascii="仿宋_GB2312" w:hAnsi="仿宋" w:eastAsia="仿宋_GB2312" w:cs="宋体"/>
          <w:color w:val="auto"/>
          <w:sz w:val="32"/>
          <w:szCs w:val="32"/>
          <w:highlight w:val="none"/>
          <w:lang w:eastAsia="zh-CN" w:bidi="ar"/>
        </w:rPr>
        <w:t>项目实施及管理情况：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项目经立项后。由乡、村两级组织实施，制定实施方案，实施过程均按照上级管理制度和实施方案执行。</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按照“行政主导、部门合作、科学决策”的原则，推进规划科学民主决策，健全乡镇规划编制、实施管理和监督检查机制，严格规划审批和监督。落实规划稽查制度和责任追究制度，切实维护规划的权威性和严肃性。</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该</w:t>
      </w:r>
      <w:r>
        <w:rPr>
          <w:rFonts w:hint="eastAsia" w:ascii="仿宋_GB2312" w:hAnsi="仿宋" w:eastAsia="仿宋_GB2312" w:cs="宋体"/>
          <w:color w:val="auto"/>
          <w:sz w:val="32"/>
          <w:szCs w:val="32"/>
          <w:highlight w:val="none"/>
          <w:lang w:eastAsia="zh-CN" w:bidi="ar"/>
        </w:rPr>
        <w:t>项目不存在调整情况。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kern w:val="2"/>
          <w:sz w:val="32"/>
          <w:szCs w:val="32"/>
          <w:highlight w:val="none"/>
          <w:lang w:val="en-US" w:eastAsia="zh-CN" w:bidi="ar"/>
        </w:rPr>
      </w:pPr>
      <w:r>
        <w:rPr>
          <w:rFonts w:hint="eastAsia" w:ascii="仿宋_GB2312" w:hAnsi="仿宋" w:eastAsia="仿宋_GB2312" w:cs="宋体"/>
          <w:color w:val="auto"/>
          <w:sz w:val="32"/>
          <w:szCs w:val="32"/>
          <w:highlight w:val="none"/>
          <w:lang w:eastAsia="zh-CN" w:bidi="ar"/>
        </w:rPr>
        <w:t>本项目严格遵守相关法律法规和业务管理规定，对项目各项资料整理并及时归档。</w:t>
      </w:r>
      <w:r>
        <w:rPr>
          <w:rFonts w:hint="eastAsia" w:ascii="仿宋_GB2312" w:hAnsi="仿宋" w:eastAsia="仿宋_GB2312" w:cs="宋体"/>
          <w:b w:val="0"/>
          <w:bCs w:val="0"/>
          <w:color w:val="auto"/>
          <w:kern w:val="2"/>
          <w:sz w:val="32"/>
          <w:szCs w:val="32"/>
          <w:highlight w:val="none"/>
          <w:lang w:val="en-US" w:eastAsia="zh-CN" w:bidi="ar"/>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r>
        <w:rPr>
          <w:rFonts w:hint="eastAsia"/>
          <w:color w:val="auto"/>
          <w:highlight w:val="none"/>
          <w:lang w:bidi="ar"/>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本次绩效评价遵循的原则包括：</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科学公正。绩效评价应当运用科学合理的方法，按照规范的程序，对项目绩效进行客观、公正的反映。</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color w:val="auto"/>
          <w:highlight w:val="none"/>
          <w:lang w:bidi="ar"/>
        </w:rPr>
      </w:pPr>
      <w:r>
        <w:rPr>
          <w:rFonts w:hint="eastAsia" w:hAnsi="仿宋" w:cs="宋体"/>
          <w:b w:val="0"/>
          <w:color w:val="auto"/>
          <w:highlight w:val="none"/>
          <w:lang w:bidi="ar"/>
        </w:rPr>
        <w:t>公开透明。绩效评价结果应依法依规公开，并自觉接受社会监督。</w:t>
      </w:r>
      <w:r>
        <w:rPr>
          <w:rFonts w:hint="eastAsia"/>
          <w:b w:val="0"/>
          <w:color w:val="auto"/>
          <w:highlight w:val="none"/>
          <w:lang w:bidi="ar"/>
        </w:rPr>
        <w:t>绩效评价体系</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根据以上原则,绩效评价应遵循如下要求:</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w:t>
      </w:r>
      <w:r>
        <w:rPr>
          <w:rFonts w:hint="eastAsia" w:ascii="仿宋_GB2312" w:hAnsi="仿宋" w:eastAsia="仿宋_GB2312" w:cs="宋体"/>
          <w:b w:val="0"/>
          <w:bCs w:val="0"/>
          <w:color w:val="auto"/>
          <w:sz w:val="32"/>
          <w:szCs w:val="32"/>
          <w:highlight w:val="none"/>
          <w:lang w:val="en-US" w:eastAsia="zh-CN" w:bidi="ar"/>
        </w:rPr>
        <w:t>1</w:t>
      </w:r>
      <w:r>
        <w:rPr>
          <w:rFonts w:hint="eastAsia" w:ascii="仿宋_GB2312" w:hAnsi="仿宋" w:eastAsia="仿宋_GB2312" w:cs="宋体"/>
          <w:b w:val="0"/>
          <w:bCs w:val="0"/>
          <w:color w:val="auto"/>
          <w:sz w:val="32"/>
          <w:szCs w:val="32"/>
          <w:highlight w:val="none"/>
          <w:lang w:eastAsia="zh-CN" w:bidi="ar"/>
        </w:rPr>
        <w:t>）在数据</w:t>
      </w:r>
      <w:r>
        <w:rPr>
          <w:rFonts w:hint="eastAsia" w:ascii="仿宋_GB2312" w:hAnsi="仿宋" w:eastAsia="仿宋_GB2312" w:cs="宋体"/>
          <w:b w:val="0"/>
          <w:bCs w:val="0"/>
          <w:color w:val="auto"/>
          <w:sz w:val="32"/>
          <w:szCs w:val="32"/>
          <w:highlight w:val="none"/>
          <w:lang w:val="en-US" w:eastAsia="zh-CN" w:bidi="ar"/>
        </w:rPr>
        <w:t>采</w:t>
      </w:r>
      <w:r>
        <w:rPr>
          <w:rFonts w:hint="eastAsia" w:ascii="仿宋_GB2312" w:hAnsi="仿宋" w:eastAsia="仿宋_GB2312" w:cs="宋体"/>
          <w:b w:val="0"/>
          <w:bCs w:val="0"/>
          <w:color w:val="auto"/>
          <w:sz w:val="32"/>
          <w:szCs w:val="32"/>
          <w:highlight w:val="none"/>
          <w:lang w:eastAsia="zh-CN" w:bidi="ar"/>
        </w:rPr>
        <w:t>集时,采取客观数据,主管部</w:t>
      </w:r>
      <w:r>
        <w:rPr>
          <w:rFonts w:hint="eastAsia" w:ascii="仿宋_GB2312" w:hAnsi="仿宋" w:eastAsia="仿宋_GB2312" w:cs="宋体"/>
          <w:b w:val="0"/>
          <w:bCs w:val="0"/>
          <w:color w:val="auto"/>
          <w:sz w:val="32"/>
          <w:szCs w:val="32"/>
          <w:highlight w:val="none"/>
          <w:lang w:val="en-US" w:eastAsia="zh-CN" w:bidi="ar"/>
        </w:rPr>
        <w:t>门</w:t>
      </w:r>
      <w:r>
        <w:rPr>
          <w:rFonts w:hint="eastAsia" w:ascii="仿宋_GB2312" w:hAnsi="仿宋" w:eastAsia="仿宋_GB2312" w:cs="宋体"/>
          <w:b w:val="0"/>
          <w:bCs w:val="0"/>
          <w:color w:val="auto"/>
          <w:sz w:val="32"/>
          <w:szCs w:val="32"/>
          <w:highlight w:val="none"/>
          <w:lang w:eastAsia="zh-CN" w:bidi="ar"/>
        </w:rPr>
        <w:t>审查、社会</w:t>
      </w:r>
      <w:r>
        <w:rPr>
          <w:rFonts w:hint="eastAsia" w:ascii="仿宋_GB2312" w:hAnsi="仿宋" w:eastAsia="仿宋_GB2312" w:cs="宋体"/>
          <w:b w:val="0"/>
          <w:bCs w:val="0"/>
          <w:color w:val="auto"/>
          <w:sz w:val="32"/>
          <w:szCs w:val="32"/>
          <w:highlight w:val="none"/>
          <w:lang w:val="en-US" w:eastAsia="zh-CN" w:bidi="ar"/>
        </w:rPr>
        <w:t>中介</w:t>
      </w:r>
      <w:r>
        <w:rPr>
          <w:rFonts w:hint="eastAsia" w:ascii="仿宋_GB2312" w:hAnsi="仿宋" w:eastAsia="仿宋_GB2312" w:cs="宋体"/>
          <w:b w:val="0"/>
          <w:bCs w:val="0"/>
          <w:color w:val="auto"/>
          <w:sz w:val="32"/>
          <w:szCs w:val="32"/>
          <w:highlight w:val="none"/>
          <w:lang w:eastAsia="zh-CN" w:bidi="ar"/>
        </w:rPr>
        <w:t>组织复查,与问卷调查相结合的形式,以保证各项指标的真实性。</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(2)保证评价结果的真实性、公正性,提高评价报告的公信力。</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(3)绩教评价报告应当简明扼要,除了对绩效评价的过程、结果</w:t>
      </w:r>
      <w:r>
        <w:rPr>
          <w:rFonts w:hint="eastAsia" w:ascii="仿宋_GB2312" w:hAnsi="仿宋" w:eastAsia="仿宋_GB2312" w:cs="宋体"/>
          <w:b w:val="0"/>
          <w:bCs w:val="0"/>
          <w:color w:val="auto"/>
          <w:sz w:val="32"/>
          <w:szCs w:val="32"/>
          <w:highlight w:val="none"/>
          <w:lang w:val="en-US" w:eastAsia="zh-CN" w:bidi="ar"/>
        </w:rPr>
        <w:t>描述</w:t>
      </w:r>
      <w:r>
        <w:rPr>
          <w:rFonts w:hint="eastAsia" w:ascii="仿宋_GB2312" w:hAnsi="仿宋" w:eastAsia="仿宋_GB2312" w:cs="宋体"/>
          <w:b w:val="0"/>
          <w:bCs w:val="0"/>
          <w:color w:val="auto"/>
          <w:sz w:val="32"/>
          <w:szCs w:val="32"/>
          <w:highlight w:val="none"/>
          <w:lang w:eastAsia="zh-CN" w:bidi="ar"/>
        </w:rPr>
        <w:t>外,还应总结经验,指出问题,并就共性问题提出可</w:t>
      </w:r>
      <w:r>
        <w:rPr>
          <w:rFonts w:hint="eastAsia" w:ascii="仿宋_GB2312" w:hAnsi="仿宋" w:eastAsia="仿宋_GB2312" w:cs="宋体"/>
          <w:b w:val="0"/>
          <w:bCs w:val="0"/>
          <w:color w:val="auto"/>
          <w:sz w:val="32"/>
          <w:szCs w:val="32"/>
          <w:highlight w:val="none"/>
          <w:lang w:val="en-US" w:eastAsia="zh-CN" w:bidi="ar"/>
        </w:rPr>
        <w:t>操</w:t>
      </w:r>
      <w:r>
        <w:rPr>
          <w:rFonts w:hint="eastAsia" w:ascii="仿宋_GB2312" w:hAnsi="仿宋" w:eastAsia="仿宋_GB2312" w:cs="宋体"/>
          <w:b w:val="0"/>
          <w:bCs w:val="0"/>
          <w:color w:val="auto"/>
          <w:sz w:val="32"/>
          <w:szCs w:val="32"/>
          <w:highlight w:val="none"/>
          <w:lang w:eastAsia="zh-CN" w:bidi="ar"/>
        </w:rPr>
        <w:t>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eastAsia="zh-CN" w:bidi="ar"/>
        </w:rPr>
        <w:t>（</w:t>
      </w:r>
      <w:r>
        <w:rPr>
          <w:rFonts w:hint="eastAsia" w:ascii="仿宋_GB2312" w:hAnsi="仿宋" w:eastAsia="仿宋_GB2312" w:cs="宋体"/>
          <w:b/>
          <w:bCs/>
          <w:color w:val="auto"/>
          <w:sz w:val="32"/>
          <w:szCs w:val="32"/>
          <w:highlight w:val="none"/>
          <w:lang w:val="en-US" w:eastAsia="zh-CN" w:bidi="ar"/>
        </w:rPr>
        <w:t>四</w:t>
      </w:r>
      <w:r>
        <w:rPr>
          <w:rFonts w:hint="eastAsia" w:ascii="仿宋_GB2312" w:hAnsi="仿宋" w:eastAsia="仿宋_GB2312" w:cs="宋体"/>
          <w:b/>
          <w:bCs/>
          <w:color w:val="auto"/>
          <w:sz w:val="32"/>
          <w:szCs w:val="32"/>
          <w:highlight w:val="none"/>
          <w:lang w:eastAsia="zh-CN" w:bidi="ar"/>
        </w:rPr>
        <w:t>）</w:t>
      </w:r>
      <w:r>
        <w:rPr>
          <w:rFonts w:hint="eastAsia" w:ascii="仿宋_GB2312" w:hAnsi="仿宋" w:eastAsia="仿宋_GB2312" w:cs="宋体"/>
          <w:b/>
          <w:bCs/>
          <w:color w:val="auto"/>
          <w:sz w:val="32"/>
          <w:szCs w:val="32"/>
          <w:highlight w:val="none"/>
          <w:lang w:bidi="ar"/>
        </w:rPr>
        <w:t>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遵循“科学性、规范性、客观性和公正性”的绩效评价原则,根据财政部制定的《项目支出绩效评价共性指标体系框架》,结合</w:t>
      </w:r>
      <w:r>
        <w:rPr>
          <w:rFonts w:hint="eastAsia" w:ascii="仿宋_GB2312" w:hAnsi="仿宋" w:eastAsia="仿宋_GB2312" w:cs="宋体"/>
          <w:color w:val="auto"/>
          <w:sz w:val="32"/>
          <w:szCs w:val="32"/>
          <w:highlight w:val="none"/>
          <w:lang w:eastAsia="zh-CN" w:bidi="ar"/>
        </w:rPr>
        <w:t>安居富民房建设</w:t>
      </w:r>
      <w:r>
        <w:rPr>
          <w:rFonts w:hint="eastAsia" w:ascii="仿宋_GB2312" w:hAnsi="仿宋" w:eastAsia="仿宋_GB2312" w:cs="宋体"/>
          <w:color w:val="auto"/>
          <w:sz w:val="32"/>
          <w:szCs w:val="32"/>
          <w:highlight w:val="none"/>
          <w:lang w:val="en-US" w:eastAsia="zh-CN" w:bidi="ar"/>
        </w:rPr>
        <w:t>项目</w:t>
      </w:r>
      <w:r>
        <w:rPr>
          <w:rFonts w:hint="eastAsia" w:ascii="仿宋_GB2312" w:hAnsi="仿宋" w:eastAsia="仿宋_GB2312" w:cs="宋体"/>
          <w:color w:val="auto"/>
          <w:sz w:val="32"/>
          <w:szCs w:val="32"/>
          <w:highlight w:val="none"/>
          <w:lang w:bidi="ar"/>
        </w:rPr>
        <w:t>特性、</w:t>
      </w:r>
      <w:r>
        <w:rPr>
          <w:rFonts w:hint="eastAsia" w:ascii="仿宋_GB2312" w:hAnsi="仿宋" w:eastAsia="仿宋_GB2312" w:cs="宋体"/>
          <w:color w:val="auto"/>
          <w:sz w:val="32"/>
          <w:szCs w:val="32"/>
          <w:highlight w:val="none"/>
          <w:lang w:val="en-US" w:eastAsia="zh-CN" w:bidi="ar"/>
        </w:rPr>
        <w:t>夏合甫乡</w:t>
      </w:r>
      <w:r>
        <w:rPr>
          <w:rFonts w:hint="eastAsia" w:ascii="仿宋_GB2312" w:hAnsi="仿宋" w:eastAsia="仿宋_GB2312" w:cs="宋体"/>
          <w:color w:val="auto"/>
          <w:sz w:val="32"/>
          <w:szCs w:val="32"/>
          <w:highlight w:val="none"/>
          <w:lang w:bidi="ar"/>
        </w:rPr>
        <w:t>实际情况,本项目</w:t>
      </w:r>
      <w:r>
        <w:rPr>
          <w:rFonts w:hint="eastAsia" w:ascii="仿宋_GB2312" w:hAnsi="仿宋" w:eastAsia="仿宋_GB2312" w:cs="宋体"/>
          <w:color w:val="auto"/>
          <w:sz w:val="32"/>
          <w:szCs w:val="32"/>
          <w:highlight w:val="none"/>
          <w:lang w:val="en-US" w:eastAsia="zh-CN" w:bidi="ar"/>
        </w:rPr>
        <w:t>按照</w:t>
      </w:r>
      <w:r>
        <w:rPr>
          <w:rFonts w:hint="eastAsia" w:ascii="仿宋_GB2312" w:hAnsi="仿宋" w:eastAsia="仿宋_GB2312" w:cs="宋体"/>
          <w:color w:val="auto"/>
          <w:sz w:val="32"/>
          <w:szCs w:val="32"/>
          <w:highlight w:val="none"/>
          <w:lang w:bidi="ar"/>
        </w:rPr>
        <w:t>财预﹝2020﹞10号</w:t>
      </w:r>
      <w:r>
        <w:rPr>
          <w:rFonts w:hint="eastAsia" w:ascii="仿宋_GB2312" w:hAnsi="仿宋" w:eastAsia="仿宋_GB2312" w:cs="宋体"/>
          <w:color w:val="auto"/>
          <w:sz w:val="32"/>
          <w:szCs w:val="32"/>
          <w:highlight w:val="none"/>
          <w:lang w:val="en-US" w:eastAsia="zh-CN" w:bidi="ar"/>
        </w:rPr>
        <w:t>文件</w:t>
      </w:r>
      <w:r>
        <w:rPr>
          <w:rFonts w:hint="eastAsia" w:ascii="仿宋_GB2312" w:hAnsi="仿宋" w:eastAsia="仿宋_GB2312" w:cs="宋体"/>
          <w:color w:val="auto"/>
          <w:sz w:val="32"/>
          <w:szCs w:val="32"/>
          <w:highlight w:val="none"/>
          <w:lang w:bidi="ar"/>
        </w:rPr>
        <w:t>制定评价指标体系</w:t>
      </w:r>
      <w:r>
        <w:rPr>
          <w:rFonts w:hint="eastAsia" w:ascii="仿宋_GB2312" w:hAnsi="仿宋" w:eastAsia="仿宋_GB2312" w:cs="宋体"/>
          <w:color w:val="auto"/>
          <w:sz w:val="32"/>
          <w:szCs w:val="32"/>
          <w:highlight w:val="none"/>
          <w:lang w:eastAsia="zh-CN" w:bidi="ar"/>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val="en-US" w:eastAsia="zh-CN"/>
        </w:rPr>
      </w:pPr>
      <w:r>
        <w:rPr>
          <w:rFonts w:hint="eastAsia" w:ascii="仿宋_GB2312" w:hAnsi="仿宋" w:eastAsia="仿宋_GB2312" w:cs="宋体"/>
          <w:sz w:val="32"/>
          <w:szCs w:val="32"/>
          <w:highlight w:val="none"/>
          <w:lang w:val="en-US" w:eastAsia="zh-CN"/>
        </w:rPr>
        <w:t>我单位选取共性指标：决策中一级指标2个，二级指标4个，三级指标5个，分别是立项依据充分性、绩效目标合理性、绩效指标明确性、预算编制科学性。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sz w:val="32"/>
          <w:szCs w:val="32"/>
          <w:highlight w:val="none"/>
          <w:lang w:val="en-US" w:eastAsia="zh-CN"/>
        </w:rPr>
        <w:t>过程中一级指标1个，二级指标4个，三级指标6个，分别是资金到位率、预算执行率、资金使用合规性、管理制度健全性、制度执行有效性。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firstLine="321" w:firstLineChars="100"/>
        <w:textAlignment w:val="auto"/>
        <w:rPr>
          <w:color w:val="auto"/>
          <w:highlight w:val="none"/>
          <w:lang w:bidi="ar"/>
        </w:rPr>
      </w:pPr>
      <w:bookmarkStart w:id="6" w:name="_Toc26401555"/>
      <w:r>
        <w:rPr>
          <w:rFonts w:hint="eastAsia"/>
          <w:color w:val="auto"/>
          <w:highlight w:val="none"/>
          <w:lang w:eastAsia="zh-CN" w:bidi="ar"/>
        </w:rPr>
        <w:t>（</w:t>
      </w:r>
      <w:r>
        <w:rPr>
          <w:rFonts w:hint="eastAsia"/>
          <w:color w:val="auto"/>
          <w:highlight w:val="none"/>
          <w:lang w:val="en-US" w:eastAsia="zh-CN" w:bidi="ar"/>
        </w:rPr>
        <w:t>五</w:t>
      </w:r>
      <w:r>
        <w:rPr>
          <w:rFonts w:hint="eastAsia"/>
          <w:color w:val="auto"/>
          <w:highlight w:val="none"/>
          <w:lang w:eastAsia="zh-CN" w:bidi="ar"/>
        </w:rPr>
        <w:t>）</w:t>
      </w:r>
      <w:r>
        <w:rPr>
          <w:rFonts w:hint="eastAsia"/>
          <w:color w:val="auto"/>
          <w:highlight w:val="none"/>
          <w:lang w:bidi="ar"/>
        </w:rPr>
        <w:t>绩效评价方法</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bidi="ar"/>
        </w:rPr>
        <w:t>本次绩效评价方法的选用坚持简便有效的原则采用</w:t>
      </w:r>
      <w:r>
        <w:rPr>
          <w:rFonts w:hint="eastAsia" w:ascii="仿宋_GB2312" w:hAnsi="仿宋" w:eastAsia="仿宋_GB2312" w:cs="宋体"/>
          <w:b w:val="0"/>
          <w:bCs w:val="0"/>
          <w:color w:val="auto"/>
          <w:sz w:val="32"/>
          <w:szCs w:val="32"/>
          <w:highlight w:val="none"/>
          <w:lang w:val="en-US" w:eastAsia="zh-CN" w:bidi="ar"/>
        </w:rPr>
        <w:t>成本效益法。安居富民房建设项目实际完成1180户，实现预期目标建设，资金支付率达到100%。户均享受补贴达到1.02万元，用于完善我乡住房保障体系，改善住房保障服务，解决建房困难户经济困难，有效促进建房户就业，提升建房户获得感与幸福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color w:val="auto"/>
          <w:highlight w:val="none"/>
          <w:lang w:bidi="ar"/>
        </w:rPr>
      </w:pPr>
      <w:r>
        <w:rPr>
          <w:rFonts w:hint="eastAsia"/>
          <w:color w:val="auto"/>
          <w:highlight w:val="none"/>
          <w:lang w:eastAsia="zh-CN" w:bidi="ar"/>
        </w:rPr>
        <w:t>（</w:t>
      </w:r>
      <w:r>
        <w:rPr>
          <w:rFonts w:hint="eastAsia"/>
          <w:color w:val="auto"/>
          <w:highlight w:val="none"/>
          <w:lang w:val="en-US" w:eastAsia="zh-CN" w:bidi="ar"/>
        </w:rPr>
        <w:t>六</w:t>
      </w:r>
      <w:r>
        <w:rPr>
          <w:rFonts w:hint="eastAsia"/>
          <w:color w:val="auto"/>
          <w:highlight w:val="none"/>
          <w:lang w:eastAsia="zh-CN" w:bidi="ar"/>
        </w:rPr>
        <w:t>）</w:t>
      </w:r>
      <w:r>
        <w:rPr>
          <w:rFonts w:hint="eastAsia"/>
          <w:color w:val="auto"/>
          <w:highlight w:val="none"/>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rFonts w:hint="eastAsia"/>
          <w:b w:val="0"/>
          <w:bCs w:val="0"/>
          <w:color w:val="auto"/>
          <w:highlight w:val="none"/>
        </w:rPr>
      </w:pPr>
      <w:r>
        <w:rPr>
          <w:rFonts w:hint="eastAsia"/>
          <w:b w:val="0"/>
          <w:bCs w:val="0"/>
          <w:color w:val="auto"/>
          <w:highlight w:val="none"/>
          <w:lang w:bidi="ar"/>
        </w:rPr>
        <w:t>项目评价标准采用</w:t>
      </w:r>
      <w:r>
        <w:rPr>
          <w:rFonts w:hint="eastAsia"/>
          <w:b w:val="0"/>
          <w:bCs w:val="0"/>
          <w:color w:val="auto"/>
          <w:highlight w:val="none"/>
        </w:rPr>
        <w:t>计划标准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highlight w:val="none"/>
          <w:lang w:val="en-US" w:eastAsia="zh-CN"/>
        </w:rPr>
      </w:pPr>
      <w:r>
        <w:rPr>
          <w:rFonts w:hint="eastAsia" w:ascii="仿宋_GB2312" w:hAnsi="仿宋" w:eastAsia="仿宋_GB2312" w:cs="宋体"/>
          <w:color w:val="auto"/>
          <w:sz w:val="32"/>
          <w:szCs w:val="32"/>
          <w:highlight w:val="none"/>
          <w:lang w:val="en-US" w:eastAsia="zh-CN" w:bidi="ar"/>
        </w:rPr>
        <w:t>计划标准:庭院发展项目计划标准为年度预期目标实施贫困户1180户，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color w:val="auto"/>
          <w:sz w:val="32"/>
          <w:szCs w:val="32"/>
          <w:highlight w:val="none"/>
          <w:lang w:val="en-US" w:eastAsia="zh-CN" w:bidi="ar"/>
        </w:rPr>
        <w:t>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color w:val="auto"/>
          <w:highlight w:val="none"/>
          <w:lang w:bidi="ar"/>
        </w:rPr>
      </w:pPr>
      <w:r>
        <w:rPr>
          <w:rFonts w:hint="eastAsia"/>
          <w:color w:val="auto"/>
          <w:highlight w:val="none"/>
          <w:lang w:eastAsia="zh-CN" w:bidi="ar"/>
        </w:rPr>
        <w:t>（</w:t>
      </w:r>
      <w:r>
        <w:rPr>
          <w:rFonts w:hint="eastAsia"/>
          <w:color w:val="auto"/>
          <w:highlight w:val="none"/>
          <w:lang w:val="en-US" w:eastAsia="zh-CN" w:bidi="ar"/>
        </w:rPr>
        <w:t>七</w:t>
      </w:r>
      <w:r>
        <w:rPr>
          <w:rFonts w:hint="eastAsia"/>
          <w:color w:val="auto"/>
          <w:highlight w:val="none"/>
          <w:lang w:eastAsia="zh-CN" w:bidi="ar"/>
        </w:rPr>
        <w:t>）</w:t>
      </w:r>
      <w:r>
        <w:rPr>
          <w:rFonts w:hint="eastAsia"/>
          <w:color w:val="auto"/>
          <w:highlight w:val="none"/>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color w:val="auto"/>
          <w:highlight w:val="none"/>
          <w:lang w:bidi="ar"/>
        </w:rPr>
      </w:pPr>
      <w:r>
        <w:rPr>
          <w:rFonts w:hint="eastAsia"/>
          <w:b w:val="0"/>
          <w:bCs w:val="0"/>
          <w:color w:val="auto"/>
          <w:highlight w:val="none"/>
          <w:lang w:bidi="ar"/>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评价人</w:t>
            </w:r>
          </w:p>
        </w:tc>
        <w:tc>
          <w:tcPr>
            <w:tcW w:w="2765"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职责</w:t>
            </w:r>
          </w:p>
        </w:tc>
        <w:tc>
          <w:tcPr>
            <w:tcW w:w="2766"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val="en-US" w:eastAsia="zh-CN" w:bidi="ar"/>
              </w:rPr>
            </w:pPr>
            <w:r>
              <w:rPr>
                <w:rFonts w:hint="eastAsia"/>
                <w:b w:val="0"/>
                <w:bCs w:val="0"/>
                <w:color w:val="auto"/>
                <w:sz w:val="28"/>
                <w:szCs w:val="28"/>
                <w:highlight w:val="none"/>
                <w:lang w:val="en-US" w:eastAsia="zh-CN" w:bidi="ar"/>
              </w:rPr>
              <w:t>刘晔</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评价组组长</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val="en-US" w:eastAsia="zh-CN" w:bidi="ar"/>
              </w:rPr>
              <w:t>王侠</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评价组成员</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财政所所长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val="en-US" w:eastAsia="zh-CN" w:bidi="ar"/>
              </w:rPr>
              <w:t>买买江·阿不力孜</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评价组成员</w:t>
            </w:r>
          </w:p>
        </w:tc>
        <w:tc>
          <w:tcPr>
            <w:tcW w:w="2766"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eastAsia="zh-CN" w:bidi="ar"/>
              </w:rPr>
              <w:t>财政所副所长</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rFonts w:hint="eastAsia"/>
          <w:b w:val="0"/>
          <w:bCs w:val="0"/>
          <w:color w:val="auto"/>
          <w:highlight w:val="none"/>
          <w:lang w:bidi="ar"/>
        </w:rPr>
      </w:pPr>
      <w:r>
        <w:rPr>
          <w:rFonts w:hint="eastAsia"/>
          <w:b w:val="0"/>
          <w:bCs w:val="0"/>
          <w:color w:val="auto"/>
          <w:highlight w:val="none"/>
          <w:lang w:bidi="ar"/>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hint="eastAsia"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1.数据采集方法及过程</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本次绩效评价数据包括定性和定量两种数据,定性数据主要通过实地考察、面对面访谈,问卷调研等社会调查的方式来采集。</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hint="eastAsia"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2.绩效评价实施过程</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（1)问卷调查</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10</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15</w:t>
      </w:r>
      <w:r>
        <w:rPr>
          <w:rFonts w:hint="default" w:ascii="仿宋_GB2312" w:hAnsi="仿宋" w:eastAsia="仿宋_GB2312" w:cs="宋体"/>
          <w:b w:val="0"/>
          <w:bCs w:val="0"/>
          <w:color w:val="auto"/>
          <w:sz w:val="32"/>
          <w:szCs w:val="32"/>
          <w:highlight w:val="none"/>
          <w:lang w:val="en-US" w:eastAsia="zh-CN" w:bidi="ar"/>
        </w:rPr>
        <w:t>日,项目组对</w:t>
      </w:r>
      <w:r>
        <w:rPr>
          <w:rFonts w:hint="eastAsia" w:ascii="仿宋_GB2312" w:hAnsi="仿宋" w:eastAsia="仿宋_GB2312" w:cs="宋体"/>
          <w:b w:val="0"/>
          <w:bCs w:val="0"/>
          <w:color w:val="auto"/>
          <w:sz w:val="32"/>
          <w:szCs w:val="32"/>
          <w:highlight w:val="none"/>
          <w:lang w:val="en-US" w:eastAsia="zh-CN" w:bidi="ar"/>
        </w:rPr>
        <w:t>安居富民房建设</w:t>
      </w:r>
      <w:r>
        <w:rPr>
          <w:rFonts w:hint="default" w:ascii="仿宋_GB2312" w:hAnsi="仿宋" w:eastAsia="仿宋_GB2312" w:cs="宋体"/>
          <w:b w:val="0"/>
          <w:bCs w:val="0"/>
          <w:color w:val="auto"/>
          <w:sz w:val="32"/>
          <w:szCs w:val="32"/>
          <w:highlight w:val="none"/>
          <w:lang w:val="en-US" w:eastAsia="zh-CN" w:bidi="ar"/>
        </w:rPr>
        <w:t>项目涉及受益村民进行问卷调查。向</w:t>
      </w:r>
      <w:r>
        <w:rPr>
          <w:rFonts w:hint="eastAsia" w:ascii="仿宋_GB2312" w:hAnsi="仿宋" w:eastAsia="仿宋_GB2312" w:cs="宋体"/>
          <w:b w:val="0"/>
          <w:bCs w:val="0"/>
          <w:color w:val="auto"/>
          <w:sz w:val="32"/>
          <w:szCs w:val="32"/>
          <w:highlight w:val="none"/>
          <w:lang w:val="en-US" w:eastAsia="zh-CN" w:bidi="ar"/>
        </w:rPr>
        <w:t>全乡</w:t>
      </w:r>
      <w:r>
        <w:rPr>
          <w:rFonts w:hint="default" w:ascii="仿宋_GB2312" w:hAnsi="仿宋" w:eastAsia="仿宋_GB2312" w:cs="宋体"/>
          <w:b w:val="0"/>
          <w:bCs w:val="0"/>
          <w:color w:val="auto"/>
          <w:sz w:val="32"/>
          <w:szCs w:val="32"/>
          <w:highlight w:val="none"/>
          <w:lang w:val="en-US" w:eastAsia="zh-CN" w:bidi="ar"/>
        </w:rPr>
        <w:t>共发放</w:t>
      </w:r>
      <w:r>
        <w:rPr>
          <w:rFonts w:hint="eastAsia" w:ascii="仿宋_GB2312" w:hAnsi="仿宋" w:eastAsia="仿宋_GB2312" w:cs="宋体"/>
          <w:b w:val="0"/>
          <w:bCs w:val="0"/>
          <w:color w:val="auto"/>
          <w:sz w:val="32"/>
          <w:szCs w:val="32"/>
          <w:highlight w:val="none"/>
          <w:lang w:val="en-US" w:eastAsia="zh-CN" w:bidi="ar"/>
        </w:rPr>
        <w:t>505</w:t>
      </w:r>
      <w:r>
        <w:rPr>
          <w:rFonts w:hint="default" w:ascii="仿宋_GB2312" w:hAnsi="仿宋" w:eastAsia="仿宋_GB2312" w:cs="宋体"/>
          <w:b w:val="0"/>
          <w:bCs w:val="0"/>
          <w:color w:val="auto"/>
          <w:sz w:val="32"/>
          <w:szCs w:val="32"/>
          <w:highlight w:val="none"/>
          <w:lang w:val="en-US" w:eastAsia="zh-CN" w:bidi="ar"/>
        </w:rPr>
        <w:t>份问卷,回收</w:t>
      </w:r>
      <w:r>
        <w:rPr>
          <w:rFonts w:hint="eastAsia" w:ascii="仿宋_GB2312" w:hAnsi="仿宋" w:eastAsia="仿宋_GB2312" w:cs="宋体"/>
          <w:b w:val="0"/>
          <w:bCs w:val="0"/>
          <w:color w:val="auto"/>
          <w:sz w:val="32"/>
          <w:szCs w:val="32"/>
          <w:highlight w:val="none"/>
          <w:lang w:val="en-US" w:eastAsia="zh-CN" w:bidi="ar"/>
        </w:rPr>
        <w:t>505</w:t>
      </w:r>
      <w:r>
        <w:rPr>
          <w:rFonts w:hint="default" w:ascii="仿宋_GB2312" w:hAnsi="仿宋" w:eastAsia="仿宋_GB2312" w:cs="宋体"/>
          <w:b w:val="0"/>
          <w:bCs w:val="0"/>
          <w:color w:val="auto"/>
          <w:sz w:val="32"/>
          <w:szCs w:val="32"/>
          <w:highlight w:val="none"/>
          <w:lang w:val="en-US" w:eastAsia="zh-CN" w:bidi="ar"/>
        </w:rPr>
        <w:t>份问卷,其中有效问卷为</w:t>
      </w:r>
      <w:r>
        <w:rPr>
          <w:rFonts w:hint="eastAsia" w:ascii="仿宋_GB2312" w:hAnsi="仿宋" w:eastAsia="仿宋_GB2312" w:cs="宋体"/>
          <w:b w:val="0"/>
          <w:bCs w:val="0"/>
          <w:color w:val="auto"/>
          <w:sz w:val="32"/>
          <w:szCs w:val="32"/>
          <w:highlight w:val="none"/>
          <w:lang w:val="en-US" w:eastAsia="zh-CN" w:bidi="ar"/>
        </w:rPr>
        <w:t>499</w:t>
      </w:r>
      <w:r>
        <w:rPr>
          <w:rFonts w:hint="default" w:ascii="仿宋_GB2312" w:hAnsi="仿宋" w:eastAsia="仿宋_GB2312" w:cs="宋体"/>
          <w:b w:val="0"/>
          <w:bCs w:val="0"/>
          <w:color w:val="auto"/>
          <w:sz w:val="32"/>
          <w:szCs w:val="32"/>
          <w:highlight w:val="none"/>
          <w:lang w:val="en-US" w:eastAsia="zh-CN" w:bidi="ar"/>
        </w:rPr>
        <w:t>份,有效问卷为</w:t>
      </w:r>
      <w:r>
        <w:rPr>
          <w:rFonts w:hint="eastAsia" w:ascii="仿宋_GB2312" w:hAnsi="仿宋" w:eastAsia="仿宋_GB2312" w:cs="宋体"/>
          <w:b w:val="0"/>
          <w:bCs w:val="0"/>
          <w:color w:val="auto"/>
          <w:sz w:val="32"/>
          <w:szCs w:val="32"/>
          <w:highlight w:val="none"/>
          <w:lang w:val="en-US" w:eastAsia="zh-CN" w:bidi="ar"/>
        </w:rPr>
        <w:t>98.8</w:t>
      </w:r>
      <w:r>
        <w:rPr>
          <w:rFonts w:hint="default" w:ascii="仿宋_GB2312" w:hAnsi="仿宋" w:eastAsia="仿宋_GB2312" w:cs="宋体"/>
          <w:b w:val="0"/>
          <w:bCs w:val="0"/>
          <w:color w:val="auto"/>
          <w:sz w:val="32"/>
          <w:szCs w:val="32"/>
          <w:highlight w:val="none"/>
          <w:lang w:val="en-US" w:eastAsia="zh-CN" w:bidi="ar"/>
        </w:rPr>
        <w:t>%</w:t>
      </w:r>
      <w:r>
        <w:rPr>
          <w:rFonts w:hint="eastAsia" w:ascii="仿宋_GB2312" w:hAnsi="仿宋" w:eastAsia="仿宋_GB2312" w:cs="宋体"/>
          <w:b w:val="0"/>
          <w:bCs w:val="0"/>
          <w:color w:val="auto"/>
          <w:sz w:val="32"/>
          <w:szCs w:val="32"/>
          <w:highlight w:val="none"/>
          <w:lang w:val="en-US" w:eastAsia="zh-CN" w:bidi="ar"/>
        </w:rPr>
        <w:t>，再</w:t>
      </w:r>
      <w:r>
        <w:rPr>
          <w:rFonts w:hint="default" w:ascii="仿宋_GB2312" w:hAnsi="仿宋" w:eastAsia="仿宋_GB2312" w:cs="宋体"/>
          <w:b w:val="0"/>
          <w:bCs w:val="0"/>
          <w:color w:val="auto"/>
          <w:sz w:val="32"/>
          <w:szCs w:val="32"/>
          <w:highlight w:val="none"/>
          <w:lang w:val="en-US" w:eastAsia="zh-CN" w:bidi="ar"/>
        </w:rPr>
        <w:t>通过问卷录入、分析、整理后,形成社会调查满意度报告</w:t>
      </w:r>
      <w:r>
        <w:rPr>
          <w:rFonts w:hint="eastAsia" w:ascii="仿宋_GB2312" w:hAnsi="仿宋" w:eastAsia="仿宋_GB2312" w:cs="宋体"/>
          <w:b w:val="0"/>
          <w:bCs w:val="0"/>
          <w:color w:val="auto"/>
          <w:sz w:val="32"/>
          <w:szCs w:val="32"/>
          <w:highlight w:val="none"/>
          <w:lang w:val="en-US" w:eastAsia="zh-CN" w:bidi="ar"/>
        </w:rPr>
        <w:t>。</w:t>
      </w:r>
    </w:p>
    <w:p>
      <w:pPr>
        <w:pageBreakBefore w:val="0"/>
        <w:widowControl w:val="0"/>
        <w:numPr>
          <w:ilvl w:val="0"/>
          <w:numId w:val="0"/>
        </w:numPr>
        <w:kinsoku/>
        <w:wordWrap/>
        <w:overflowPunct/>
        <w:topLinePunct w:val="0"/>
        <w:autoSpaceDE/>
        <w:autoSpaceDN/>
        <w:bidi w:val="0"/>
        <w:spacing w:line="560" w:lineRule="exact"/>
        <w:ind w:left="0"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（2)访谈</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15</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20</w:t>
      </w:r>
      <w:r>
        <w:rPr>
          <w:rFonts w:hint="default" w:ascii="仿宋_GB2312" w:hAnsi="仿宋" w:eastAsia="仿宋_GB2312" w:cs="宋体"/>
          <w:b w:val="0"/>
          <w:bCs w:val="0"/>
          <w:color w:val="auto"/>
          <w:sz w:val="32"/>
          <w:szCs w:val="32"/>
          <w:highlight w:val="none"/>
          <w:lang w:val="en-US" w:eastAsia="zh-CN" w:bidi="ar"/>
        </w:rPr>
        <w:t>日,针对</w:t>
      </w:r>
      <w:r>
        <w:rPr>
          <w:rFonts w:hint="eastAsia" w:ascii="仿宋_GB2312" w:hAnsi="仿宋" w:eastAsia="仿宋_GB2312" w:cs="宋体"/>
          <w:b w:val="0"/>
          <w:bCs w:val="0"/>
          <w:color w:val="auto"/>
          <w:sz w:val="32"/>
          <w:szCs w:val="32"/>
          <w:highlight w:val="none"/>
          <w:lang w:val="en-US" w:eastAsia="zh-CN" w:bidi="ar"/>
        </w:rPr>
        <w:t>安居富民房建设</w:t>
      </w:r>
      <w:r>
        <w:rPr>
          <w:rFonts w:hint="default" w:ascii="仿宋_GB2312" w:hAnsi="仿宋" w:eastAsia="仿宋_GB2312" w:cs="宋体"/>
          <w:b w:val="0"/>
          <w:bCs w:val="0"/>
          <w:color w:val="auto"/>
          <w:sz w:val="32"/>
          <w:szCs w:val="32"/>
          <w:highlight w:val="none"/>
          <w:lang w:val="en-US" w:eastAsia="zh-CN" w:bidi="ar"/>
        </w:rPr>
        <w:t>项目开展情况、管理措施和项目管理的经验、困难与建议等问题进行访问和了解,项目组开展了访谈工作。访谈对象主要包括:</w:t>
      </w:r>
      <w:r>
        <w:rPr>
          <w:rFonts w:hint="eastAsia" w:ascii="仿宋_GB2312" w:hAnsi="仿宋" w:eastAsia="仿宋_GB2312" w:cs="宋体"/>
          <w:b w:val="0"/>
          <w:bCs w:val="0"/>
          <w:color w:val="auto"/>
          <w:sz w:val="32"/>
          <w:szCs w:val="32"/>
          <w:highlight w:val="none"/>
          <w:lang w:val="en-US" w:eastAsia="zh-CN" w:bidi="ar"/>
        </w:rPr>
        <w:t>叶城县安居办</w:t>
      </w:r>
      <w:r>
        <w:rPr>
          <w:rFonts w:hint="default" w:ascii="仿宋_GB2312" w:hAnsi="仿宋" w:eastAsia="仿宋_GB2312" w:cs="宋体"/>
          <w:b w:val="0"/>
          <w:bCs w:val="0"/>
          <w:color w:val="auto"/>
          <w:sz w:val="32"/>
          <w:szCs w:val="32"/>
          <w:highlight w:val="none"/>
          <w:lang w:val="en-US" w:eastAsia="zh-CN" w:bidi="ar"/>
        </w:rPr>
        <w:t>、</w:t>
      </w:r>
      <w:r>
        <w:rPr>
          <w:rFonts w:hint="eastAsia" w:ascii="仿宋_GB2312" w:hAnsi="仿宋" w:eastAsia="仿宋_GB2312" w:cs="宋体"/>
          <w:b w:val="0"/>
          <w:bCs w:val="0"/>
          <w:color w:val="auto"/>
          <w:sz w:val="32"/>
          <w:szCs w:val="32"/>
          <w:highlight w:val="none"/>
          <w:lang w:val="en-US" w:eastAsia="zh-CN" w:bidi="ar"/>
        </w:rPr>
        <w:t>叶城县夏合甫乡人民政府</w:t>
      </w:r>
      <w:r>
        <w:rPr>
          <w:rFonts w:hint="default" w:ascii="仿宋_GB2312" w:hAnsi="仿宋" w:eastAsia="仿宋_GB2312" w:cs="宋体"/>
          <w:b w:val="0"/>
          <w:bCs w:val="0"/>
          <w:color w:val="auto"/>
          <w:sz w:val="32"/>
          <w:szCs w:val="32"/>
          <w:highlight w:val="none"/>
          <w:lang w:val="en-US" w:eastAsia="zh-CN" w:bidi="ar"/>
        </w:rPr>
        <w:t>、部分村委会的负责人。访谈方式包括电话访谈和上门访谈。最后项目组集中撰写了访谈报告。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（3)数据分析及撰写报告</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20</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30</w:t>
      </w:r>
      <w:r>
        <w:rPr>
          <w:rFonts w:hint="default" w:ascii="仿宋_GB2312" w:hAnsi="仿宋" w:eastAsia="仿宋_GB2312" w:cs="宋体"/>
          <w:b w:val="0"/>
          <w:bCs w:val="0"/>
          <w:color w:val="auto"/>
          <w:sz w:val="32"/>
          <w:szCs w:val="32"/>
          <w:highlight w:val="none"/>
          <w:lang w:val="en-US" w:eastAsia="zh-CN" w:bidi="ar"/>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bookmarkStart w:id="7" w:name="_Toc26401558"/>
      <w:r>
        <w:rPr>
          <w:rFonts w:hint="eastAsia" w:ascii="黑体" w:hAnsi="黑体"/>
          <w:color w:val="auto"/>
          <w:highlight w:val="none"/>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color w:val="auto"/>
          <w:kern w:val="2"/>
          <w:highlight w:val="none"/>
          <w:lang w:bidi="ar"/>
        </w:rPr>
      </w:pPr>
      <w:r>
        <w:rPr>
          <w:rFonts w:hint="eastAsia" w:ascii="仿宋_GB2312" w:eastAsia="仿宋_GB2312" w:hAnsiTheme="majorHAnsi"/>
          <w:b w:val="0"/>
          <w:bCs w:val="0"/>
          <w:color w:val="auto"/>
          <w:kern w:val="2"/>
          <w:highlight w:val="none"/>
          <w:lang w:bidi="ar"/>
        </w:rPr>
        <w:t>经评价组通过实地调研、资料分析等方式，采用综合分析法、成本效益分析法、最低成本法等对项目的决策、管理、绩效进行的综合评价分析，项目得分为</w:t>
      </w:r>
      <w:r>
        <w:rPr>
          <w:rFonts w:hint="eastAsia" w:ascii="仿宋_GB2312" w:eastAsia="仿宋_GB2312" w:hAnsiTheme="majorHAnsi"/>
          <w:b w:val="0"/>
          <w:bCs w:val="0"/>
          <w:color w:val="auto"/>
          <w:kern w:val="2"/>
          <w:highlight w:val="none"/>
          <w:lang w:val="en-US" w:eastAsia="zh-CN" w:bidi="ar"/>
        </w:rPr>
        <w:t>98</w:t>
      </w:r>
      <w:r>
        <w:rPr>
          <w:rFonts w:hint="eastAsia" w:ascii="仿宋_GB2312" w:eastAsia="仿宋_GB2312" w:hAnsiTheme="majorHAnsi"/>
          <w:b w:val="0"/>
          <w:bCs w:val="0"/>
          <w:color w:val="auto"/>
          <w:kern w:val="2"/>
          <w:highlight w:val="none"/>
          <w:lang w:bidi="ar"/>
        </w:rPr>
        <w:t>分，评价结果为</w:t>
      </w:r>
      <w:r>
        <w:rPr>
          <w:rFonts w:hint="eastAsia" w:ascii="仿宋_GB2312" w:eastAsia="仿宋_GB2312" w:hAnsiTheme="majorHAnsi"/>
          <w:b w:val="0"/>
          <w:bCs w:val="0"/>
          <w:color w:val="auto"/>
          <w:kern w:val="2"/>
          <w:highlight w:val="none"/>
          <w:lang w:eastAsia="zh-CN" w:bidi="ar"/>
        </w:rPr>
        <w:t>良</w:t>
      </w:r>
      <w:r>
        <w:rPr>
          <w:rFonts w:hint="eastAsia" w:ascii="仿宋_GB2312" w:eastAsia="仿宋_GB2312" w:hAnsiTheme="majorHAnsi"/>
          <w:b w:val="0"/>
          <w:bCs w:val="0"/>
          <w:color w:val="auto"/>
          <w:kern w:val="2"/>
          <w:highlight w:val="none"/>
          <w:lang w:bidi="ar"/>
        </w:rPr>
        <w:t>，详见附件4。</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r>
        <w:rPr>
          <w:rFonts w:hint="eastAsia"/>
          <w:color w:val="auto"/>
          <w:highlight w:val="none"/>
          <w:lang w:bidi="ar"/>
        </w:rPr>
        <w:t>绩效评价指标分析</w:t>
      </w:r>
      <w:bookmarkEnd w:id="7"/>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b/>
          <w:bCs/>
          <w:color w:val="auto"/>
          <w:sz w:val="32"/>
          <w:szCs w:val="32"/>
          <w:highlight w:val="none"/>
          <w:lang w:bidi="ar"/>
        </w:rPr>
        <w:t>项目的决策情况</w:t>
      </w:r>
    </w:p>
    <w:p>
      <w:pPr>
        <w:pStyle w:val="28"/>
        <w:pageBreakBefore w:val="0"/>
        <w:widowControl w:val="0"/>
        <w:numPr>
          <w:ilvl w:val="0"/>
          <w:numId w:val="8"/>
        </w:numPr>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 w:cs="宋体"/>
          <w:sz w:val="32"/>
          <w:szCs w:val="32"/>
          <w:highlight w:val="none"/>
          <w:lang w:val="en-US" w:eastAsia="zh-CN" w:bidi="ar"/>
        </w:rPr>
      </w:pPr>
      <w:r>
        <w:rPr>
          <w:rFonts w:hint="eastAsia" w:ascii="仿宋_GB2312" w:hAnsi="仿宋" w:cs="宋体"/>
          <w:sz w:val="32"/>
          <w:szCs w:val="32"/>
          <w:highlight w:val="none"/>
          <w:lang w:val="en-US" w:eastAsia="zh-CN" w:bidi="ar"/>
        </w:rPr>
        <w:t>决策依据</w:t>
      </w:r>
    </w:p>
    <w:p>
      <w:pPr>
        <w:pageBreakBefore w:val="0"/>
        <w:widowControl w:val="0"/>
        <w:kinsoku/>
        <w:wordWrap/>
        <w:overflowPunct/>
        <w:topLinePunct w:val="0"/>
        <w:autoSpaceDE/>
        <w:autoSpaceDN/>
        <w:bidi w:val="0"/>
        <w:snapToGrid w:val="0"/>
        <w:spacing w:line="560" w:lineRule="exact"/>
        <w:ind w:left="0" w:firstLine="640" w:firstLineChars="200"/>
        <w:textAlignment w:val="auto"/>
        <w:rPr>
          <w:rFonts w:hint="default"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bidi="ar"/>
        </w:rPr>
        <w:t>本项目根据</w:t>
      </w:r>
      <w:r>
        <w:rPr>
          <w:rFonts w:hint="eastAsia" w:ascii="仿宋_GB2312" w:hAnsi="仿宋_GB2312" w:eastAsia="仿宋_GB2312" w:cs="仿宋_GB2312"/>
          <w:b w:val="0"/>
          <w:bCs/>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b w:val="0"/>
          <w:bCs/>
          <w:color w:val="auto"/>
          <w:sz w:val="32"/>
          <w:szCs w:val="32"/>
          <w:highlight w:val="none"/>
        </w:rPr>
        <w:t>文件</w:t>
      </w:r>
      <w:r>
        <w:rPr>
          <w:rFonts w:hint="eastAsia" w:ascii="仿宋_GB2312" w:hAnsi="仿宋" w:eastAsia="仿宋_GB2312" w:cs="宋体"/>
          <w:sz w:val="32"/>
          <w:szCs w:val="32"/>
          <w:highlight w:val="none"/>
          <w:lang w:val="en-US" w:eastAsia="zh-CN" w:bidi="ar"/>
        </w:rPr>
        <w:t>等有关规定</w:t>
      </w:r>
      <w:r>
        <w:rPr>
          <w:rFonts w:hint="eastAsia" w:ascii="仿宋_GB2312" w:hAnsi="仿宋" w:eastAsia="仿宋_GB2312" w:cs="宋体"/>
          <w:sz w:val="32"/>
          <w:szCs w:val="32"/>
          <w:highlight w:val="none"/>
          <w:lang w:bidi="ar"/>
        </w:rPr>
        <w:t>立项</w:t>
      </w:r>
      <w:r>
        <w:rPr>
          <w:rFonts w:hint="default" w:ascii="仿宋_GB2312" w:hAnsi="仿宋" w:eastAsia="仿宋_GB2312" w:cs="宋体"/>
          <w:sz w:val="32"/>
          <w:szCs w:val="32"/>
          <w:highlight w:val="none"/>
          <w:lang w:val="en-US" w:eastAsia="zh-CN" w:bidi="ar"/>
        </w:rPr>
        <w:t>，结合</w:t>
      </w:r>
      <w:r>
        <w:rPr>
          <w:rFonts w:hint="eastAsia" w:ascii="仿宋_GB2312" w:hAnsi="仿宋" w:eastAsia="仿宋_GB2312" w:cs="宋体"/>
          <w:sz w:val="32"/>
          <w:szCs w:val="32"/>
          <w:highlight w:val="none"/>
          <w:lang w:eastAsia="zh-CN" w:bidi="ar"/>
        </w:rPr>
        <w:t>促进我乡美丽乡村建设、乡村振兴建设，进一步对我乡安居富民房的改造提升、</w:t>
      </w:r>
      <w:r>
        <w:rPr>
          <w:rFonts w:hint="eastAsia" w:ascii="仿宋_GB2312" w:hAnsi="仿宋" w:eastAsia="仿宋_GB2312" w:cs="宋体"/>
          <w:b w:val="0"/>
          <w:bCs w:val="0"/>
          <w:color w:val="auto"/>
          <w:sz w:val="32"/>
          <w:szCs w:val="32"/>
          <w:highlight w:val="none"/>
          <w:lang w:val="en-US" w:eastAsia="zh-CN" w:bidi="ar"/>
        </w:rPr>
        <w:t>解决建房困难户经济困难，有效促进建房户就业，</w:t>
      </w:r>
      <w:r>
        <w:rPr>
          <w:rFonts w:hint="default" w:ascii="仿宋_GB2312" w:hAnsi="仿宋" w:eastAsia="仿宋_GB2312" w:cs="宋体"/>
          <w:sz w:val="32"/>
          <w:szCs w:val="32"/>
          <w:highlight w:val="none"/>
          <w:lang w:val="en-US" w:eastAsia="zh-CN" w:bidi="ar"/>
        </w:rPr>
        <w:t>项目设立与国家政策和部门职能相符。</w:t>
      </w:r>
    </w:p>
    <w:p>
      <w:pPr>
        <w:pageBreakBefore w:val="0"/>
        <w:widowControl w:val="0"/>
        <w:numPr>
          <w:ilvl w:val="0"/>
          <w:numId w:val="8"/>
        </w:numPr>
        <w:shd w:val="clear"/>
        <w:kinsoku/>
        <w:wordWrap/>
        <w:overflowPunct/>
        <w:topLinePunct w:val="0"/>
        <w:autoSpaceDE/>
        <w:autoSpaceDN/>
        <w:bidi w:val="0"/>
        <w:snapToGrid w:val="0"/>
        <w:spacing w:line="560" w:lineRule="exact"/>
        <w:ind w:left="0" w:leftChars="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决策程序</w:t>
      </w:r>
    </w:p>
    <w:p>
      <w:pPr>
        <w:pageBreakBefore w:val="0"/>
        <w:widowControl w:val="0"/>
        <w:shd w:val="clear"/>
        <w:kinsoku/>
        <w:wordWrap/>
        <w:overflowPunct/>
        <w:topLinePunct w:val="0"/>
        <w:autoSpaceDE/>
        <w:autoSpaceDN/>
        <w:bidi w:val="0"/>
        <w:snapToGrid w:val="0"/>
        <w:spacing w:line="560" w:lineRule="exact"/>
        <w:ind w:left="0" w:firstLine="640" w:firstLineChars="200"/>
        <w:textAlignment w:val="auto"/>
        <w:rPr>
          <w:rFonts w:hint="eastAsia" w:ascii="仿宋_GB2312" w:hAnsi="仿宋" w:eastAsia="仿宋_GB2312" w:cs="宋体"/>
          <w:sz w:val="32"/>
          <w:szCs w:val="32"/>
          <w:highlight w:val="none"/>
          <w:lang w:bidi="ar"/>
        </w:rPr>
      </w:pPr>
      <w:r>
        <w:rPr>
          <w:rFonts w:hint="eastAsia" w:ascii="仿宋_GB2312" w:hAnsi="仿宋" w:eastAsia="仿宋_GB2312" w:cs="宋体"/>
          <w:sz w:val="32"/>
          <w:szCs w:val="32"/>
          <w:highlight w:val="none"/>
          <w:lang w:bidi="ar"/>
        </w:rPr>
        <w:t>根据</w:t>
      </w:r>
      <w:r>
        <w:rPr>
          <w:rFonts w:hint="eastAsia" w:ascii="仿宋_GB2312" w:hAnsi="仿宋" w:eastAsia="仿宋_GB2312" w:cs="宋体"/>
          <w:sz w:val="32"/>
          <w:szCs w:val="32"/>
          <w:highlight w:val="none"/>
          <w:lang w:val="en-US" w:eastAsia="zh-CN" w:bidi="ar"/>
        </w:rPr>
        <w:t>相关通知</w:t>
      </w:r>
      <w:r>
        <w:rPr>
          <w:rFonts w:hint="eastAsia" w:ascii="仿宋_GB2312" w:hAnsi="仿宋" w:eastAsia="仿宋_GB2312" w:cs="宋体"/>
          <w:sz w:val="32"/>
          <w:szCs w:val="32"/>
          <w:highlight w:val="none"/>
          <w:lang w:bidi="ar"/>
        </w:rPr>
        <w:t>，此项目负责成员前期</w:t>
      </w:r>
      <w:r>
        <w:rPr>
          <w:rFonts w:hint="eastAsia" w:ascii="仿宋_GB2312" w:hAnsi="仿宋" w:eastAsia="仿宋_GB2312" w:cs="宋体"/>
          <w:sz w:val="32"/>
          <w:szCs w:val="32"/>
          <w:highlight w:val="none"/>
          <w:lang w:val="en-US" w:eastAsia="zh-CN" w:bidi="ar"/>
        </w:rPr>
        <w:t>研读政策文件</w:t>
      </w:r>
      <w:r>
        <w:rPr>
          <w:rFonts w:hint="eastAsia" w:ascii="仿宋_GB2312" w:hAnsi="仿宋" w:eastAsia="仿宋_GB2312" w:cs="宋体"/>
          <w:sz w:val="32"/>
          <w:szCs w:val="32"/>
          <w:highlight w:val="none"/>
          <w:lang w:bidi="ar"/>
        </w:rPr>
        <w:t>、了解类似项目投入使用情况等，并召开工作会议分析讨论，最后确定预算明细及金额，预算编制经过科学论证、有明确标准，资金额度与年度目标是否相适应</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val="en-US" w:eastAsia="zh-CN" w:bidi="ar"/>
        </w:rPr>
        <w:t>与</w:t>
      </w:r>
      <w:r>
        <w:rPr>
          <w:rFonts w:hint="eastAsia" w:ascii="仿宋_GB2312" w:hAnsi="仿宋" w:eastAsia="仿宋_GB2312" w:cs="宋体"/>
          <w:sz w:val="32"/>
          <w:szCs w:val="32"/>
          <w:highlight w:val="none"/>
          <w:lang w:bidi="ar"/>
        </w:rPr>
        <w:t>地方实际</w:t>
      </w:r>
      <w:r>
        <w:rPr>
          <w:rFonts w:hint="eastAsia" w:ascii="仿宋_GB2312" w:hAnsi="仿宋" w:eastAsia="仿宋_GB2312" w:cs="宋体"/>
          <w:sz w:val="32"/>
          <w:szCs w:val="32"/>
          <w:highlight w:val="none"/>
          <w:lang w:val="en-US" w:eastAsia="zh-CN" w:bidi="ar"/>
        </w:rPr>
        <w:t>标准</w:t>
      </w:r>
      <w:r>
        <w:rPr>
          <w:rFonts w:hint="eastAsia" w:ascii="仿宋_GB2312" w:hAnsi="仿宋" w:eastAsia="仿宋_GB2312" w:cs="宋体"/>
          <w:sz w:val="32"/>
          <w:szCs w:val="32"/>
          <w:highlight w:val="none"/>
          <w:lang w:bidi="ar"/>
        </w:rPr>
        <w:t>相适应</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val="en-US" w:eastAsia="zh-CN" w:bidi="ar"/>
        </w:rPr>
        <w:t>最后</w:t>
      </w:r>
      <w:r>
        <w:rPr>
          <w:rFonts w:hint="eastAsia" w:ascii="仿宋_GB2312" w:hAnsi="仿宋" w:eastAsia="仿宋_GB2312" w:cs="宋体"/>
          <w:sz w:val="32"/>
          <w:szCs w:val="32"/>
          <w:highlight w:val="none"/>
          <w:lang w:bidi="ar"/>
        </w:rPr>
        <w:t>由</w:t>
      </w:r>
      <w:r>
        <w:rPr>
          <w:rFonts w:hint="eastAsia" w:ascii="仿宋_GB2312" w:hAnsi="仿宋" w:eastAsia="仿宋_GB2312" w:cs="宋体"/>
          <w:sz w:val="32"/>
          <w:szCs w:val="32"/>
          <w:highlight w:val="none"/>
          <w:lang w:val="en-US" w:eastAsia="zh-CN" w:bidi="ar"/>
        </w:rPr>
        <w:t>叶城县夏合甫乡人民政府申请</w:t>
      </w:r>
      <w:r>
        <w:rPr>
          <w:rFonts w:hint="eastAsia" w:ascii="仿宋_GB2312" w:hAnsi="仿宋" w:eastAsia="仿宋_GB2312" w:cs="宋体"/>
          <w:sz w:val="32"/>
          <w:szCs w:val="32"/>
          <w:highlight w:val="none"/>
          <w:lang w:bidi="ar"/>
        </w:rPr>
        <w:t>，经</w:t>
      </w:r>
      <w:r>
        <w:rPr>
          <w:rFonts w:hint="eastAsia" w:ascii="仿宋_GB2312" w:hAnsi="仿宋" w:eastAsia="仿宋_GB2312" w:cs="宋体"/>
          <w:sz w:val="32"/>
          <w:szCs w:val="32"/>
          <w:highlight w:val="none"/>
          <w:lang w:val="en-US" w:eastAsia="zh-CN" w:bidi="ar"/>
        </w:rPr>
        <w:t>过多次</w:t>
      </w:r>
      <w:r>
        <w:rPr>
          <w:rFonts w:hint="eastAsia" w:ascii="仿宋_GB2312" w:hAnsi="仿宋" w:eastAsia="仿宋_GB2312" w:cs="宋体"/>
          <w:sz w:val="32"/>
          <w:szCs w:val="32"/>
          <w:highlight w:val="none"/>
          <w:lang w:bidi="ar"/>
        </w:rPr>
        <w:t>讨论，</w:t>
      </w:r>
      <w:r>
        <w:rPr>
          <w:rFonts w:hint="eastAsia" w:ascii="仿宋_GB2312" w:hAnsi="仿宋" w:eastAsia="仿宋_GB2312" w:cs="宋体"/>
          <w:sz w:val="32"/>
          <w:szCs w:val="32"/>
          <w:highlight w:val="none"/>
          <w:lang w:val="en-US" w:eastAsia="zh-CN" w:bidi="ar"/>
        </w:rPr>
        <w:t>确定工作人员名单，</w:t>
      </w:r>
      <w:r>
        <w:rPr>
          <w:rFonts w:hint="eastAsia" w:ascii="仿宋_GB2312" w:hAnsi="仿宋" w:eastAsia="仿宋_GB2312" w:cs="宋体"/>
          <w:sz w:val="32"/>
          <w:szCs w:val="32"/>
          <w:highlight w:val="none"/>
          <w:lang w:bidi="ar"/>
        </w:rPr>
        <w:t>并按要求将相关算申请材料报送</w:t>
      </w:r>
      <w:r>
        <w:rPr>
          <w:rFonts w:hint="eastAsia" w:ascii="仿宋_GB2312" w:hAnsi="仿宋" w:eastAsia="仿宋_GB2312" w:cs="宋体"/>
          <w:sz w:val="32"/>
          <w:szCs w:val="32"/>
          <w:highlight w:val="none"/>
          <w:lang w:eastAsia="zh-CN" w:bidi="ar"/>
        </w:rPr>
        <w:t>县安居办</w:t>
      </w:r>
      <w:r>
        <w:rPr>
          <w:rFonts w:hint="eastAsia" w:ascii="仿宋_GB2312" w:hAnsi="仿宋" w:eastAsia="仿宋_GB2312" w:cs="宋体"/>
          <w:sz w:val="32"/>
          <w:szCs w:val="32"/>
          <w:highlight w:val="none"/>
          <w:lang w:val="en-US" w:eastAsia="zh-CN" w:bidi="ar"/>
        </w:rPr>
        <w:t>、县扶贫办、</w:t>
      </w:r>
      <w:r>
        <w:rPr>
          <w:rFonts w:hint="eastAsia" w:ascii="仿宋_GB2312" w:hAnsi="仿宋" w:eastAsia="仿宋_GB2312" w:cs="宋体"/>
          <w:sz w:val="32"/>
          <w:szCs w:val="32"/>
          <w:highlight w:val="none"/>
          <w:lang w:bidi="ar"/>
        </w:rPr>
        <w:t>财政局对申报项目进行</w:t>
      </w:r>
      <w:r>
        <w:rPr>
          <w:rFonts w:hint="eastAsia" w:ascii="仿宋_GB2312" w:hAnsi="仿宋" w:eastAsia="仿宋_GB2312" w:cs="宋体"/>
          <w:sz w:val="32"/>
          <w:szCs w:val="32"/>
          <w:highlight w:val="none"/>
          <w:lang w:val="en-US" w:eastAsia="zh-CN" w:bidi="ar"/>
        </w:rPr>
        <w:t>研讨</w:t>
      </w:r>
      <w:r>
        <w:rPr>
          <w:rFonts w:hint="eastAsia" w:ascii="仿宋_GB2312" w:hAnsi="仿宋" w:eastAsia="仿宋_GB2312" w:cs="宋体"/>
          <w:sz w:val="32"/>
          <w:szCs w:val="32"/>
          <w:highlight w:val="none"/>
          <w:lang w:bidi="ar"/>
        </w:rPr>
        <w:t>、</w:t>
      </w:r>
      <w:r>
        <w:rPr>
          <w:rFonts w:hint="eastAsia" w:ascii="仿宋_GB2312" w:hAnsi="仿宋" w:eastAsia="仿宋_GB2312" w:cs="宋体"/>
          <w:sz w:val="32"/>
          <w:szCs w:val="32"/>
          <w:highlight w:val="none"/>
          <w:lang w:val="en-US" w:eastAsia="zh-CN" w:bidi="ar"/>
        </w:rPr>
        <w:t>分析</w:t>
      </w:r>
      <w:r>
        <w:rPr>
          <w:rFonts w:hint="eastAsia" w:ascii="仿宋_GB2312" w:hAnsi="仿宋" w:eastAsia="仿宋_GB2312" w:cs="宋体"/>
          <w:sz w:val="32"/>
          <w:szCs w:val="32"/>
          <w:highlight w:val="none"/>
          <w:lang w:bidi="ar"/>
        </w:rPr>
        <w:t>。故该项目预算前期编制进行了实地调查论证及充分研究，预算编制谨慎。</w:t>
      </w:r>
    </w:p>
    <w:p>
      <w:pPr>
        <w:pageBreakBefore w:val="0"/>
        <w:widowControl w:val="0"/>
        <w:numPr>
          <w:ilvl w:val="0"/>
          <w:numId w:val="8"/>
        </w:numPr>
        <w:kinsoku/>
        <w:wordWrap/>
        <w:overflowPunct/>
        <w:topLinePunct w:val="0"/>
        <w:autoSpaceDE/>
        <w:autoSpaceDN/>
        <w:bidi w:val="0"/>
        <w:snapToGrid w:val="0"/>
        <w:spacing w:line="560" w:lineRule="exact"/>
        <w:ind w:left="0" w:leftChars="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目标设置</w:t>
      </w:r>
    </w:p>
    <w:p>
      <w:pPr>
        <w:pStyle w:val="2"/>
        <w:keepNext/>
        <w:keepLines/>
        <w:pageBreakBefore w:val="0"/>
        <w:widowControl w:val="0"/>
        <w:kinsoku/>
        <w:wordWrap/>
        <w:overflowPunct/>
        <w:topLinePunct w:val="0"/>
        <w:autoSpaceDE/>
        <w:autoSpaceDN/>
        <w:bidi w:val="0"/>
        <w:adjustRightInd/>
        <w:snapToGrid w:val="0"/>
        <w:spacing w:before="0" w:after="0" w:line="560" w:lineRule="exact"/>
        <w:ind w:left="0" w:firstLine="640" w:firstLineChars="200"/>
        <w:textAlignment w:val="auto"/>
        <w:rPr>
          <w:rFonts w:hint="eastAsia" w:ascii="仿宋_GB2312" w:hAnsi="仿宋" w:eastAsia="仿宋_GB2312" w:cs="宋体"/>
          <w:b w:val="0"/>
          <w:bCs w:val="0"/>
          <w:kern w:val="2"/>
          <w:sz w:val="32"/>
          <w:szCs w:val="32"/>
          <w:highlight w:val="none"/>
          <w:lang w:val="en-US" w:eastAsia="zh-CN" w:bidi="ar"/>
        </w:rPr>
      </w:pPr>
      <w:r>
        <w:rPr>
          <w:rFonts w:hint="default" w:ascii="仿宋_GB2312" w:hAnsi="仿宋" w:eastAsia="仿宋_GB2312" w:cs="宋体"/>
          <w:b w:val="0"/>
          <w:bCs w:val="0"/>
          <w:kern w:val="2"/>
          <w:sz w:val="32"/>
          <w:szCs w:val="32"/>
          <w:highlight w:val="none"/>
          <w:lang w:val="en-US" w:eastAsia="zh-CN" w:bidi="ar"/>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highlight w:val="none"/>
          <w:lang w:val="en-US" w:eastAsia="zh-CN" w:bidi="ar"/>
        </w:rPr>
        <w:t>叶城县绩效第三方进行咨询商议</w:t>
      </w:r>
      <w:r>
        <w:rPr>
          <w:rFonts w:hint="default" w:ascii="仿宋_GB2312" w:hAnsi="仿宋" w:eastAsia="仿宋_GB2312" w:cs="宋体"/>
          <w:b w:val="0"/>
          <w:bCs w:val="0"/>
          <w:kern w:val="2"/>
          <w:sz w:val="32"/>
          <w:szCs w:val="32"/>
          <w:highlight w:val="none"/>
          <w:lang w:val="en-US" w:eastAsia="zh-CN" w:bidi="ar"/>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highlight w:val="none"/>
          <w:lang w:val="en-US" w:eastAsia="zh-CN" w:bidi="ar"/>
        </w:rPr>
        <w:t>。</w:t>
      </w:r>
    </w:p>
    <w:p>
      <w:pPr>
        <w:pStyle w:val="19"/>
        <w:pageBreakBefore w:val="0"/>
        <w:widowControl w:val="0"/>
        <w:numPr>
          <w:ilvl w:val="0"/>
          <w:numId w:val="7"/>
        </w:numPr>
        <w:kinsoku/>
        <w:wordWrap/>
        <w:overflowPunct/>
        <w:topLinePunct w:val="0"/>
        <w:autoSpaceDE/>
        <w:autoSpaceDN/>
        <w:bidi w:val="0"/>
        <w:snapToGrid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项目的过程情况</w:t>
      </w:r>
    </w:p>
    <w:p>
      <w:pPr>
        <w:pageBreakBefore w:val="0"/>
        <w:widowControl w:val="0"/>
        <w:numPr>
          <w:ilvl w:val="0"/>
          <w:numId w:val="9"/>
        </w:numPr>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资金管理</w:t>
      </w:r>
    </w:p>
    <w:p>
      <w:pPr>
        <w:keepNext w:val="0"/>
        <w:keepLines w:val="0"/>
        <w:pageBreakBefore w:val="0"/>
        <w:widowControl w:val="0"/>
        <w:kinsoku/>
        <w:wordWrap/>
        <w:overflowPunct/>
        <w:topLinePunct w:val="0"/>
        <w:autoSpaceDE/>
        <w:autoSpaceDN/>
        <w:bidi w:val="0"/>
        <w:snapToGrid w:val="0"/>
        <w:spacing w:line="560" w:lineRule="exact"/>
        <w:ind w:left="0" w:leftChars="0" w:right="0" w:rightChars="0" w:firstLine="624" w:firstLineChars="200"/>
        <w:jc w:val="left"/>
        <w:textAlignment w:val="auto"/>
        <w:outlineLvl w:val="9"/>
        <w:rPr>
          <w:rFonts w:hint="eastAsia"/>
          <w:highlight w:val="none"/>
        </w:rPr>
      </w:pPr>
      <w:r>
        <w:rPr>
          <w:rFonts w:hint="eastAsia" w:ascii="仿宋_GB2312" w:hAnsi="仿宋_GB2312" w:eastAsia="仿宋_GB2312" w:cs="仿宋_GB2312"/>
          <w:color w:val="auto"/>
          <w:spacing w:val="-4"/>
          <w:sz w:val="32"/>
          <w:szCs w:val="32"/>
          <w:highlight w:val="none"/>
          <w:lang w:eastAsia="zh-CN"/>
        </w:rPr>
        <w:t>叶城县夏合甫乡人民政府</w:t>
      </w:r>
      <w:r>
        <w:rPr>
          <w:rFonts w:hint="eastAsia" w:ascii="仿宋_GB2312" w:hAnsi="仿宋_GB2312" w:eastAsia="仿宋_GB2312" w:cs="仿宋_GB2312"/>
          <w:color w:val="auto"/>
          <w:spacing w:val="-4"/>
          <w:sz w:val="32"/>
          <w:szCs w:val="32"/>
          <w:highlight w:val="none"/>
        </w:rPr>
        <w:t>严格按照</w:t>
      </w:r>
      <w:r>
        <w:rPr>
          <w:rFonts w:hint="eastAsia" w:ascii="仿宋_GB2312" w:hAnsi="仿宋_GB2312" w:eastAsia="仿宋_GB2312" w:cs="仿宋_GB2312"/>
          <w:color w:val="auto"/>
          <w:spacing w:val="-4"/>
          <w:sz w:val="32"/>
          <w:szCs w:val="32"/>
          <w:highlight w:val="none"/>
          <w:lang w:eastAsia="zh-CN"/>
        </w:rPr>
        <w:t>农村危房改造</w:t>
      </w:r>
      <w:r>
        <w:rPr>
          <w:rFonts w:hint="eastAsia" w:ascii="仿宋_GB2312" w:hAnsi="仿宋_GB2312" w:eastAsia="仿宋_GB2312" w:cs="仿宋_GB2312"/>
          <w:color w:val="auto"/>
          <w:spacing w:val="-4"/>
          <w:sz w:val="32"/>
          <w:szCs w:val="32"/>
          <w:highlight w:val="none"/>
        </w:rPr>
        <w:t>资金管理办法和地区财政资金管理制度支付资金；</w:t>
      </w:r>
      <w:r>
        <w:rPr>
          <w:rFonts w:hint="eastAsia" w:ascii="仿宋_GB2312" w:hAnsi="仿宋" w:eastAsia="仿宋_GB2312" w:cs="宋体"/>
          <w:color w:val="auto"/>
          <w:sz w:val="32"/>
          <w:szCs w:val="32"/>
          <w:highlight w:val="none"/>
          <w:lang w:eastAsia="zh-CN" w:bidi="ar"/>
        </w:rPr>
        <w:t>实行实施一个项目，支付一笔资金、报账一笔资金，资金跟着项目走，项目跟着需求走。</w:t>
      </w:r>
      <w:r>
        <w:rPr>
          <w:rFonts w:hint="eastAsia" w:ascii="仿宋_GB2312" w:hAnsi="仿宋" w:eastAsia="仿宋_GB2312" w:cs="宋体"/>
          <w:color w:val="auto"/>
          <w:sz w:val="32"/>
          <w:szCs w:val="32"/>
          <w:highlight w:val="none"/>
          <w:lang w:val="en-US" w:eastAsia="zh-CN" w:bidi="ar"/>
        </w:rPr>
        <w:t>资金按时到位，到位率100%。</w:t>
      </w:r>
      <w:r>
        <w:rPr>
          <w:rFonts w:hint="eastAsia" w:ascii="仿宋_GB2312" w:hAnsi="仿宋_GB2312" w:eastAsia="仿宋_GB2312" w:cs="仿宋_GB2312"/>
          <w:color w:val="auto"/>
          <w:spacing w:val="-4"/>
          <w:sz w:val="32"/>
          <w:szCs w:val="32"/>
          <w:highlight w:val="none"/>
        </w:rPr>
        <w:t>资金的支付有完整的审批程序和手续符合制度要求；不存在截留、挤占、挪用、虚列支出等情况。</w:t>
      </w:r>
    </w:p>
    <w:p>
      <w:pPr>
        <w:pageBreakBefore w:val="0"/>
        <w:widowControl w:val="0"/>
        <w:numPr>
          <w:ilvl w:val="0"/>
          <w:numId w:val="0"/>
        </w:numPr>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（2）组织实施</w:t>
      </w:r>
    </w:p>
    <w:p>
      <w:pPr>
        <w:pageBreakBefore w:val="0"/>
        <w:widowControl w:val="0"/>
        <w:numPr>
          <w:ilvl w:val="0"/>
          <w:numId w:val="0"/>
        </w:numPr>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1.叶城县夏合甫乡人民政府</w:t>
      </w:r>
      <w:r>
        <w:rPr>
          <w:rFonts w:hint="eastAsia" w:ascii="仿宋_GB2312" w:hAnsi="仿宋" w:eastAsia="仿宋_GB2312" w:cs="宋体"/>
          <w:sz w:val="32"/>
          <w:szCs w:val="32"/>
          <w:highlight w:val="none"/>
          <w:lang w:eastAsia="zh-CN" w:bidi="ar"/>
        </w:rPr>
        <w:t>在项目管理上总体情况较好。该项目预算资金安排</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sz w:val="32"/>
          <w:szCs w:val="32"/>
          <w:highlight w:val="none"/>
          <w:lang w:eastAsia="zh-CN" w:bidi="ar"/>
        </w:rPr>
        <w:t>万元，项目实际使用资金</w:t>
      </w:r>
      <w:r>
        <w:rPr>
          <w:rFonts w:hint="eastAsia" w:ascii="仿宋_GB2312" w:hAnsi="仿宋_GB2312" w:eastAsia="仿宋_GB2312" w:cs="仿宋_GB2312"/>
          <w:b w:val="0"/>
          <w:bCs/>
          <w:color w:val="auto"/>
          <w:sz w:val="32"/>
          <w:szCs w:val="32"/>
          <w:highlight w:val="none"/>
          <w:lang w:val="en-US" w:eastAsia="zh-CN"/>
        </w:rPr>
        <w:t>1107.26</w:t>
      </w:r>
      <w:r>
        <w:rPr>
          <w:rFonts w:hint="eastAsia" w:ascii="仿宋_GB2312" w:hAnsi="仿宋" w:eastAsia="仿宋_GB2312" w:cs="宋体"/>
          <w:sz w:val="32"/>
          <w:szCs w:val="32"/>
          <w:highlight w:val="none"/>
          <w:lang w:eastAsia="zh-CN" w:bidi="ar"/>
        </w:rPr>
        <w:t>万元，资金按照规定制度及时支付到位。为保证资金的高效、合规使用，叶城县</w:t>
      </w:r>
      <w:r>
        <w:rPr>
          <w:rFonts w:hint="eastAsia" w:ascii="仿宋_GB2312" w:hAnsi="仿宋" w:eastAsia="仿宋_GB2312" w:cs="宋体"/>
          <w:sz w:val="32"/>
          <w:szCs w:val="32"/>
          <w:highlight w:val="none"/>
          <w:lang w:val="en-US" w:eastAsia="zh-CN" w:bidi="ar"/>
        </w:rPr>
        <w:t>夏合甫乡人民政府</w:t>
      </w:r>
      <w:r>
        <w:rPr>
          <w:rFonts w:hint="eastAsia" w:ascii="仿宋_GB2312" w:hAnsi="仿宋" w:eastAsia="仿宋_GB2312" w:cs="宋体"/>
          <w:sz w:val="32"/>
          <w:szCs w:val="32"/>
          <w:highlight w:val="none"/>
          <w:lang w:eastAsia="zh-CN" w:bidi="ar"/>
        </w:rPr>
        <w:t>制定并依据项目实施方案，有效促进了安居富民房建设项目资金支出管理工作。</w:t>
      </w:r>
    </w:p>
    <w:p>
      <w:pPr>
        <w:pageBreakBefore w:val="0"/>
        <w:widowControl w:val="0"/>
        <w:numPr>
          <w:ilvl w:val="0"/>
          <w:numId w:val="0"/>
        </w:numPr>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2.</w:t>
      </w:r>
      <w:r>
        <w:rPr>
          <w:rFonts w:hint="eastAsia" w:ascii="仿宋_GB2312" w:hAnsi="仿宋" w:eastAsia="仿宋_GB2312" w:cs="宋体"/>
          <w:sz w:val="32"/>
          <w:szCs w:val="32"/>
          <w:highlight w:val="none"/>
          <w:lang w:eastAsia="zh-CN" w:bidi="ar"/>
        </w:rPr>
        <w:t>从制度建设看：</w:t>
      </w:r>
      <w:r>
        <w:rPr>
          <w:rFonts w:hint="eastAsia" w:ascii="仿宋_GB2312" w:hAnsi="仿宋" w:eastAsia="仿宋_GB2312" w:cs="宋体"/>
          <w:sz w:val="32"/>
          <w:szCs w:val="32"/>
          <w:highlight w:val="none"/>
          <w:lang w:val="en-US" w:eastAsia="zh-CN" w:bidi="ar"/>
        </w:rPr>
        <w:t>制定了《安居富民房建设管理制度》《安居富民房建设项目资金支付管理制度》相应的管理制度</w:t>
      </w:r>
      <w:r>
        <w:rPr>
          <w:rFonts w:hint="eastAsia" w:ascii="仿宋_GB2312" w:hAnsi="仿宋" w:eastAsia="仿宋_GB2312" w:cs="宋体"/>
          <w:sz w:val="32"/>
          <w:szCs w:val="32"/>
          <w:highlight w:val="none"/>
          <w:lang w:eastAsia="zh-CN" w:bidi="ar"/>
        </w:rPr>
        <w:t>。</w:t>
      </w:r>
    </w:p>
    <w:p>
      <w:pPr>
        <w:pageBreakBefore w:val="0"/>
        <w:widowControl w:val="0"/>
        <w:numPr>
          <w:ilvl w:val="0"/>
          <w:numId w:val="0"/>
        </w:numPr>
        <w:kinsoku/>
        <w:wordWrap/>
        <w:overflowPunct/>
        <w:topLinePunct w:val="0"/>
        <w:autoSpaceDE/>
        <w:autoSpaceDN/>
        <w:bidi w:val="0"/>
        <w:adjustRightInd/>
        <w:snapToGrid w:val="0"/>
        <w:spacing w:line="560" w:lineRule="exact"/>
        <w:ind w:left="0" w:firstLine="640" w:firstLineChars="200"/>
        <w:textAlignment w:val="auto"/>
        <w:rPr>
          <w:rFonts w:hint="eastAsia"/>
          <w:highlight w:val="none"/>
        </w:rPr>
      </w:pPr>
      <w:r>
        <w:rPr>
          <w:rFonts w:hint="eastAsia" w:ascii="仿宋_GB2312" w:hAnsi="仿宋" w:eastAsia="仿宋_GB2312" w:cs="宋体"/>
          <w:sz w:val="32"/>
          <w:szCs w:val="32"/>
          <w:highlight w:val="none"/>
          <w:lang w:val="en-US" w:eastAsia="zh-CN" w:bidi="ar"/>
        </w:rPr>
        <w:t>3.</w:t>
      </w:r>
      <w:r>
        <w:rPr>
          <w:rFonts w:hint="eastAsia" w:ascii="仿宋_GB2312" w:hAnsi="仿宋" w:eastAsia="仿宋_GB2312" w:cs="宋体"/>
          <w:sz w:val="32"/>
          <w:szCs w:val="32"/>
          <w:highlight w:val="none"/>
          <w:lang w:eastAsia="zh-CN" w:bidi="ar"/>
        </w:rPr>
        <w:t>从过程控制部分看：</w:t>
      </w:r>
      <w:r>
        <w:rPr>
          <w:rFonts w:hint="eastAsia" w:ascii="仿宋_GB2312" w:hAnsi="仿宋_GB2312" w:eastAsia="仿宋_GB2312" w:cs="仿宋_GB2312"/>
          <w:color w:val="auto"/>
          <w:spacing w:val="-4"/>
          <w:sz w:val="32"/>
          <w:szCs w:val="32"/>
          <w:highlight w:val="none"/>
          <w:lang w:eastAsia="zh-CN"/>
        </w:rPr>
        <w:t>叶城县夏合甫乡人民政府</w:t>
      </w:r>
      <w:r>
        <w:rPr>
          <w:rFonts w:hint="eastAsia" w:ascii="仿宋_GB2312" w:hAnsi="仿宋_GB2312" w:eastAsia="仿宋_GB2312" w:cs="仿宋_GB2312"/>
          <w:color w:val="auto"/>
          <w:spacing w:val="-4"/>
          <w:sz w:val="32"/>
          <w:szCs w:val="32"/>
          <w:highlight w:val="none"/>
        </w:rPr>
        <w:t>严格按照</w:t>
      </w:r>
      <w:r>
        <w:rPr>
          <w:rFonts w:hint="eastAsia" w:ascii="仿宋_GB2312" w:hAnsi="仿宋_GB2312" w:eastAsia="仿宋_GB2312" w:cs="仿宋_GB2312"/>
          <w:color w:val="auto"/>
          <w:spacing w:val="-4"/>
          <w:sz w:val="32"/>
          <w:szCs w:val="32"/>
          <w:highlight w:val="none"/>
          <w:lang w:eastAsia="zh-CN"/>
        </w:rPr>
        <w:t>农村危房改造</w:t>
      </w:r>
      <w:r>
        <w:rPr>
          <w:rFonts w:hint="eastAsia" w:ascii="仿宋_GB2312" w:hAnsi="仿宋_GB2312" w:eastAsia="仿宋_GB2312" w:cs="仿宋_GB2312"/>
          <w:color w:val="auto"/>
          <w:spacing w:val="-4"/>
          <w:sz w:val="32"/>
          <w:szCs w:val="32"/>
          <w:highlight w:val="none"/>
        </w:rPr>
        <w:t>资金管理办法和地区财政资金管理制度支付资金；</w:t>
      </w:r>
      <w:r>
        <w:rPr>
          <w:rFonts w:hint="eastAsia" w:ascii="仿宋_GB2312" w:hAnsi="仿宋" w:eastAsia="仿宋_GB2312" w:cs="宋体"/>
          <w:color w:val="auto"/>
          <w:sz w:val="32"/>
          <w:szCs w:val="32"/>
          <w:highlight w:val="none"/>
          <w:lang w:eastAsia="zh-CN" w:bidi="ar"/>
        </w:rPr>
        <w:t>实行实施一个项目，支付一笔资金、报账一笔资金，资金跟着项目走，项目跟着需求走。</w:t>
      </w:r>
    </w:p>
    <w:p>
      <w:pPr>
        <w:pStyle w:val="19"/>
        <w:pageBreakBefore w:val="0"/>
        <w:widowControl w:val="0"/>
        <w:numPr>
          <w:ilvl w:val="0"/>
          <w:numId w:val="7"/>
        </w:numPr>
        <w:kinsoku/>
        <w:wordWrap/>
        <w:overflowPunct/>
        <w:topLinePunct w:val="0"/>
        <w:autoSpaceDE/>
        <w:autoSpaceDN/>
        <w:bidi w:val="0"/>
        <w:snapToGrid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项目产出情况</w:t>
      </w:r>
    </w:p>
    <w:p>
      <w:pPr>
        <w:pageBreakBefore w:val="0"/>
        <w:widowControl w:val="0"/>
        <w:kinsoku/>
        <w:wordWrap/>
        <w:overflowPunct/>
        <w:topLinePunct w:val="0"/>
        <w:autoSpaceDE/>
        <w:autoSpaceDN/>
        <w:bidi w:val="0"/>
        <w:snapToGrid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eastAsia="仿宋_GB2312"/>
          <w:color w:val="auto"/>
          <w:sz w:val="32"/>
          <w:szCs w:val="32"/>
          <w:highlight w:val="none"/>
          <w:lang w:eastAsia="zh-CN"/>
        </w:rPr>
        <w:t>通过项目的实施，</w:t>
      </w:r>
      <w:r>
        <w:rPr>
          <w:rFonts w:hint="eastAsia" w:ascii="仿宋_GB2312" w:hAnsi="仿宋" w:eastAsia="仿宋_GB2312" w:cs="宋体"/>
          <w:b w:val="0"/>
          <w:bCs w:val="0"/>
          <w:color w:val="auto"/>
          <w:sz w:val="32"/>
          <w:szCs w:val="32"/>
          <w:highlight w:val="none"/>
          <w:lang w:val="en-US" w:eastAsia="zh-CN" w:bidi="ar"/>
        </w:rPr>
        <w:t>安居富民房建设项目实际完成1180户，实现预期目标建设，资金支付率达到100%。户均享受补贴达到3.68万元，用于完善我乡住房保障体系，改善住房保障服务，解决建房困难户经济困难，有效促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326"/>
        <w:gridCol w:w="1328"/>
        <w:gridCol w:w="2655"/>
        <w:gridCol w:w="1480"/>
        <w:gridCol w:w="1497"/>
      </w:tblGrid>
      <w:tr>
        <w:tblPrEx>
          <w:shd w:val="clear" w:color="auto" w:fill="auto"/>
          <w:tblCellMar>
            <w:top w:w="0" w:type="dxa"/>
            <w:left w:w="0" w:type="dxa"/>
            <w:bottom w:w="0" w:type="dxa"/>
            <w:right w:w="0" w:type="dxa"/>
          </w:tblCellMar>
        </w:tblPrEx>
        <w:trPr>
          <w:trHeight w:val="520"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20" w:hRule="atLeast"/>
        </w:trPr>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一般户户数（户）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低保户户数（户）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资金保障率（%）</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补助一般户标准（元/户）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8694</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8694</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补助低保户标准（元/户）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r>
    </w:tbl>
    <w:p>
      <w:pPr>
        <w:pageBreakBefore w:val="0"/>
        <w:widowControl w:val="0"/>
        <w:kinsoku/>
        <w:wordWrap/>
        <w:overflowPunct/>
        <w:topLinePunct w:val="0"/>
        <w:autoSpaceDE/>
        <w:autoSpaceDN/>
        <w:bidi w:val="0"/>
        <w:snapToGrid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p>
    <w:p>
      <w:pPr>
        <w:pStyle w:val="19"/>
        <w:pageBreakBefore w:val="0"/>
        <w:widowControl w:val="0"/>
        <w:numPr>
          <w:ilvl w:val="0"/>
          <w:numId w:val="7"/>
        </w:numPr>
        <w:kinsoku/>
        <w:wordWrap/>
        <w:overflowPunct/>
        <w:topLinePunct w:val="0"/>
        <w:autoSpaceDE/>
        <w:autoSpaceDN/>
        <w:bidi w:val="0"/>
        <w:snapToGrid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项目效益情况</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hint="eastAsia" w:ascii="仿宋_GB2312" w:eastAsia="仿宋_GB2312"/>
          <w:color w:val="auto"/>
          <w:sz w:val="32"/>
          <w:szCs w:val="32"/>
          <w:highlight w:val="none"/>
          <w:lang w:val="en-US" w:eastAsia="zh-CN"/>
        </w:rPr>
      </w:pPr>
      <w:r>
        <w:rPr>
          <w:rFonts w:hint="eastAsia" w:ascii="仿宋_GB2312" w:hAnsi="仿宋" w:eastAsia="仿宋_GB2312" w:cs="宋体"/>
          <w:bCs/>
          <w:color w:val="auto"/>
          <w:sz w:val="32"/>
          <w:szCs w:val="32"/>
          <w:highlight w:val="none"/>
          <w:lang w:eastAsia="zh-CN" w:bidi="ar"/>
        </w:rPr>
        <w:t>通过安居富民房的实施，全乡</w:t>
      </w:r>
      <w:r>
        <w:rPr>
          <w:rFonts w:hint="eastAsia" w:ascii="仿宋_GB2312" w:eastAsia="仿宋_GB2312"/>
          <w:color w:val="auto"/>
          <w:sz w:val="32"/>
          <w:szCs w:val="32"/>
          <w:highlight w:val="none"/>
          <w:lang w:val="en-US" w:eastAsia="zh-CN"/>
        </w:rPr>
        <w:t>634户农户户均</w:t>
      </w:r>
      <w:r>
        <w:rPr>
          <w:rFonts w:hint="eastAsia" w:ascii="仿宋_GB2312" w:hAnsi="仿宋_GB2312" w:eastAsia="仿宋_GB2312" w:cs="仿宋_GB2312"/>
          <w:color w:val="auto"/>
          <w:kern w:val="0"/>
          <w:sz w:val="32"/>
          <w:szCs w:val="32"/>
          <w:highlight w:val="none"/>
        </w:rPr>
        <w:t>增加生活补贴</w:t>
      </w:r>
      <w:r>
        <w:rPr>
          <w:rFonts w:hint="eastAsia" w:ascii="仿宋_GB2312" w:hAnsi="仿宋_GB2312" w:eastAsia="仿宋_GB2312" w:cs="仿宋_GB2312"/>
          <w:color w:val="auto"/>
          <w:kern w:val="0"/>
          <w:sz w:val="32"/>
          <w:szCs w:val="32"/>
          <w:highlight w:val="none"/>
          <w:lang w:val="en-US" w:eastAsia="zh-CN"/>
        </w:rPr>
        <w:t>1.02万元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有效提升</w:t>
      </w:r>
      <w:r>
        <w:rPr>
          <w:rFonts w:hint="eastAsia" w:ascii="仿宋_GB2312" w:hAnsi="仿宋_GB2312" w:eastAsia="仿宋_GB2312" w:cs="仿宋_GB2312"/>
          <w:color w:val="auto"/>
          <w:kern w:val="0"/>
          <w:sz w:val="32"/>
          <w:szCs w:val="32"/>
          <w:highlight w:val="none"/>
        </w:rPr>
        <w:t>建房户获得感与幸福</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 w:eastAsia="仿宋_GB2312" w:cs="宋体"/>
          <w:bCs/>
          <w:color w:val="auto"/>
          <w:sz w:val="32"/>
          <w:szCs w:val="32"/>
          <w:highlight w:val="none"/>
          <w:lang w:bidi="ar"/>
        </w:rPr>
        <w:t>项目的可持续效益效益</w:t>
      </w:r>
      <w:r>
        <w:rPr>
          <w:rFonts w:hint="eastAsia" w:ascii="仿宋_GB2312" w:eastAsia="仿宋_GB2312"/>
          <w:color w:val="auto"/>
          <w:sz w:val="32"/>
          <w:szCs w:val="32"/>
          <w:highlight w:val="none"/>
        </w:rPr>
        <w:t>指标为</w:t>
      </w:r>
      <w:r>
        <w:rPr>
          <w:rFonts w:hint="eastAsia" w:ascii="仿宋_GB2312" w:hAnsi="仿宋_GB2312" w:eastAsia="仿宋_GB2312" w:cs="仿宋_GB2312"/>
          <w:color w:val="auto"/>
          <w:kern w:val="0"/>
          <w:sz w:val="32"/>
          <w:szCs w:val="32"/>
          <w:highlight w:val="none"/>
        </w:rPr>
        <w:t>持续影响年限</w:t>
      </w:r>
      <w:r>
        <w:rPr>
          <w:rFonts w:hint="eastAsia" w:ascii="仿宋_GB2312" w:hAnsi="仿宋_GB2312" w:eastAsia="仿宋_GB2312" w:cs="仿宋_GB2312"/>
          <w:color w:val="auto"/>
          <w:kern w:val="0"/>
          <w:sz w:val="32"/>
          <w:szCs w:val="32"/>
          <w:highlight w:val="none"/>
          <w:lang w:eastAsia="zh-CN"/>
        </w:rPr>
        <w:t>持续一年</w:t>
      </w:r>
      <w:r>
        <w:rPr>
          <w:rFonts w:hint="eastAsia" w:ascii="仿宋_GB2312" w:eastAsia="仿宋_GB2312"/>
          <w:color w:val="auto"/>
          <w:sz w:val="32"/>
          <w:szCs w:val="32"/>
          <w:highlight w:val="none"/>
        </w:rPr>
        <w:t>，</w:t>
      </w:r>
      <w:r>
        <w:rPr>
          <w:rFonts w:hint="eastAsia" w:ascii="仿宋_GB2312" w:hAnsi="仿宋" w:eastAsia="仿宋_GB2312" w:cs="宋体"/>
          <w:bCs/>
          <w:color w:val="auto"/>
          <w:sz w:val="32"/>
          <w:szCs w:val="32"/>
          <w:highlight w:val="none"/>
          <w:lang w:bidi="ar"/>
        </w:rPr>
        <w:t>经问卷调查，项目</w:t>
      </w:r>
      <w:r>
        <w:rPr>
          <w:rFonts w:hint="eastAsia" w:ascii="仿宋_GB2312" w:hAnsi="仿宋" w:eastAsia="仿宋_GB2312" w:cs="宋体"/>
          <w:bCs/>
          <w:color w:val="auto"/>
          <w:sz w:val="32"/>
          <w:szCs w:val="32"/>
          <w:highlight w:val="none"/>
          <w:lang w:val="en-US" w:eastAsia="zh-CN" w:bidi="ar"/>
        </w:rPr>
        <w:t>受</w:t>
      </w:r>
      <w:r>
        <w:rPr>
          <w:rFonts w:hint="eastAsia" w:ascii="仿宋_GB2312" w:hAnsi="仿宋" w:eastAsia="仿宋_GB2312" w:cs="宋体"/>
          <w:bCs/>
          <w:color w:val="auto"/>
          <w:sz w:val="32"/>
          <w:szCs w:val="32"/>
          <w:highlight w:val="none"/>
          <w:lang w:bidi="ar"/>
        </w:rPr>
        <w:t>益群众满意度为</w:t>
      </w:r>
      <w:r>
        <w:rPr>
          <w:rFonts w:hint="eastAsia" w:ascii="仿宋_GB2312" w:hAnsi="仿宋" w:eastAsia="仿宋_GB2312" w:cs="宋体"/>
          <w:bCs/>
          <w:color w:val="auto"/>
          <w:sz w:val="32"/>
          <w:szCs w:val="32"/>
          <w:highlight w:val="none"/>
          <w:lang w:val="en-US" w:eastAsia="zh-CN" w:bidi="ar"/>
        </w:rPr>
        <w:t>95%。</w:t>
      </w:r>
      <w:r>
        <w:rPr>
          <w:rFonts w:hint="eastAsia" w:ascii="仿宋_GB2312" w:hAnsi="仿宋" w:eastAsia="仿宋_GB2312" w:cs="宋体"/>
          <w:b w:val="0"/>
          <w:bCs w:val="0"/>
          <w:color w:val="auto"/>
          <w:sz w:val="32"/>
          <w:szCs w:val="32"/>
          <w:highlight w:val="none"/>
          <w:lang w:val="en-US" w:eastAsia="zh-CN" w:bidi="ar"/>
        </w:rPr>
        <w:t>解决建房困难户经济困难，</w:t>
      </w:r>
      <w:r>
        <w:rPr>
          <w:rFonts w:hint="eastAsia" w:ascii="仿宋_GB2312" w:eastAsia="仿宋_GB2312"/>
          <w:color w:val="auto"/>
          <w:sz w:val="32"/>
          <w:szCs w:val="32"/>
          <w:highlight w:val="none"/>
          <w:lang w:val="en-US" w:eastAsia="zh-CN"/>
        </w:rPr>
        <w:t>有效促进建房户就业，提升建房户获得感与幸福感。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326"/>
        <w:gridCol w:w="1328"/>
        <w:gridCol w:w="2655"/>
        <w:gridCol w:w="1480"/>
        <w:gridCol w:w="1497"/>
      </w:tblGrid>
      <w:tr>
        <w:tblPrEx>
          <w:tblCellMar>
            <w:top w:w="0" w:type="dxa"/>
            <w:left w:w="0" w:type="dxa"/>
            <w:bottom w:w="0" w:type="dxa"/>
            <w:right w:w="0" w:type="dxa"/>
          </w:tblCellMar>
        </w:tblPrEx>
        <w:trPr>
          <w:trHeight w:val="520"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20" w:hRule="atLeast"/>
        </w:trPr>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减轻一般户建房经济负担（元/户）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8694</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8694</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减轻低保户建房经济负担（元/户）</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居住环境</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逐年改善</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left"/>
              <w:rPr>
                <w:rFonts w:hint="eastAsia" w:ascii="宋体" w:hAnsi="宋体" w:eastAsia="宋体" w:cs="宋体"/>
                <w:i w:val="0"/>
                <w:color w:val="000000"/>
                <w:sz w:val="18"/>
                <w:szCs w:val="18"/>
                <w:u w:val="none"/>
              </w:rPr>
            </w:pP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20" w:hRule="atLeast"/>
        </w:trPr>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安居房可居住年限（年）</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CellMar>
            <w:top w:w="0" w:type="dxa"/>
            <w:left w:w="0" w:type="dxa"/>
            <w:bottom w:w="0" w:type="dxa"/>
            <w:right w:w="0" w:type="dxa"/>
          </w:tblCellMar>
        </w:tblPrEx>
        <w:trPr>
          <w:trHeight w:val="520" w:hRule="atLeast"/>
        </w:trPr>
        <w:tc>
          <w:tcPr>
            <w:tcW w:w="132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受益户满意度</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hint="eastAsia" w:ascii="仿宋_GB2312" w:eastAsia="仿宋_GB2312"/>
          <w:color w:val="auto"/>
          <w:sz w:val="32"/>
          <w:szCs w:val="32"/>
          <w:highlight w:val="none"/>
        </w:rPr>
      </w:pPr>
    </w:p>
    <w:p>
      <w:pPr>
        <w:pStyle w:val="23"/>
        <w:keepNext w:val="0"/>
        <w:keepLines w:val="0"/>
        <w:pageBreakBefore w:val="0"/>
        <w:widowControl w:val="0"/>
        <w:numPr>
          <w:ilvl w:val="0"/>
          <w:numId w:val="2"/>
        </w:numPr>
        <w:kinsoku/>
        <w:wordWrap/>
        <w:overflowPunct/>
        <w:topLinePunct w:val="0"/>
        <w:autoSpaceDE/>
        <w:autoSpaceDN/>
        <w:bidi w:val="0"/>
        <w:adjustRightInd/>
        <w:snapToGrid w:val="0"/>
        <w:spacing w:before="0" w:after="0" w:line="560" w:lineRule="exact"/>
        <w:ind w:left="0" w:firstLine="643" w:firstLineChars="200"/>
        <w:textAlignment w:val="auto"/>
        <w:rPr>
          <w:color w:val="auto"/>
          <w:highlight w:val="none"/>
          <w:lang w:bidi="ar"/>
        </w:rPr>
      </w:pPr>
      <w:r>
        <w:rPr>
          <w:rFonts w:hint="eastAsia" w:ascii="黑体" w:hAnsi="黑体"/>
          <w:color w:val="auto"/>
          <w:highlight w:val="none"/>
        </w:rPr>
        <w:t>主要经验及做法、存在的问题及原因分析</w:t>
      </w:r>
    </w:p>
    <w:p>
      <w:pPr>
        <w:pStyle w:val="25"/>
        <w:keepNext w:val="0"/>
        <w:keepLines w:val="0"/>
        <w:pageBreakBefore w:val="0"/>
        <w:widowControl w:val="0"/>
        <w:numPr>
          <w:ilvl w:val="0"/>
          <w:numId w:val="10"/>
        </w:numPr>
        <w:kinsoku/>
        <w:wordWrap/>
        <w:overflowPunct/>
        <w:topLinePunct w:val="0"/>
        <w:autoSpaceDE/>
        <w:autoSpaceDN/>
        <w:bidi w:val="0"/>
        <w:adjustRightInd/>
        <w:snapToGrid w:val="0"/>
        <w:spacing w:before="0" w:after="0" w:line="560" w:lineRule="exact"/>
        <w:ind w:left="0" w:firstLine="643" w:firstLineChars="200"/>
        <w:textAlignment w:val="auto"/>
        <w:rPr>
          <w:color w:val="auto"/>
          <w:highlight w:val="none"/>
          <w:lang w:bidi="ar"/>
        </w:rPr>
      </w:pPr>
      <w:r>
        <w:rPr>
          <w:rFonts w:hint="eastAsia"/>
          <w:color w:val="auto"/>
          <w:highlight w:val="none"/>
          <w:lang w:bidi="ar"/>
        </w:rPr>
        <w:t>主要经验及做法</w:t>
      </w:r>
    </w:p>
    <w:p>
      <w:pPr>
        <w:pStyle w:val="25"/>
        <w:keepNext w:val="0"/>
        <w:keepLines w:val="0"/>
        <w:pageBreakBefore w:val="0"/>
        <w:widowControl w:val="0"/>
        <w:numPr>
          <w:ilvl w:val="0"/>
          <w:numId w:val="0"/>
        </w:numPr>
        <w:kinsoku/>
        <w:wordWrap/>
        <w:overflowPunct/>
        <w:topLinePunct w:val="0"/>
        <w:autoSpaceDE/>
        <w:autoSpaceDN/>
        <w:bidi w:val="0"/>
        <w:adjustRightInd/>
        <w:snapToGrid w:val="0"/>
        <w:spacing w:before="0" w:after="0" w:line="560" w:lineRule="exact"/>
        <w:ind w:left="0" w:firstLine="640" w:firstLineChars="200"/>
        <w:textAlignment w:val="auto"/>
        <w:rPr>
          <w:b w:val="0"/>
          <w:color w:val="auto"/>
          <w:highlight w:val="none"/>
          <w:lang w:bidi="ar"/>
        </w:rPr>
      </w:pPr>
      <w:r>
        <w:rPr>
          <w:rFonts w:hint="eastAsia"/>
          <w:b w:val="0"/>
          <w:color w:val="auto"/>
          <w:highlight w:val="none"/>
          <w:lang w:bidi="ar"/>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5"/>
        <w:pageBreakBefore w:val="0"/>
        <w:widowControl w:val="0"/>
        <w:numPr>
          <w:ilvl w:val="0"/>
          <w:numId w:val="10"/>
        </w:numPr>
        <w:kinsoku/>
        <w:wordWrap/>
        <w:overflowPunct/>
        <w:topLinePunct w:val="0"/>
        <w:autoSpaceDE/>
        <w:autoSpaceDN/>
        <w:bidi w:val="0"/>
        <w:snapToGrid w:val="0"/>
        <w:spacing w:before="0" w:after="0" w:line="560" w:lineRule="exact"/>
        <w:ind w:left="0" w:firstLine="643" w:firstLineChars="200"/>
        <w:textAlignment w:val="auto"/>
        <w:rPr>
          <w:color w:val="auto"/>
          <w:highlight w:val="none"/>
          <w:lang w:bidi="ar"/>
        </w:rPr>
      </w:pPr>
      <w:r>
        <w:rPr>
          <w:rFonts w:hint="eastAsia"/>
          <w:color w:val="auto"/>
          <w:highlight w:val="none"/>
          <w:lang w:bidi="ar"/>
        </w:rPr>
        <w:t>存在的问题及原因分析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420" w:firstLineChars="200"/>
        <w:jc w:val="left"/>
        <w:textAlignment w:val="auto"/>
        <w:outlineLvl w:val="9"/>
        <w:rPr>
          <w:b w:val="0"/>
          <w:color w:val="auto"/>
          <w:highlight w:val="none"/>
          <w:lang w:bidi="ar"/>
        </w:rPr>
      </w:pPr>
      <w:r>
        <w:rPr>
          <w:rFonts w:hint="eastAsia"/>
          <w:b w:val="0"/>
          <w:color w:val="auto"/>
          <w:highlight w:val="none"/>
          <w:lang w:bidi="ar"/>
        </w:rPr>
        <w:t xml:space="preserve"> </w:t>
      </w:r>
      <w:r>
        <w:rPr>
          <w:b w:val="0"/>
          <w:color w:val="auto"/>
          <w:highlight w:val="none"/>
          <w:lang w:bidi="ar"/>
        </w:rPr>
        <w:t xml:space="preserve">   </w:t>
      </w:r>
      <w:r>
        <w:rPr>
          <w:rFonts w:hint="eastAsia" w:ascii="仿宋_GB2312" w:hAnsi="仿宋_GB2312" w:eastAsia="仿宋_GB2312" w:cs="仿宋_GB2312"/>
          <w:bCs/>
          <w:color w:val="auto"/>
          <w:spacing w:val="-4"/>
          <w:sz w:val="32"/>
          <w:szCs w:val="32"/>
          <w:highlight w:val="none"/>
        </w:rPr>
        <w:t>通过预算绩效管理，发现了工作中存在的不足，如前期资金使用因人员身份识别不精准等原因未按期支付，导致了资金滞缓，影响了项目的进度，造成了部分资金的浪费。</w:t>
      </w:r>
    </w:p>
    <w:p>
      <w:pPr>
        <w:pStyle w:val="23"/>
        <w:pageBreakBefore w:val="0"/>
        <w:widowControl w:val="0"/>
        <w:numPr>
          <w:ilvl w:val="0"/>
          <w:numId w:val="2"/>
        </w:numPr>
        <w:kinsoku/>
        <w:wordWrap/>
        <w:overflowPunct/>
        <w:topLinePunct w:val="0"/>
        <w:autoSpaceDE/>
        <w:autoSpaceDN/>
        <w:bidi w:val="0"/>
        <w:snapToGrid w:val="0"/>
        <w:spacing w:before="0" w:after="0" w:line="560" w:lineRule="exact"/>
        <w:ind w:left="0" w:firstLine="643" w:firstLineChars="200"/>
        <w:textAlignment w:val="auto"/>
        <w:rPr>
          <w:rFonts w:ascii="黑体" w:hAnsi="黑体"/>
          <w:color w:val="auto"/>
          <w:highlight w:val="none"/>
        </w:rPr>
      </w:pPr>
      <w:r>
        <w:rPr>
          <w:rFonts w:hint="eastAsia" w:ascii="黑体" w:hAnsi="黑体"/>
          <w:color w:val="auto"/>
          <w:highlight w:val="none"/>
        </w:rPr>
        <w:t>有关建议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420" w:firstLineChars="200"/>
        <w:jc w:val="left"/>
        <w:textAlignment w:val="auto"/>
        <w:outlineLvl w:val="9"/>
        <w:rPr>
          <w:rFonts w:ascii="黑体" w:hAnsi="黑体"/>
          <w:b w:val="0"/>
          <w:color w:val="auto"/>
          <w:highlight w:val="none"/>
        </w:rPr>
      </w:pPr>
      <w:r>
        <w:rPr>
          <w:rFonts w:ascii="黑体" w:hAnsi="黑体"/>
          <w:b w:val="0"/>
          <w:color w:val="auto"/>
          <w:highlight w:val="none"/>
        </w:rPr>
        <w:t xml:space="preserve"> </w:t>
      </w:r>
      <w:r>
        <w:rPr>
          <w:rFonts w:ascii="仿宋_GB2312" w:hAnsi="仿宋" w:eastAsia="仿宋_GB2312" w:cs="宋体"/>
          <w:b w:val="0"/>
          <w:color w:val="auto"/>
          <w:kern w:val="2"/>
          <w:highlight w:val="none"/>
          <w:lang w:bidi="ar"/>
        </w:rPr>
        <w:t xml:space="preserve">  </w:t>
      </w:r>
      <w:r>
        <w:rPr>
          <w:rFonts w:hint="eastAsia" w:ascii="仿宋_GB2312" w:hAnsi="仿宋_GB2312" w:eastAsia="仿宋_GB2312" w:cs="仿宋_GB2312"/>
          <w:bCs/>
          <w:color w:val="auto"/>
          <w:spacing w:val="-4"/>
          <w:sz w:val="32"/>
          <w:szCs w:val="32"/>
          <w:highlight w:val="none"/>
        </w:rPr>
        <w:t>在以后年度，确保年初做好资金计划，按照项目进度及时拨付资金，使资金使用效益最大化，减少不必要的浪费，节约成本。</w:t>
      </w:r>
    </w:p>
    <w:p>
      <w:pPr>
        <w:pStyle w:val="23"/>
        <w:pageBreakBefore w:val="0"/>
        <w:widowControl w:val="0"/>
        <w:numPr>
          <w:ilvl w:val="0"/>
          <w:numId w:val="2"/>
        </w:numPr>
        <w:kinsoku/>
        <w:wordWrap/>
        <w:overflowPunct/>
        <w:topLinePunct w:val="0"/>
        <w:autoSpaceDE/>
        <w:autoSpaceDN/>
        <w:bidi w:val="0"/>
        <w:snapToGrid w:val="0"/>
        <w:spacing w:before="0" w:after="0" w:line="560" w:lineRule="exact"/>
        <w:ind w:left="0" w:firstLine="643" w:firstLineChars="200"/>
        <w:textAlignment w:val="auto"/>
        <w:rPr>
          <w:rFonts w:ascii="黑体" w:hAnsi="黑体"/>
          <w:color w:val="auto"/>
          <w:highlight w:val="none"/>
        </w:rPr>
      </w:pPr>
      <w:r>
        <w:rPr>
          <w:rFonts w:hint="eastAsia" w:ascii="黑体" w:hAnsi="黑体"/>
          <w:color w:val="auto"/>
          <w:highlight w:val="none"/>
        </w:rPr>
        <w:t>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4" w:firstLineChars="200"/>
        <w:jc w:val="left"/>
        <w:textAlignment w:val="auto"/>
        <w:outlineLvl w:val="9"/>
        <w:rPr>
          <w:rFonts w:hint="default" w:ascii="仿宋_GB2312" w:hAnsi="仿宋_GB2312" w:eastAsia="仿宋_GB2312" w:cs="仿宋_GB2312"/>
          <w:bCs/>
          <w:color w:val="auto"/>
          <w:spacing w:val="-4"/>
          <w:sz w:val="32"/>
          <w:szCs w:val="32"/>
          <w:highlight w:val="none"/>
          <w:lang w:val="en-US" w:eastAsia="zh-CN"/>
        </w:rPr>
      </w:pPr>
      <w:r>
        <w:rPr>
          <w:rFonts w:hint="eastAsia" w:ascii="仿宋_GB2312" w:hAnsi="仿宋_GB2312" w:eastAsia="仿宋_GB2312" w:cs="仿宋_GB2312"/>
          <w:bCs/>
          <w:color w:val="auto"/>
          <w:spacing w:val="-4"/>
          <w:sz w:val="32"/>
          <w:szCs w:val="32"/>
          <w:highlight w:val="none"/>
          <w:lang w:eastAsia="zh-CN"/>
        </w:rPr>
        <w:t>无</w:t>
      </w:r>
      <w:r>
        <w:rPr>
          <w:rFonts w:hint="eastAsia" w:ascii="仿宋_GB2312" w:hAnsi="仿宋_GB2312" w:eastAsia="仿宋_GB2312" w:cs="仿宋_GB2312"/>
          <w:bCs/>
          <w:color w:val="auto"/>
          <w:spacing w:val="-4"/>
          <w:sz w:val="32"/>
          <w:szCs w:val="32"/>
          <w:highlight w:val="none"/>
          <w:lang w:val="en-US" w:eastAsia="zh-CN"/>
        </w:rPr>
        <w:t>其他需要说明问题。</w:t>
      </w:r>
    </w:p>
    <w:p>
      <w:pPr>
        <w:pageBreakBefore w:val="0"/>
        <w:widowControl w:val="0"/>
        <w:kinsoku/>
        <w:wordWrap/>
        <w:overflowPunct/>
        <w:topLinePunct w:val="0"/>
        <w:autoSpaceDE/>
        <w:autoSpaceDN/>
        <w:bidi w:val="0"/>
        <w:snapToGrid w:val="0"/>
        <w:spacing w:line="560" w:lineRule="exact"/>
        <w:ind w:firstLine="640" w:firstLineChars="200"/>
        <w:textAlignment w:val="auto"/>
        <w:rPr>
          <w:rFonts w:ascii="仿宋_GB2312" w:hAnsi="仿宋" w:eastAsia="仿宋_GB2312" w:cs="宋体"/>
          <w:color w:val="auto"/>
          <w:sz w:val="32"/>
          <w:szCs w:val="32"/>
          <w:highlight w:val="none"/>
          <w:lang w:bidi="ar"/>
        </w:rPr>
      </w:pPr>
    </w:p>
    <w:p>
      <w:pPr>
        <w:pStyle w:val="2"/>
        <w:pageBreakBefore w:val="0"/>
        <w:widowControl w:val="0"/>
        <w:kinsoku/>
        <w:wordWrap/>
        <w:overflowPunct/>
        <w:topLinePunct w:val="0"/>
        <w:autoSpaceDE/>
        <w:autoSpaceDN/>
        <w:bidi w:val="0"/>
        <w:snapToGrid w:val="0"/>
        <w:spacing w:before="0" w:after="0" w:line="560" w:lineRule="exact"/>
        <w:ind w:firstLine="562" w:firstLineChars="200"/>
        <w:textAlignment w:val="auto"/>
        <w:rPr>
          <w:color w:val="auto"/>
          <w:highlight w:val="none"/>
        </w:rPr>
      </w:pPr>
    </w:p>
    <w:p>
      <w:pPr>
        <w:pageBreakBefore w:val="0"/>
        <w:widowControl w:val="0"/>
        <w:kinsoku/>
        <w:wordWrap/>
        <w:overflowPunct/>
        <w:topLinePunct w:val="0"/>
        <w:autoSpaceDE/>
        <w:autoSpaceDN/>
        <w:bidi w:val="0"/>
        <w:snapToGrid w:val="0"/>
        <w:spacing w:line="560" w:lineRule="exact"/>
        <w:ind w:firstLine="420" w:firstLineChars="200"/>
        <w:textAlignment w:val="auto"/>
        <w:rPr>
          <w:color w:val="auto"/>
          <w:highlight w:val="none"/>
        </w:rPr>
      </w:pPr>
    </w:p>
    <w:p>
      <w:pPr>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附件1：喀什地区</w:t>
      </w:r>
      <w:r>
        <w:rPr>
          <w:rFonts w:hint="eastAsia" w:ascii="仿宋_GB2312" w:hAnsi="仿宋" w:eastAsia="仿宋_GB2312" w:cs="宋体"/>
          <w:color w:val="auto"/>
          <w:sz w:val="32"/>
          <w:szCs w:val="32"/>
          <w:highlight w:val="none"/>
          <w:lang w:eastAsia="zh-CN" w:bidi="ar"/>
        </w:rPr>
        <w:t>叶城县夏合甫乡安居富民房建设</w:t>
      </w:r>
      <w:r>
        <w:rPr>
          <w:rFonts w:hint="eastAsia" w:ascii="仿宋_GB2312" w:hAnsi="仿宋" w:eastAsia="仿宋_GB2312" w:cs="宋体"/>
          <w:color w:val="auto"/>
          <w:sz w:val="32"/>
          <w:szCs w:val="32"/>
          <w:highlight w:val="none"/>
          <w:lang w:bidi="ar"/>
        </w:rPr>
        <w:t>项目支出绩效目标申报表</w:t>
      </w:r>
    </w:p>
    <w:p>
      <w:pPr>
        <w:pageBreakBefore w:val="0"/>
        <w:widowControl w:val="0"/>
        <w:kinsoku/>
        <w:wordWrap/>
        <w:overflowPunct/>
        <w:topLinePunct w:val="0"/>
        <w:autoSpaceDE/>
        <w:autoSpaceDN/>
        <w:bidi w:val="0"/>
        <w:snapToGrid w:val="0"/>
        <w:spacing w:line="560" w:lineRule="exact"/>
        <w:ind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w:t>
      </w:r>
      <w:r>
        <w:rPr>
          <w:rFonts w:hint="eastAsia" w:ascii="仿宋_GB2312" w:hAnsi="仿宋" w:eastAsia="仿宋_GB2312" w:cs="宋体"/>
          <w:color w:val="auto"/>
          <w:sz w:val="32"/>
          <w:szCs w:val="32"/>
          <w:highlight w:val="none"/>
          <w:lang w:val="en-US" w:eastAsia="zh-CN" w:bidi="ar"/>
        </w:rPr>
        <w:t>2</w:t>
      </w:r>
      <w:r>
        <w:rPr>
          <w:rFonts w:hint="eastAsia" w:ascii="仿宋_GB2312" w:hAnsi="仿宋" w:eastAsia="仿宋_GB2312" w:cs="宋体"/>
          <w:color w:val="auto"/>
          <w:sz w:val="32"/>
          <w:szCs w:val="32"/>
          <w:highlight w:val="none"/>
          <w:lang w:bidi="ar"/>
        </w:rPr>
        <w:t>：喀什地区</w:t>
      </w:r>
      <w:r>
        <w:rPr>
          <w:rFonts w:hint="eastAsia" w:ascii="仿宋_GB2312" w:hAnsi="仿宋" w:eastAsia="仿宋_GB2312" w:cs="宋体"/>
          <w:color w:val="auto"/>
          <w:sz w:val="32"/>
          <w:szCs w:val="32"/>
          <w:highlight w:val="none"/>
          <w:lang w:eastAsia="zh-CN" w:bidi="ar"/>
        </w:rPr>
        <w:t>叶城县夏合甫乡安居富民房建设</w:t>
      </w:r>
      <w:r>
        <w:rPr>
          <w:rFonts w:hint="eastAsia" w:ascii="仿宋_GB2312" w:hAnsi="仿宋" w:eastAsia="仿宋_GB2312" w:cs="宋体"/>
          <w:color w:val="auto"/>
          <w:sz w:val="32"/>
          <w:szCs w:val="32"/>
          <w:highlight w:val="none"/>
          <w:lang w:bidi="ar"/>
        </w:rPr>
        <w:t>项目支出绩效自评表</w:t>
      </w:r>
    </w:p>
    <w:p>
      <w:pPr>
        <w:pageBreakBefore w:val="0"/>
        <w:widowControl w:val="0"/>
        <w:kinsoku/>
        <w:wordWrap/>
        <w:overflowPunct/>
        <w:topLinePunct w:val="0"/>
        <w:autoSpaceDE/>
        <w:autoSpaceDN/>
        <w:bidi w:val="0"/>
        <w:snapToGrid w:val="0"/>
        <w:spacing w:line="560" w:lineRule="exact"/>
        <w:ind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w:t>
      </w:r>
      <w:r>
        <w:rPr>
          <w:rFonts w:hint="eastAsia" w:ascii="仿宋_GB2312" w:hAnsi="仿宋" w:eastAsia="仿宋_GB2312" w:cs="宋体"/>
          <w:color w:val="auto"/>
          <w:sz w:val="32"/>
          <w:szCs w:val="32"/>
          <w:highlight w:val="none"/>
          <w:lang w:val="en-US" w:eastAsia="zh-CN" w:bidi="ar"/>
        </w:rPr>
        <w:t>3</w:t>
      </w:r>
      <w:r>
        <w:rPr>
          <w:rFonts w:hint="eastAsia" w:ascii="仿宋_GB2312" w:hAnsi="仿宋" w:eastAsia="仿宋_GB2312" w:cs="宋体"/>
          <w:color w:val="auto"/>
          <w:sz w:val="32"/>
          <w:szCs w:val="32"/>
          <w:highlight w:val="none"/>
          <w:lang w:bidi="ar"/>
        </w:rPr>
        <w:t>：喀什地区</w:t>
      </w:r>
      <w:r>
        <w:rPr>
          <w:rFonts w:hint="eastAsia" w:ascii="仿宋_GB2312" w:hAnsi="仿宋" w:eastAsia="仿宋_GB2312" w:cs="宋体"/>
          <w:color w:val="auto"/>
          <w:sz w:val="32"/>
          <w:szCs w:val="32"/>
          <w:highlight w:val="none"/>
          <w:lang w:eastAsia="zh-CN" w:bidi="ar"/>
        </w:rPr>
        <w:t>叶城县夏合甫乡安居富民房建设</w:t>
      </w:r>
      <w:r>
        <w:rPr>
          <w:rFonts w:hint="eastAsia" w:ascii="仿宋_GB2312" w:hAnsi="仿宋" w:eastAsia="仿宋_GB2312" w:cs="宋体"/>
          <w:color w:val="auto"/>
          <w:sz w:val="32"/>
          <w:szCs w:val="32"/>
          <w:highlight w:val="none"/>
          <w:lang w:bidi="ar"/>
        </w:rPr>
        <w:t>项目支出绩效评价指标体系</w:t>
      </w:r>
    </w:p>
    <w:p>
      <w:pPr>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CB932666"/>
    <w:multiLevelType w:val="singleLevel"/>
    <w:tmpl w:val="CB932666"/>
    <w:lvl w:ilvl="0" w:tentative="0">
      <w:start w:val="1"/>
      <w:numFmt w:val="decimal"/>
      <w:lvlText w:val="%1."/>
      <w:lvlJc w:val="left"/>
      <w:pPr>
        <w:tabs>
          <w:tab w:val="left" w:pos="312"/>
        </w:tabs>
      </w:pPr>
    </w:lvl>
  </w:abstractNum>
  <w:abstractNum w:abstractNumId="2">
    <w:nsid w:val="F5D7B307"/>
    <w:multiLevelType w:val="singleLevel"/>
    <w:tmpl w:val="F5D7B307"/>
    <w:lvl w:ilvl="0" w:tentative="0">
      <w:start w:val="1"/>
      <w:numFmt w:val="decimal"/>
      <w:suff w:val="nothing"/>
      <w:lvlText w:val="（%1）"/>
      <w:lvlJc w:val="left"/>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7">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8"/>
  </w:num>
  <w:num w:numId="3">
    <w:abstractNumId w:val="6"/>
  </w:num>
  <w:num w:numId="4">
    <w:abstractNumId w:val="5"/>
  </w:num>
  <w:num w:numId="5">
    <w:abstractNumId w:val="1"/>
  </w:num>
  <w:num w:numId="6">
    <w:abstractNumId w:val="3"/>
  </w:num>
  <w:num w:numId="7">
    <w:abstractNumId w:val="7"/>
  </w:num>
  <w:num w:numId="8">
    <w:abstractNumId w:val="0"/>
  </w:num>
  <w:num w:numId="9">
    <w:abstractNumId w:val="2"/>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776FC"/>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4E75FA9"/>
    <w:rsid w:val="05B810CD"/>
    <w:rsid w:val="06495F4D"/>
    <w:rsid w:val="07AE4845"/>
    <w:rsid w:val="0C3A1A9F"/>
    <w:rsid w:val="0DCC4E21"/>
    <w:rsid w:val="148755A7"/>
    <w:rsid w:val="16F0743B"/>
    <w:rsid w:val="175A622A"/>
    <w:rsid w:val="17955A64"/>
    <w:rsid w:val="18413D9F"/>
    <w:rsid w:val="18D61A66"/>
    <w:rsid w:val="194867BA"/>
    <w:rsid w:val="1BF428D9"/>
    <w:rsid w:val="1F9367C1"/>
    <w:rsid w:val="1F9A7C42"/>
    <w:rsid w:val="217F35A7"/>
    <w:rsid w:val="24E73B1F"/>
    <w:rsid w:val="25207AC5"/>
    <w:rsid w:val="254738D3"/>
    <w:rsid w:val="26074D8A"/>
    <w:rsid w:val="26F03C06"/>
    <w:rsid w:val="2A2B4946"/>
    <w:rsid w:val="2A547683"/>
    <w:rsid w:val="2CE67478"/>
    <w:rsid w:val="2EAC0562"/>
    <w:rsid w:val="2FE50CFA"/>
    <w:rsid w:val="2FFC53BE"/>
    <w:rsid w:val="306A4501"/>
    <w:rsid w:val="31C366C0"/>
    <w:rsid w:val="32B87B8D"/>
    <w:rsid w:val="33CA34B6"/>
    <w:rsid w:val="357220BE"/>
    <w:rsid w:val="35C67222"/>
    <w:rsid w:val="35FA2AE8"/>
    <w:rsid w:val="36B53486"/>
    <w:rsid w:val="36C67076"/>
    <w:rsid w:val="37830C44"/>
    <w:rsid w:val="3BC01B4C"/>
    <w:rsid w:val="3C42375F"/>
    <w:rsid w:val="3CE17612"/>
    <w:rsid w:val="3D0F3399"/>
    <w:rsid w:val="402C0729"/>
    <w:rsid w:val="4075118F"/>
    <w:rsid w:val="41C66499"/>
    <w:rsid w:val="42413E90"/>
    <w:rsid w:val="43C83FC0"/>
    <w:rsid w:val="46973581"/>
    <w:rsid w:val="46C16BC4"/>
    <w:rsid w:val="48E23289"/>
    <w:rsid w:val="4A2C3792"/>
    <w:rsid w:val="4B910B88"/>
    <w:rsid w:val="4BB452E9"/>
    <w:rsid w:val="4CA138AD"/>
    <w:rsid w:val="4EC015C1"/>
    <w:rsid w:val="4FE74953"/>
    <w:rsid w:val="509F44DE"/>
    <w:rsid w:val="519E61ED"/>
    <w:rsid w:val="51F7598E"/>
    <w:rsid w:val="53E962F1"/>
    <w:rsid w:val="540F1CF8"/>
    <w:rsid w:val="555C1BCB"/>
    <w:rsid w:val="5578055F"/>
    <w:rsid w:val="558B7EAE"/>
    <w:rsid w:val="55945462"/>
    <w:rsid w:val="56A57BAC"/>
    <w:rsid w:val="57964064"/>
    <w:rsid w:val="58636008"/>
    <w:rsid w:val="591C2139"/>
    <w:rsid w:val="5A781A20"/>
    <w:rsid w:val="5AA6723A"/>
    <w:rsid w:val="5B3304F9"/>
    <w:rsid w:val="5B661A4A"/>
    <w:rsid w:val="5E116FC2"/>
    <w:rsid w:val="5F67211F"/>
    <w:rsid w:val="601F45B5"/>
    <w:rsid w:val="60755136"/>
    <w:rsid w:val="61950E34"/>
    <w:rsid w:val="653F3ABF"/>
    <w:rsid w:val="667765BF"/>
    <w:rsid w:val="66790CA4"/>
    <w:rsid w:val="66AE31DB"/>
    <w:rsid w:val="66B3006E"/>
    <w:rsid w:val="66E767AC"/>
    <w:rsid w:val="68AC0EA3"/>
    <w:rsid w:val="6A037EF0"/>
    <w:rsid w:val="6D5B5C99"/>
    <w:rsid w:val="6F2F5F67"/>
    <w:rsid w:val="6FFC755D"/>
    <w:rsid w:val="701C13E6"/>
    <w:rsid w:val="72FC7BCC"/>
    <w:rsid w:val="731B6DAF"/>
    <w:rsid w:val="742F73C4"/>
    <w:rsid w:val="747468DD"/>
    <w:rsid w:val="74F93C84"/>
    <w:rsid w:val="761B5E49"/>
    <w:rsid w:val="77305D5C"/>
    <w:rsid w:val="7775238E"/>
    <w:rsid w:val="77B1073C"/>
    <w:rsid w:val="794B61F2"/>
    <w:rsid w:val="79AD0225"/>
    <w:rsid w:val="7A8638D9"/>
    <w:rsid w:val="7D473F8A"/>
    <w:rsid w:val="7EE411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customStyle="1"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0</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2024-01-15T08:44:25Z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214FB1280DEF4CF9A0387BAC4C40F2FE</vt:lpwstr>
  </property>
</Properties>
</file>