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喀什地区叶城县农村危房改造项目支出绩效评价报告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项目名称：农村危房改造项目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实施单位：叶城县恰其库木管理区</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评价部门：叶城县恰其库木管理区</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3"/>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r>
        <w:rPr>
          <w:rFonts w:hint="eastAsia"/>
        </w:rPr>
        <w:t>基本情况</w:t>
      </w:r>
    </w:p>
    <w:p>
      <w:pPr>
        <w:pStyle w:val="25"/>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0" w:name="_Toc26401549"/>
      <w:r>
        <w:rPr>
          <w:rFonts w:hint="eastAsia"/>
        </w:rPr>
        <w:t>项目概况</w:t>
      </w:r>
      <w:bookmarkEnd w:id="0"/>
    </w:p>
    <w:p>
      <w:pPr>
        <w:pStyle w:val="19"/>
        <w:pageBreakBefore w:val="0"/>
        <w:widowControl w:val="0"/>
        <w:numPr>
          <w:ilvl w:val="0"/>
          <w:numId w:val="3"/>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新财社【2018】257号、喀地财社【2018】142号文件精神，助力脱贫攻坚，提高恰其库木管理区乡农牧民的生产生活条件，夯实群众基础，让农民享受发展成果，进一步提升农民的安全感、幸福感和满意度。</w:t>
      </w:r>
    </w:p>
    <w:p>
      <w:pPr>
        <w:pStyle w:val="19"/>
        <w:pageBreakBefore w:val="0"/>
        <w:widowControl w:val="0"/>
        <w:numPr>
          <w:ilvl w:val="0"/>
          <w:numId w:val="3"/>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本项目的主管部门为叶城县安居办</w:t>
      </w:r>
      <w:r>
        <w:rPr>
          <w:rFonts w:ascii="仿宋_GB2312" w:hAnsi="仿宋" w:eastAsia="仿宋_GB2312" w:cs="宋体"/>
          <w:sz w:val="32"/>
          <w:szCs w:val="32"/>
        </w:rPr>
        <w:t>,</w:t>
      </w:r>
      <w:r>
        <w:rPr>
          <w:rFonts w:hint="eastAsia" w:ascii="仿宋_GB2312" w:hAnsi="仿宋" w:eastAsia="仿宋_GB2312" w:cs="宋体"/>
          <w:sz w:val="32"/>
          <w:szCs w:val="32"/>
        </w:rPr>
        <w:t>实施单位为叶城县恰其库木管理区，主要职责负责对补助的农户进行摸底统计，对符合要求的农户进行全面了解，及时对补助资金进行发放。监督项目进度，对项目完工情况及时验收。</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项目的主要内容为：本项目的主管部门为叶城县安居办</w:t>
      </w:r>
      <w:r>
        <w:rPr>
          <w:rFonts w:ascii="仿宋_GB2312" w:hAnsi="仿宋" w:eastAsia="仿宋_GB2312" w:cs="宋体"/>
          <w:sz w:val="32"/>
          <w:szCs w:val="32"/>
        </w:rPr>
        <w:t>,</w:t>
      </w:r>
      <w:r>
        <w:rPr>
          <w:rFonts w:hint="eastAsia" w:ascii="仿宋_GB2312" w:hAnsi="仿宋" w:eastAsia="仿宋_GB2312" w:cs="宋体"/>
          <w:sz w:val="32"/>
          <w:szCs w:val="32"/>
        </w:rPr>
        <w:t>实施单位为叶城县恰其库木管理区，该项目为改善恰其库木管理区乡农民的生产生活条件，让农民享受发展成果，进一步提升农民的安全感、幸福感和满意度，按照每户补助3.425万元，共补助110户的补助标准进行发放，确保补助资金及时足量的发放至农民手中。</w:t>
      </w:r>
    </w:p>
    <w:p>
      <w:pPr>
        <w:pageBreakBefore w:val="0"/>
        <w:widowControl w:val="0"/>
        <w:kinsoku/>
        <w:wordWrap/>
        <w:overflowPunct/>
        <w:topLinePunct w:val="0"/>
        <w:autoSpaceDE/>
        <w:autoSpaceDN/>
        <w:bidi w:val="0"/>
        <w:spacing w:line="560" w:lineRule="exact"/>
        <w:ind w:left="0" w:leftChars="0" w:firstLine="640" w:firstLineChars="200"/>
        <w:textAlignment w:val="auto"/>
      </w:pPr>
      <w:r>
        <w:rPr>
          <w:rFonts w:hint="eastAsia" w:ascii="仿宋_GB2312" w:hAnsi="仿宋" w:eastAsia="仿宋_GB2312" w:cs="宋体"/>
          <w:sz w:val="32"/>
          <w:szCs w:val="32"/>
        </w:rPr>
        <w:t>单位职能：叶城县恰其库木管理区为项目实施单位，负责全乡党政行政管理事务，负责全</w:t>
      </w:r>
      <w:r>
        <w:rPr>
          <w:rFonts w:hint="eastAsia" w:ascii="仿宋_GB2312" w:hAnsi="仿宋" w:eastAsia="仿宋_GB2312" w:cs="宋体"/>
          <w:sz w:val="32"/>
          <w:szCs w:val="32"/>
          <w:lang w:val="en-US" w:eastAsia="zh-CN"/>
        </w:rPr>
        <w:t>片区</w:t>
      </w:r>
      <w:r>
        <w:rPr>
          <w:rFonts w:hint="eastAsia" w:ascii="仿宋_GB2312" w:hAnsi="仿宋" w:eastAsia="仿宋_GB2312" w:cs="宋体"/>
          <w:sz w:val="32"/>
          <w:szCs w:val="32"/>
        </w:rPr>
        <w:t>经济社会发展、社会事务管理、社会安全、基层组织建设等全面工作。以全面建设社会主义新农村为根本出发点，不断深化美丽乡、村建设，脱贫攻坚为总目标，不断铸牢全乡经济社会发展基础，为全乡各族群众提供社会服务。</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实施情况：本项目属入户补助类项目，根据新财社【2018】257号、喀地财社【2018】142号文件精神，严格落实农村危房改造范围及审批手续，按照个人申请、村级评议、乡级审核、县级批准、地区备案的审批流程并结合我乡农村危房改造工作实际，最终按照每户补助3.425万元，共补助110户的补助标准进行发放。项目前期由乡里贫困户进行申请，乡</w:t>
      </w:r>
      <w:r>
        <w:rPr>
          <w:rFonts w:hint="eastAsia" w:ascii="仿宋_GB2312" w:hAnsi="仿宋" w:eastAsia="仿宋_GB2312" w:cs="宋体"/>
          <w:sz w:val="32"/>
          <w:szCs w:val="32"/>
          <w:lang w:eastAsia="zh-CN"/>
        </w:rPr>
        <w:t>政</w:t>
      </w:r>
      <w:r>
        <w:rPr>
          <w:rFonts w:hint="eastAsia" w:ascii="仿宋_GB2312" w:hAnsi="仿宋" w:eastAsia="仿宋_GB2312" w:cs="宋体"/>
          <w:sz w:val="32"/>
          <w:szCs w:val="32"/>
        </w:rPr>
        <w:t>府记性评议审核，审核通过后，由乡</w:t>
      </w:r>
      <w:r>
        <w:rPr>
          <w:rFonts w:hint="eastAsia" w:ascii="仿宋_GB2312" w:hAnsi="仿宋" w:eastAsia="仿宋_GB2312" w:cs="宋体"/>
          <w:sz w:val="32"/>
          <w:szCs w:val="32"/>
          <w:lang w:eastAsia="zh-CN"/>
        </w:rPr>
        <w:t>政府</w:t>
      </w:r>
      <w:r>
        <w:rPr>
          <w:rFonts w:hint="eastAsia" w:ascii="仿宋_GB2312" w:hAnsi="仿宋" w:eastAsia="仿宋_GB2312" w:cs="宋体"/>
          <w:sz w:val="32"/>
          <w:szCs w:val="32"/>
        </w:rPr>
        <w:t>统计发放人员清单，报由县级部门审核批准，项目经由批准后，由乡镇委派会计与县财政局进行对接，进行项目资金审批拨付手续，审批结束后，由乡人民政府制定发放方案，统计需发放人员清单以及银行卡号，及时打卡发放，严格把握全乡农村危房改造的审核把关，按照公开、公平、公正的原则，严格履行群众申请、民主评议、乡政府审核、上报审批的工作流程，切实解决农村贫困家庭的住房安全问题，坚定贫困群众脱贫致富的决心和信心。</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color w:val="FF0000"/>
          <w:sz w:val="32"/>
          <w:szCs w:val="32"/>
        </w:rPr>
      </w:pPr>
      <w:r>
        <w:rPr>
          <w:rFonts w:hint="eastAsia" w:ascii="仿宋_GB2312" w:hAnsi="仿宋_GB2312" w:eastAsia="仿宋_GB2312" w:cs="仿宋_GB2312"/>
          <w:bCs/>
          <w:sz w:val="32"/>
          <w:szCs w:val="32"/>
        </w:rPr>
        <w:t>截至2019年度项目自评评价时，该项目年初设定预期目标已全部完成。</w:t>
      </w:r>
    </w:p>
    <w:p>
      <w:pPr>
        <w:pageBreakBefore w:val="0"/>
        <w:widowControl w:val="0"/>
        <w:tabs>
          <w:tab w:val="left" w:pos="7770"/>
        </w:tabs>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3.项目负责人为常务副乡长刘勇，主要职责为负责农村危房改造项目相关手续的</w:t>
      </w:r>
      <w:r>
        <w:rPr>
          <w:rFonts w:ascii="仿宋_GB2312" w:hAnsi="仿宋" w:eastAsia="仿宋_GB2312" w:cs="宋体"/>
          <w:sz w:val="32"/>
          <w:szCs w:val="32"/>
        </w:rPr>
        <w:t>审核</w:t>
      </w:r>
      <w:r>
        <w:rPr>
          <w:rFonts w:hint="eastAsia" w:ascii="仿宋_GB2312" w:hAnsi="仿宋" w:eastAsia="仿宋_GB2312" w:cs="宋体"/>
          <w:sz w:val="32"/>
          <w:szCs w:val="32"/>
        </w:rPr>
        <w:t>，监管恰其库木管理区乡危房改造资金支付及项目实施情况，确保“资金跟着项目走，项目跟着规划走”的项目管理机制平稳运行，发挥项目资金最大使用效益。</w:t>
      </w:r>
    </w:p>
    <w:p>
      <w:pPr>
        <w:pStyle w:val="25"/>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hint="eastAsia" w:ascii="仿宋_GB2312" w:hAnsi="仿宋_GB2312" w:cs="仿宋_GB2312"/>
          <w:bCs/>
          <w:sz w:val="32"/>
          <w:szCs w:val="32"/>
        </w:rPr>
        <w:t>376.79</w:t>
      </w:r>
      <w:r>
        <w:rPr>
          <w:rFonts w:hint="eastAsia" w:ascii="仿宋_GB2312" w:hAnsi="仿宋" w:eastAsia="仿宋_GB2312" w:cs="宋体"/>
          <w:sz w:val="32"/>
          <w:szCs w:val="32"/>
        </w:rPr>
        <w:t>万元，资金来源于涉农整合资金</w:t>
      </w:r>
      <w:r>
        <w:rPr>
          <w:rFonts w:hint="eastAsia" w:ascii="仿宋_GB2312" w:hAnsi="仿宋_GB2312" w:cs="仿宋_GB2312"/>
          <w:bCs/>
          <w:sz w:val="32"/>
          <w:szCs w:val="32"/>
        </w:rPr>
        <w:t>376.79</w:t>
      </w:r>
      <w:r>
        <w:rPr>
          <w:rFonts w:hint="eastAsia" w:ascii="仿宋_GB2312" w:hAnsi="仿宋" w:eastAsia="仿宋_GB2312" w:cs="宋体"/>
          <w:sz w:val="32"/>
          <w:szCs w:val="32"/>
        </w:rPr>
        <w:t>万元。恰其库木管理区乡政府制定了《叶城县恰其库木管理区乡安居富民补助资金管理办法》并按照新财社【2018】257号、喀地财社【2018】142号文件精神组织实施。叶城县恰其库木管理区制定了农村危房改造项目资金管理办法，资金完全按照新财建</w:t>
      </w:r>
      <w:r>
        <w:rPr>
          <w:rFonts w:hint="eastAsia" w:ascii="仿宋_GB2312" w:hAnsi="仿宋_GB2312" w:eastAsia="仿宋_GB2312" w:cs="仿宋_GB2312"/>
          <w:sz w:val="32"/>
          <w:szCs w:val="32"/>
        </w:rPr>
        <w:t>新财社［2018］257号、喀地财社［2018］142号</w:t>
      </w:r>
      <w:r>
        <w:rPr>
          <w:rFonts w:hint="eastAsia" w:ascii="仿宋_GB2312" w:hAnsi="仿宋" w:eastAsia="仿宋_GB2312" w:cs="宋体"/>
          <w:sz w:val="32"/>
          <w:szCs w:val="32"/>
        </w:rPr>
        <w:t>文件及实施方案进行使用。</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１.项目资金到位情况。</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根据新财社</w:t>
      </w:r>
      <w:r>
        <w:rPr>
          <w:rFonts w:hint="eastAsia" w:ascii="仿宋_GB2312" w:hAnsi="仿宋_GB2312" w:cs="仿宋_GB2312"/>
          <w:bCs/>
          <w:sz w:val="32"/>
          <w:szCs w:val="32"/>
        </w:rPr>
        <w:t>【</w:t>
      </w:r>
      <w:r>
        <w:rPr>
          <w:rFonts w:hint="eastAsia" w:ascii="仿宋_GB2312" w:hAnsi="仿宋_GB2312" w:eastAsia="仿宋_GB2312" w:cs="仿宋_GB2312"/>
          <w:bCs/>
          <w:sz w:val="32"/>
          <w:szCs w:val="32"/>
        </w:rPr>
        <w:t>2018</w:t>
      </w:r>
      <w:r>
        <w:rPr>
          <w:rFonts w:hint="eastAsia" w:ascii="仿宋_GB2312" w:hAnsi="仿宋_GB2312" w:cs="仿宋_GB2312"/>
          <w:bCs/>
          <w:sz w:val="32"/>
          <w:szCs w:val="32"/>
        </w:rPr>
        <w:t>】257</w:t>
      </w:r>
      <w:r>
        <w:rPr>
          <w:rFonts w:hint="eastAsia" w:ascii="仿宋_GB2312" w:hAnsi="仿宋_GB2312" w:eastAsia="仿宋_GB2312" w:cs="仿宋_GB2312"/>
          <w:bCs/>
          <w:sz w:val="32"/>
          <w:szCs w:val="32"/>
        </w:rPr>
        <w:t>号、喀地财</w:t>
      </w:r>
      <w:r>
        <w:rPr>
          <w:rFonts w:hint="eastAsia" w:ascii="仿宋_GB2312" w:hAnsi="仿宋_GB2312" w:cs="仿宋_GB2312"/>
          <w:bCs/>
          <w:sz w:val="32"/>
          <w:szCs w:val="32"/>
        </w:rPr>
        <w:t>社【</w:t>
      </w:r>
      <w:r>
        <w:rPr>
          <w:rFonts w:hint="eastAsia" w:ascii="仿宋_GB2312" w:hAnsi="仿宋_GB2312" w:eastAsia="仿宋_GB2312" w:cs="仿宋_GB2312"/>
          <w:bCs/>
          <w:sz w:val="32"/>
          <w:szCs w:val="32"/>
        </w:rPr>
        <w:t>2018</w:t>
      </w:r>
      <w:r>
        <w:rPr>
          <w:rFonts w:hint="eastAsia" w:ascii="仿宋_GB2312" w:hAnsi="仿宋_GB2312" w:cs="仿宋_GB2312"/>
          <w:bCs/>
          <w:sz w:val="32"/>
          <w:szCs w:val="32"/>
        </w:rPr>
        <w:t>】142</w:t>
      </w:r>
      <w:r>
        <w:rPr>
          <w:rFonts w:hint="eastAsia" w:ascii="仿宋_GB2312" w:hAnsi="仿宋_GB2312" w:eastAsia="仿宋_GB2312" w:cs="仿宋_GB2312"/>
          <w:bCs/>
          <w:sz w:val="32"/>
          <w:szCs w:val="32"/>
        </w:rPr>
        <w:t>号文件要求，本项目资金</w:t>
      </w:r>
      <w:r>
        <w:rPr>
          <w:rFonts w:hint="eastAsia" w:ascii="仿宋_GB2312" w:hAnsi="仿宋_GB2312" w:cs="仿宋_GB2312"/>
          <w:bCs/>
          <w:sz w:val="32"/>
          <w:szCs w:val="32"/>
        </w:rPr>
        <w:t>376.79</w:t>
      </w:r>
      <w:r>
        <w:rPr>
          <w:rFonts w:hint="eastAsia" w:ascii="仿宋_GB2312" w:hAnsi="仿宋_GB2312" w:eastAsia="仿宋_GB2312" w:cs="仿宋_GB2312"/>
          <w:bCs/>
          <w:sz w:val="32"/>
          <w:szCs w:val="32"/>
        </w:rPr>
        <w:t>万元，其中财政资金</w:t>
      </w:r>
      <w:r>
        <w:rPr>
          <w:rFonts w:hint="eastAsia" w:ascii="仿宋_GB2312" w:hAnsi="仿宋_GB2312" w:cs="仿宋_GB2312"/>
          <w:bCs/>
          <w:sz w:val="32"/>
          <w:szCs w:val="32"/>
        </w:rPr>
        <w:t>376.79</w:t>
      </w:r>
      <w:r>
        <w:rPr>
          <w:rFonts w:hint="eastAsia" w:ascii="仿宋_GB2312" w:hAnsi="仿宋_GB2312" w:eastAsia="仿宋_GB2312" w:cs="仿宋_GB2312"/>
          <w:bCs/>
          <w:sz w:val="32"/>
          <w:szCs w:val="32"/>
        </w:rPr>
        <w:t>万元，其他资金0万元，资金到位</w:t>
      </w:r>
      <w:r>
        <w:rPr>
          <w:rFonts w:hint="eastAsia" w:ascii="仿宋_GB2312" w:hAnsi="仿宋_GB2312" w:cs="仿宋_GB2312"/>
          <w:bCs/>
          <w:sz w:val="32"/>
          <w:szCs w:val="32"/>
        </w:rPr>
        <w:t>376.79</w:t>
      </w:r>
      <w:r>
        <w:rPr>
          <w:rFonts w:hint="eastAsia" w:ascii="仿宋_GB2312" w:hAnsi="仿宋_GB2312" w:eastAsia="仿宋_GB2312" w:cs="仿宋_GB2312"/>
          <w:bCs/>
          <w:sz w:val="32"/>
          <w:szCs w:val="32"/>
        </w:rPr>
        <w:t>万元；资金到位率100%。</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pPr>
      <w:r>
        <w:rPr>
          <w:rFonts w:hint="eastAsia" w:ascii="仿宋_GB2312" w:hAnsi="仿宋_GB2312" w:eastAsia="仿宋_GB2312" w:cs="仿宋_GB2312"/>
          <w:bCs/>
          <w:sz w:val="32"/>
          <w:szCs w:val="32"/>
        </w:rPr>
        <w:t>　２.项目资金执行情况。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根据新财社【2018】257号、喀地财社【2018】142号文件下达恰其库木管理区乡安居富民补助项目资金，本项目总资金</w:t>
      </w:r>
      <w:r>
        <w:rPr>
          <w:rFonts w:hint="eastAsia" w:ascii="仿宋_GB2312" w:hAnsi="仿宋_GB2312" w:cs="仿宋_GB2312"/>
          <w:bCs/>
          <w:sz w:val="32"/>
          <w:szCs w:val="32"/>
        </w:rPr>
        <w:t>376.79</w:t>
      </w:r>
      <w:r>
        <w:rPr>
          <w:rFonts w:hint="eastAsia" w:ascii="仿宋_GB2312" w:hAnsi="仿宋_GB2312" w:eastAsia="仿宋_GB2312" w:cs="仿宋_GB2312"/>
          <w:bCs/>
          <w:sz w:val="32"/>
          <w:szCs w:val="32"/>
        </w:rPr>
        <w:t>万元，实际支付资金</w:t>
      </w:r>
      <w:r>
        <w:rPr>
          <w:rFonts w:hint="eastAsia" w:ascii="仿宋_GB2312" w:hAnsi="仿宋_GB2312" w:cs="仿宋_GB2312"/>
          <w:bCs/>
          <w:sz w:val="32"/>
          <w:szCs w:val="32"/>
        </w:rPr>
        <w:t>376.79</w:t>
      </w:r>
      <w:r>
        <w:rPr>
          <w:rFonts w:hint="eastAsia" w:ascii="仿宋_GB2312" w:hAnsi="仿宋_GB2312" w:eastAsia="仿宋_GB2312" w:cs="仿宋_GB2312"/>
          <w:bCs/>
          <w:sz w:val="32"/>
          <w:szCs w:val="32"/>
        </w:rPr>
        <w:t>万元，预算执行率100%。项目资金主要用于恰其库木管理区乡110户，</w:t>
      </w:r>
      <w:r>
        <w:rPr>
          <w:rFonts w:hint="eastAsia" w:ascii="仿宋_GB2312" w:hAnsi="仿宋" w:eastAsia="仿宋_GB2312" w:cs="宋体"/>
          <w:sz w:val="32"/>
          <w:szCs w:val="32"/>
        </w:rPr>
        <w:t>每户补助3.425万元</w:t>
      </w:r>
      <w:r>
        <w:rPr>
          <w:rFonts w:hint="eastAsia" w:ascii="仿宋_GB2312" w:hAnsi="仿宋_GB2312" w:eastAsia="仿宋_GB2312" w:cs="仿宋_GB2312"/>
          <w:bCs/>
          <w:sz w:val="32"/>
          <w:szCs w:val="32"/>
        </w:rPr>
        <w:t>的安居房建设费用，结余0万元。</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_GB2312" w:eastAsia="仿宋_GB2312" w:cs="仿宋_GB2312"/>
          <w:bCs/>
          <w:sz w:val="32"/>
          <w:szCs w:val="32"/>
        </w:rPr>
        <w:t>根据中央、自治区和喀什地区安居富民项目资金管理办法的要求，恰其库木管理区乡政府根据工作实际制订了恰其库木管理区乡农村危房改造项目资金管理办法，严格按照该项目资金规定的项目条件和范围要求拨付资金。</w:t>
      </w:r>
    </w:p>
    <w:p>
      <w:pPr>
        <w:pStyle w:val="25"/>
        <w:pageBreakBefore w:val="0"/>
        <w:widowControl w:val="0"/>
        <w:kinsoku/>
        <w:wordWrap/>
        <w:overflowPunct/>
        <w:topLinePunct w:val="0"/>
        <w:autoSpaceDE/>
        <w:autoSpaceDN/>
        <w:bidi w:val="0"/>
        <w:spacing w:before="0" w:after="0" w:line="560" w:lineRule="exact"/>
        <w:ind w:left="0" w:leftChars="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总体目标为：完成110户（每户补助3.425万元）的建房任务，使得110户农户住房安全有保障，进一步优化农民的生活环境，提高生活质量。</w:t>
      </w:r>
    </w:p>
    <w:p>
      <w:pPr>
        <w:pStyle w:val="23"/>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bookmarkStart w:id="3" w:name="_Toc26401552"/>
      <w:r>
        <w:rPr>
          <w:rFonts w:hint="eastAsia"/>
        </w:rPr>
        <w:t>评价工作简述</w:t>
      </w:r>
      <w:bookmarkEnd w:id="3"/>
    </w:p>
    <w:p>
      <w:pPr>
        <w:pStyle w:val="25"/>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pPr>
      <w:bookmarkStart w:id="4" w:name="_Toc26401553"/>
      <w:bookmarkStart w:id="5" w:name="_Toc26401554"/>
      <w:r>
        <w:rPr>
          <w:rFonts w:hint="eastAsia"/>
        </w:rPr>
        <w:t>评价目的</w:t>
      </w:r>
      <w:bookmarkEnd w:id="4"/>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旨在评价农村危房改造项目实施前期、过程及效果，评价财政预算资金使用的效率及效益。</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本次评价从农村危房改造项目产生的效果角度出发,力求从绩效的角度发现2019年度农村危房改造项目项目中取得的成绩和产生的问题,优化财政支出管理改革,为下一步实施绩效预算奠定基础。</w:t>
      </w:r>
    </w:p>
    <w:p>
      <w:pPr>
        <w:pageBreakBefore w:val="0"/>
        <w:widowControl w:val="0"/>
        <w:numPr>
          <w:ilvl w:val="0"/>
          <w:numId w:val="5"/>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通过评价,了解2019年度农村危房改造项目，项目为恰其库木管理区乡农民发放补助，由农民自行组织实施，按照项目工程进度进行分批次拨款。</w:t>
      </w:r>
    </w:p>
    <w:p>
      <w:pPr>
        <w:pageBreakBefore w:val="0"/>
        <w:widowControl w:val="0"/>
        <w:numPr>
          <w:ilvl w:val="0"/>
          <w:numId w:val="5"/>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通过评价,了解2019年度农村危房改造项目农牧民自行实施改善住房环境,完成情况优秀，整体绩效状况报送及时完善；</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3.通过评价,发掘2019年度农村危房改造项目所产生的现实意义和实际价值:此项目有效改善了农牧民生活条件，提升了农牧民幸福感、满意度，夯实了群众基础，极大的改善了农牧民的住房安全问题。</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4.通过评价,从绩效的角度发现该项目在决策、实施和管理过程中存在的问题,寻求解决方案,为进一步深化项目管理工作提供依据,加大住房保障力度，逐步改善困难群众的住房环境，确保住有所居。</w:t>
      </w:r>
    </w:p>
    <w:p>
      <w:pPr>
        <w:pStyle w:val="25"/>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pPr>
      <w:r>
        <w:rPr>
          <w:rFonts w:hint="eastAsia"/>
        </w:rPr>
        <w:t>本次绩效评价的对象及范围</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农村危房改造</w:t>
      </w:r>
      <w:r>
        <w:rPr>
          <w:rFonts w:ascii="仿宋_GB2312" w:hAnsi="仿宋" w:eastAsia="仿宋_GB2312" w:cs="宋体"/>
          <w:sz w:val="32"/>
          <w:szCs w:val="32"/>
        </w:rPr>
        <w:t>项目资金，</w:t>
      </w:r>
      <w:r>
        <w:rPr>
          <w:rFonts w:hint="eastAsia" w:ascii="仿宋_GB2312" w:hAnsi="仿宋" w:eastAsia="仿宋_GB2312" w:cs="宋体"/>
          <w:sz w:val="32"/>
          <w:szCs w:val="32"/>
        </w:rPr>
        <w:t>根据</w:t>
      </w:r>
      <w:r>
        <w:rPr>
          <w:rFonts w:hint="eastAsia" w:ascii="仿宋_GB2312" w:hAnsi="仿宋_GB2312" w:eastAsia="仿宋_GB2312" w:cs="仿宋_GB2312"/>
          <w:bCs/>
          <w:sz w:val="32"/>
          <w:szCs w:val="32"/>
        </w:rPr>
        <w:t>新财社【2018】257号、喀地财社【2018】142号文件精神</w:t>
      </w:r>
      <w:r>
        <w:rPr>
          <w:rFonts w:hint="eastAsia" w:ascii="仿宋_GB2312" w:hAnsi="仿宋" w:eastAsia="仿宋_GB2312" w:cs="宋体"/>
          <w:sz w:val="32"/>
          <w:szCs w:val="32"/>
        </w:rPr>
        <w:t>本项目投入资金共计376.79万元，资金到位率100%。按照</w:t>
      </w:r>
      <w:r>
        <w:rPr>
          <w:rFonts w:hint="eastAsia" w:ascii="仿宋_GB2312" w:hAnsi="仿宋_GB2312" w:eastAsia="仿宋_GB2312" w:cs="仿宋_GB2312"/>
          <w:bCs/>
          <w:sz w:val="32"/>
          <w:szCs w:val="32"/>
        </w:rPr>
        <w:t>我乡</w:t>
      </w:r>
      <w:r>
        <w:rPr>
          <w:rFonts w:hint="eastAsia" w:ascii="仿宋_GB2312" w:hAnsi="仿宋" w:eastAsia="仿宋_GB2312" w:cs="宋体"/>
          <w:sz w:val="32"/>
          <w:szCs w:val="32"/>
        </w:rPr>
        <w:t>农村危房改造项目实施方案及资金</w:t>
      </w:r>
      <w:r>
        <w:rPr>
          <w:rFonts w:hint="eastAsia" w:ascii="仿宋_GB2312" w:hAnsi="仿宋_GB2312" w:eastAsia="仿宋_GB2312" w:cs="仿宋_GB2312"/>
          <w:bCs/>
          <w:sz w:val="32"/>
          <w:szCs w:val="32"/>
        </w:rPr>
        <w:t>分配方案，每户补助3.425万元的标准转账发放至农户个人账户中，确保资金安全，进一步发挥资金使用效益。</w:t>
      </w:r>
    </w:p>
    <w:p>
      <w:pPr>
        <w:pStyle w:val="25"/>
        <w:pageBreakBefore w:val="0"/>
        <w:widowControl w:val="0"/>
        <w:numPr>
          <w:ilvl w:val="0"/>
          <w:numId w:val="4"/>
        </w:numPr>
        <w:kinsoku/>
        <w:wordWrap/>
        <w:overflowPunct/>
        <w:topLinePunct w:val="0"/>
        <w:autoSpaceDE/>
        <w:autoSpaceDN/>
        <w:bidi w:val="0"/>
        <w:spacing w:before="0" w:after="0" w:line="560" w:lineRule="exact"/>
        <w:ind w:left="0" w:leftChars="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pageBreakBefore w:val="0"/>
        <w:widowControl w:val="0"/>
        <w:numPr>
          <w:ilvl w:val="1"/>
          <w:numId w:val="6"/>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pageBreakBefore w:val="0"/>
        <w:widowControl w:val="0"/>
        <w:numPr>
          <w:ilvl w:val="1"/>
          <w:numId w:val="6"/>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6"/>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6"/>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bookmarkStart w:id="6" w:name="_Toc26401555"/>
      <w:r>
        <w:rPr>
          <w:rFonts w:hint="eastAsia" w:ascii="仿宋_GB2312" w:hAnsi="仿宋" w:eastAsia="仿宋_GB2312" w:cs="宋体"/>
          <w:sz w:val="32"/>
          <w:szCs w:val="32"/>
        </w:rPr>
        <w:t>遵循“科学性、规范性、客观性和公正性”的绩效评价原则,根据财政部制定的《项目支出绩效评价共性指标体系框架》,结合农村危房改造项目特性及我乡实际情况,本项目按照财预﹝2020﹞10号文件制定评价指标体系。</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我单位选取共性指标：决策中一级指标1个，二级指标3个，三级指标3个，分别是立项依据充分性，绩效指标明确性及资金分配合理性。</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过程中一级指标1个，二级指标3个，三级指标3个，分别是预算执行率，资金使用合规性及管理制度健全性。</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3" w:firstLineChars="200"/>
        <w:textAlignment w:val="auto"/>
      </w:pPr>
      <w:r>
        <w:rPr>
          <w:rFonts w:hint="eastAsia"/>
        </w:rPr>
        <w:t>（五）绩效评价方法</w:t>
      </w:r>
      <w:bookmarkEnd w:id="6"/>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本次绩效评价方法的选用坚持简便有效的原则采用成本效益分析法。根据</w:t>
      </w:r>
      <w:r>
        <w:rPr>
          <w:rFonts w:hint="eastAsia" w:ascii="仿宋_GB2312" w:hAnsi="仿宋_GB2312" w:eastAsia="仿宋_GB2312" w:cs="仿宋_GB2312"/>
          <w:bCs/>
          <w:sz w:val="32"/>
          <w:szCs w:val="32"/>
        </w:rPr>
        <w:t>新财社【2018】257号、喀地财社【2018】142号文件精神并</w:t>
      </w:r>
      <w:r>
        <w:rPr>
          <w:rFonts w:hint="eastAsia" w:ascii="仿宋_GB2312" w:hAnsi="仿宋" w:eastAsia="仿宋_GB2312" w:cs="宋体"/>
          <w:sz w:val="32"/>
          <w:szCs w:val="32"/>
        </w:rPr>
        <w:t>按照</w:t>
      </w:r>
      <w:r>
        <w:rPr>
          <w:rFonts w:hint="eastAsia" w:ascii="仿宋_GB2312" w:hAnsi="仿宋_GB2312" w:eastAsia="仿宋_GB2312" w:cs="仿宋_GB2312"/>
          <w:bCs/>
          <w:sz w:val="32"/>
          <w:szCs w:val="32"/>
        </w:rPr>
        <w:t>我乡</w:t>
      </w:r>
      <w:r>
        <w:rPr>
          <w:rFonts w:hint="eastAsia" w:ascii="仿宋_GB2312" w:hAnsi="仿宋" w:eastAsia="仿宋_GB2312" w:cs="宋体"/>
          <w:sz w:val="32"/>
          <w:szCs w:val="32"/>
        </w:rPr>
        <w:t>农村危房改造项目实施方案及资金</w:t>
      </w:r>
      <w:r>
        <w:rPr>
          <w:rFonts w:hint="eastAsia" w:ascii="仿宋_GB2312" w:hAnsi="仿宋_GB2312" w:eastAsia="仿宋_GB2312" w:cs="仿宋_GB2312"/>
          <w:bCs/>
          <w:sz w:val="32"/>
          <w:szCs w:val="32"/>
        </w:rPr>
        <w:t>分配方案，以每户补助3.425万元的标准转账发放至农户个人账户中，扶持贫困户完成安居房建设任务，确保住有所居。</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3" w:firstLineChars="200"/>
        <w:textAlignment w:val="auto"/>
      </w:pPr>
      <w:r>
        <w:rPr>
          <w:rFonts w:hint="eastAsia"/>
        </w:rPr>
        <w:t>（六）评价标准</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0" w:firstLineChars="200"/>
        <w:textAlignment w:val="auto"/>
        <w:rPr>
          <w:b w:val="0"/>
          <w:color w:val="FF0000"/>
        </w:rPr>
      </w:pPr>
      <w:r>
        <w:rPr>
          <w:rFonts w:hint="eastAsia" w:hAnsiTheme="minorHAnsi" w:cstheme="minorBidi"/>
          <w:b w:val="0"/>
          <w:bCs w:val="0"/>
        </w:rPr>
        <w:t>项目评价标准采用计划标准，即以是否明显改善其生活条件，是否有效提升建房户获得感与幸福感，是否体现完善我乡住房保障体系，提升住房保障服务体系建设能力为绩效主要评价标准。</w:t>
      </w:r>
      <w:bookmarkStart w:id="8" w:name="_GoBack"/>
      <w:bookmarkEnd w:id="8"/>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3" w:firstLineChars="200"/>
        <w:textAlignment w:val="auto"/>
      </w:pPr>
      <w:r>
        <w:rPr>
          <w:rFonts w:hint="eastAsia"/>
        </w:rPr>
        <w:t>（七）绩效评价工作过程</w:t>
      </w:r>
    </w:p>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0" w:firstLineChars="200"/>
        <w:textAlignment w:val="auto"/>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艾尔西丁·买提斯地克</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木塔力甫·艾则孜</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财政所所长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ind w:firstLine="840" w:firstLineChars="300"/>
              <w:rPr>
                <w:b w:val="0"/>
                <w:bCs w:val="0"/>
                <w:sz w:val="28"/>
                <w:szCs w:val="28"/>
              </w:rPr>
            </w:pPr>
            <w:r>
              <w:rPr>
                <w:rFonts w:hint="eastAsia"/>
                <w:b w:val="0"/>
                <w:bCs w:val="0"/>
                <w:sz w:val="28"/>
                <w:szCs w:val="28"/>
              </w:rPr>
              <w:t>孙燕飞</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扶贫副书记项目负责人</w:t>
            </w:r>
          </w:p>
        </w:tc>
      </w:tr>
    </w:tbl>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数据采集方法及过程</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本次绩效评价数据包括定性和定量两种数据,定性数据主要通过实地考察社会调查的方式来采集。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b/>
          <w:bCs/>
          <w:sz w:val="32"/>
          <w:szCs w:val="32"/>
        </w:rPr>
      </w:pPr>
      <w:r>
        <w:rPr>
          <w:rFonts w:ascii="仿宋_GB2312" w:eastAsia="仿宋_GB2312" w:cs="Times New Roman" w:hAnsiTheme="majorHAnsi"/>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绩效评价实施过程</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s="Times New Roman" w:hAnsiTheme="majorHAnsi"/>
          <w:sz w:val="32"/>
          <w:szCs w:val="32"/>
        </w:rPr>
      </w:pPr>
      <w:r>
        <w:rPr>
          <w:rFonts w:hint="eastAsia" w:ascii="仿宋_GB2312" w:eastAsia="仿宋_GB2312" w:cs="Times New Roman" w:hAnsiTheme="majorHAnsi"/>
          <w:sz w:val="32"/>
          <w:szCs w:val="32"/>
        </w:rPr>
        <w:t>项目组在前期调研的基础上,完成了项目绩效评价工作方案,明确了评价的目的、方法、指标体系、评价标准、合规性检查方案。在此之后,项目组严格按照工作方案,经过了数据采集、问卷调查、数据分析和报告撰写等环节,顺利完成了绩效评价工作。</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s="Times New Roman" w:hAnsiTheme="majorHAnsi"/>
          <w:sz w:val="32"/>
          <w:szCs w:val="32"/>
        </w:rPr>
      </w:pPr>
      <w:r>
        <w:rPr>
          <w:rFonts w:hint="eastAsia" w:ascii="仿宋_GB2312" w:eastAsia="仿宋_GB2312" w:cs="Times New Roman" w:hAnsiTheme="majorHAnsi"/>
          <w:sz w:val="32"/>
          <w:szCs w:val="32"/>
          <w:lang w:val="en-US" w:eastAsia="zh-CN"/>
        </w:rPr>
        <w:t>（1）</w:t>
      </w:r>
      <w:r>
        <w:rPr>
          <w:rFonts w:hint="eastAsia" w:ascii="仿宋_GB2312" w:eastAsia="仿宋_GB2312" w:cs="Times New Roman" w:hAnsiTheme="majorHAnsi"/>
          <w:sz w:val="32"/>
          <w:szCs w:val="32"/>
        </w:rPr>
        <w:t>问卷调查</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日,项目组对</w:t>
      </w:r>
      <w:r>
        <w:rPr>
          <w:rFonts w:hint="eastAsia" w:ascii="仿宋_GB2312" w:eastAsia="仿宋_GB2312" w:cs="Times New Roman" w:hAnsiTheme="majorHAnsi"/>
          <w:sz w:val="32"/>
          <w:szCs w:val="32"/>
        </w:rPr>
        <w:t>农村危房改造</w:t>
      </w:r>
      <w:r>
        <w:rPr>
          <w:rFonts w:ascii="仿宋_GB2312" w:eastAsia="仿宋_GB2312" w:cs="Times New Roman" w:hAnsiTheme="majorHAnsi"/>
          <w:sz w:val="32"/>
          <w:szCs w:val="32"/>
        </w:rPr>
        <w:t>项目涉及受益村民进行问卷调查。向</w:t>
      </w:r>
      <w:r>
        <w:rPr>
          <w:rFonts w:hint="eastAsia" w:ascii="仿宋_GB2312" w:eastAsia="仿宋_GB2312" w:cs="Times New Roman" w:hAnsiTheme="majorHAnsi"/>
          <w:sz w:val="32"/>
          <w:szCs w:val="32"/>
        </w:rPr>
        <w:t>6</w:t>
      </w:r>
      <w:r>
        <w:rPr>
          <w:rFonts w:ascii="仿宋_GB2312" w:eastAsia="仿宋_GB2312" w:cs="Times New Roman" w:hAnsiTheme="majorHAnsi"/>
          <w:sz w:val="32"/>
          <w:szCs w:val="32"/>
        </w:rPr>
        <w:t>个</w:t>
      </w:r>
      <w:r>
        <w:rPr>
          <w:rFonts w:hint="eastAsia" w:ascii="仿宋_GB2312" w:eastAsia="仿宋_GB2312" w:cs="Times New Roman" w:hAnsiTheme="majorHAnsi"/>
          <w:sz w:val="32"/>
          <w:szCs w:val="32"/>
        </w:rPr>
        <w:t>村</w:t>
      </w:r>
      <w:r>
        <w:rPr>
          <w:rFonts w:ascii="仿宋_GB2312" w:eastAsia="仿宋_GB2312" w:cs="Times New Roman" w:hAnsiTheme="majorHAnsi"/>
          <w:sz w:val="32"/>
          <w:szCs w:val="32"/>
        </w:rPr>
        <w:t>共发放</w:t>
      </w:r>
      <w:r>
        <w:rPr>
          <w:rFonts w:hint="eastAsia" w:ascii="仿宋_GB2312" w:eastAsia="仿宋_GB2312" w:cs="Times New Roman" w:hAnsiTheme="majorHAnsi"/>
          <w:sz w:val="32"/>
          <w:szCs w:val="32"/>
        </w:rPr>
        <w:t>260</w:t>
      </w:r>
      <w:r>
        <w:rPr>
          <w:rFonts w:ascii="仿宋_GB2312" w:eastAsia="仿宋_GB2312" w:cs="Times New Roman" w:hAnsiTheme="majorHAnsi"/>
          <w:sz w:val="32"/>
          <w:szCs w:val="32"/>
        </w:rPr>
        <w:t>份问卷,回收</w:t>
      </w:r>
      <w:r>
        <w:rPr>
          <w:rFonts w:hint="eastAsia" w:ascii="仿宋_GB2312" w:eastAsia="仿宋_GB2312" w:cs="Times New Roman" w:hAnsiTheme="majorHAnsi"/>
          <w:sz w:val="32"/>
          <w:szCs w:val="32"/>
        </w:rPr>
        <w:t>240</w:t>
      </w:r>
      <w:r>
        <w:rPr>
          <w:rFonts w:ascii="仿宋_GB2312" w:eastAsia="仿宋_GB2312" w:cs="Times New Roman" w:hAnsiTheme="majorHAnsi"/>
          <w:sz w:val="32"/>
          <w:szCs w:val="32"/>
        </w:rPr>
        <w:t>份问卷,其中有效问卷为</w:t>
      </w:r>
      <w:r>
        <w:rPr>
          <w:rFonts w:hint="eastAsia" w:ascii="仿宋_GB2312" w:eastAsia="仿宋_GB2312" w:cs="Times New Roman" w:hAnsiTheme="majorHAnsi"/>
          <w:sz w:val="32"/>
          <w:szCs w:val="32"/>
        </w:rPr>
        <w:t>225</w:t>
      </w:r>
      <w:r>
        <w:rPr>
          <w:rFonts w:ascii="仿宋_GB2312" w:eastAsia="仿宋_GB2312" w:cs="Times New Roman" w:hAnsiTheme="majorHAnsi"/>
          <w:sz w:val="32"/>
          <w:szCs w:val="32"/>
        </w:rPr>
        <w:t>份,有效问卷为</w:t>
      </w:r>
      <w:r>
        <w:rPr>
          <w:rFonts w:hint="eastAsia" w:ascii="仿宋_GB2312" w:eastAsia="仿宋_GB2312" w:cs="Times New Roman" w:hAnsiTheme="majorHAnsi"/>
          <w:sz w:val="32"/>
          <w:szCs w:val="32"/>
        </w:rPr>
        <w:t>93.75</w:t>
      </w:r>
      <w:r>
        <w:rPr>
          <w:rFonts w:ascii="仿宋_GB2312" w:eastAsia="仿宋_GB2312" w:cs="Times New Roman" w:hAnsiTheme="majorHAnsi"/>
          <w:sz w:val="32"/>
          <w:szCs w:val="32"/>
        </w:rPr>
        <w:t>%</w:t>
      </w:r>
      <w:r>
        <w:rPr>
          <w:rFonts w:hint="eastAsia" w:ascii="仿宋_GB2312" w:eastAsia="仿宋_GB2312" w:cs="Times New Roman" w:hAnsiTheme="majorHAnsi"/>
          <w:sz w:val="32"/>
          <w:szCs w:val="32"/>
        </w:rPr>
        <w:t>，再</w:t>
      </w:r>
      <w:r>
        <w:rPr>
          <w:rFonts w:ascii="仿宋_GB2312" w:eastAsia="仿宋_GB2312" w:cs="Times New Roman" w:hAnsiTheme="majorHAnsi"/>
          <w:sz w:val="32"/>
          <w:szCs w:val="32"/>
        </w:rPr>
        <w:t>通过问卷录入、分析、整理后,形成社会调查满意度报告</w:t>
      </w:r>
      <w:r>
        <w:rPr>
          <w:rFonts w:hint="eastAsia" w:ascii="仿宋_GB2312" w:eastAsia="仿宋_GB2312" w:cs="Times New Roman" w:hAnsiTheme="majorHAnsi"/>
          <w:sz w:val="32"/>
          <w:szCs w:val="32"/>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s="Times New Roman" w:hAnsiTheme="majorHAnsi"/>
          <w:sz w:val="32"/>
          <w:szCs w:val="32"/>
        </w:rPr>
      </w:pPr>
      <w:r>
        <w:rPr>
          <w:rFonts w:hint="eastAsia" w:ascii="仿宋_GB2312" w:eastAsia="仿宋_GB2312" w:cs="Times New Roman" w:hAnsiTheme="majorHAnsi"/>
          <w:sz w:val="32"/>
          <w:szCs w:val="32"/>
          <w:lang w:val="en-US" w:eastAsia="zh-CN"/>
        </w:rPr>
        <w:t>（2）</w:t>
      </w:r>
      <w:r>
        <w:rPr>
          <w:rFonts w:hint="eastAsia" w:ascii="仿宋_GB2312" w:eastAsia="仿宋_GB2312" w:cs="Times New Roman" w:hAnsiTheme="majorHAnsi"/>
          <w:sz w:val="32"/>
          <w:szCs w:val="32"/>
        </w:rPr>
        <w:t>数据分析及撰写报告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10</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10</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31</w:t>
      </w:r>
      <w:r>
        <w:rPr>
          <w:rFonts w:ascii="仿宋_GB2312" w:eastAsia="仿宋_GB2312" w:cs="Times New Roman" w:hAnsiTheme="majorHAnsi"/>
          <w:sz w:val="32"/>
          <w:szCs w:val="32"/>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pPr>
      <w:bookmarkStart w:id="7" w:name="_Toc26401558"/>
      <w:r>
        <w:rPr>
          <w:rFonts w:hint="eastAsia" w:ascii="黑体" w:hAnsi="黑体"/>
        </w:rPr>
        <w:t>综合评价情况及评价结论</w:t>
      </w:r>
    </w:p>
    <w:p>
      <w:pPr>
        <w:pStyle w:val="23"/>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经评价组通过实地调研、资料分析等方式，采用综合分析法、成本效益分析法对项目的决策、管理、绩效进行的综合评价分析，项目得分为9</w:t>
      </w:r>
      <w:r>
        <w:rPr>
          <w:rFonts w:hint="eastAsia" w:ascii="仿宋_GB2312" w:eastAsia="仿宋_GB2312" w:hAnsiTheme="majorHAnsi"/>
          <w:b w:val="0"/>
          <w:bCs w:val="0"/>
          <w:kern w:val="2"/>
          <w:lang w:val="en-US" w:eastAsia="zh-CN"/>
        </w:rPr>
        <w:t>7</w:t>
      </w:r>
      <w:r>
        <w:rPr>
          <w:rFonts w:hint="eastAsia" w:ascii="仿宋_GB2312" w:eastAsia="仿宋_GB2312" w:hAnsiTheme="majorHAnsi"/>
          <w:b w:val="0"/>
          <w:bCs w:val="0"/>
          <w:kern w:val="2"/>
        </w:rPr>
        <w:t>分，评价结果为优，详见附件4。</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绩效评价指标分析</w:t>
      </w:r>
      <w:bookmarkEnd w:id="7"/>
    </w:p>
    <w:p>
      <w:pPr>
        <w:pStyle w:val="19"/>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cs="宋体"/>
          <w:sz w:val="32"/>
          <w:szCs w:val="32"/>
        </w:rPr>
      </w:pPr>
      <w:r>
        <w:rPr>
          <w:rFonts w:hint="eastAsia" w:ascii="仿宋_GB2312" w:hAnsi="仿宋" w:cs="宋体"/>
          <w:sz w:val="32"/>
          <w:szCs w:val="32"/>
        </w:rPr>
        <w:t>本项目根据中央住房城乡建设部办公厅关于做好农村危房改造助力脱贫攻坚相关工作的通知，结合我乡我乡农村危房改造工作及全乡建房户总体要求进行申报，审批文件、材料符合要求。同时根据</w:t>
      </w:r>
      <w:r>
        <w:rPr>
          <w:rFonts w:hint="eastAsia" w:ascii="仿宋_GB2312" w:hAnsi="仿宋_GB2312" w:cs="仿宋_GB2312"/>
          <w:sz w:val="32"/>
          <w:szCs w:val="32"/>
        </w:rPr>
        <w:t>新财社［2018］257号、喀地财社［2018］142号</w:t>
      </w:r>
      <w:r>
        <w:rPr>
          <w:rFonts w:hint="eastAsia" w:ascii="仿宋_GB2312" w:hAnsi="仿宋" w:cs="宋体"/>
          <w:sz w:val="32"/>
          <w:szCs w:val="32"/>
        </w:rPr>
        <w:t>文件精神设置绩效目标，项目资金共计376.79万元，用于完善我乡住房保障体系，改善住房保障服务，解决建房困难户经济困难，有效促进建房户就业，提升建房户获得感与幸福感。</w:t>
      </w:r>
    </w:p>
    <w:p>
      <w:pPr>
        <w:pStyle w:val="19"/>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Style w:val="28"/>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cs="宋体"/>
          <w:sz w:val="32"/>
          <w:szCs w:val="32"/>
        </w:rPr>
      </w:pPr>
      <w:r>
        <w:rPr>
          <w:rFonts w:hint="eastAsia" w:ascii="仿宋_GB2312" w:hAnsi="仿宋" w:cs="宋体"/>
          <w:sz w:val="32"/>
          <w:szCs w:val="32"/>
        </w:rPr>
        <w:t>我乡农村危房改造项目以“三最两就”原则，严格落实农村危房改造范围及审批手续，按照个人申请、村级评议、乡级审核、县级批准、地区备案的审批流程，根据自治区下达补助资金及实施方案，结合我乡实际，制定了《恰其库木管理区乡农村危房改造项目资金管理制度》并组织实施。在竣工验收后，根据补助标准及方式进行发放，不存在截留、挤占、挪用、虚列支出等情况。资金审批手续严格按照《会计法》、《预算法》及财政国库集中支付制度执行。项目执行完毕后，未发现调整及支出调整手续情况，项目合资料、补助领取表及验收报告资料已齐全并及时归档。</w:t>
      </w:r>
    </w:p>
    <w:p>
      <w:pPr>
        <w:pStyle w:val="19"/>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eastAsia="仿宋_GB2312"/>
          <w:sz w:val="32"/>
          <w:szCs w:val="32"/>
        </w:rPr>
        <w:t>本项目严格按照上级部门审批确定的执行范围执行，共保障全乡110户建房户建房补助，并按照补助标准的不同，户均3.425万元进行发放，项目补助资金按照已上报的建房户数量全部享受完毕，资金拨付及时，资金申报、审批手续完全合理、</w:t>
      </w:r>
      <w:r>
        <w:rPr>
          <w:rFonts w:hint="eastAsia" w:ascii="仿宋_GB2312" w:hAnsi="仿宋" w:eastAsia="仿宋_GB2312" w:cs="宋体"/>
          <w:sz w:val="32"/>
          <w:szCs w:val="32"/>
        </w:rPr>
        <w:t>合法、合规，</w:t>
      </w:r>
      <w:r>
        <w:rPr>
          <w:rFonts w:hint="eastAsia" w:ascii="仿宋_GB2312" w:eastAsia="仿宋_GB2312"/>
          <w:sz w:val="32"/>
          <w:szCs w:val="32"/>
        </w:rPr>
        <w:t>无</w:t>
      </w:r>
      <w:r>
        <w:rPr>
          <w:rFonts w:hint="eastAsia" w:ascii="仿宋_GB2312" w:hAnsi="仿宋" w:eastAsia="仿宋_GB2312" w:cs="宋体"/>
          <w:sz w:val="32"/>
          <w:szCs w:val="32"/>
        </w:rPr>
        <w:t>截留、挤占、挪用、虚列支出等情况。</w:t>
      </w:r>
    </w:p>
    <w:tbl>
      <w:tblPr>
        <w:tblStyle w:val="13"/>
        <w:tblW w:w="8342" w:type="dxa"/>
        <w:tblInd w:w="0" w:type="dxa"/>
        <w:shd w:val="clear" w:color="auto" w:fill="auto"/>
        <w:tblLayout w:type="fixed"/>
        <w:tblCellMar>
          <w:top w:w="0" w:type="dxa"/>
          <w:left w:w="0" w:type="dxa"/>
          <w:bottom w:w="0" w:type="dxa"/>
          <w:right w:w="0" w:type="dxa"/>
        </w:tblCellMar>
      </w:tblPr>
      <w:tblGrid>
        <w:gridCol w:w="1502"/>
        <w:gridCol w:w="1272"/>
        <w:gridCol w:w="2836"/>
        <w:gridCol w:w="1689"/>
        <w:gridCol w:w="1043"/>
      </w:tblGrid>
      <w:tr>
        <w:tblPrEx>
          <w:shd w:val="clear" w:color="auto" w:fill="auto"/>
          <w:tblCellMar>
            <w:top w:w="0" w:type="dxa"/>
            <w:left w:w="0" w:type="dxa"/>
            <w:bottom w:w="0" w:type="dxa"/>
            <w:right w:w="0" w:type="dxa"/>
          </w:tblCellMar>
        </w:tblPrEx>
        <w:trPr>
          <w:trHeight w:val="499" w:hRule="atLeast"/>
        </w:trPr>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8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低保户户数（户）</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w:t>
            </w:r>
          </w:p>
        </w:tc>
      </w:tr>
      <w:tr>
        <w:tblPrEx>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资金保障率（%）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经费发放及时率（%）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补助低保户标准（元/户）</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34253</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34253</w:t>
            </w:r>
          </w:p>
        </w:tc>
      </w:tr>
    </w:tbl>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p>
    <w:p>
      <w:pPr>
        <w:pStyle w:val="19"/>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本项目以帮助全乡贫困户等建房困难家庭给予经济保障，采取就地取材、就近重建返修的方式进行改造，平均增加受益户生活补贴3.425万元/户，明显改善了其生活条件，有效提升了建房户获得感与幸福感，同时完善了我乡住房保障体系，提升了住房保障服务体系建设能力，有效解决建房困难户经济困难。</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rPr>
        <w:t>经问卷调查，项目受益群众满意度为95%，部分达到预期目标。主要原因是项目完成时间较短，目标完成情况未完全体现，下一步，我乡会持续加强项目保障对象关心爱护，确保目标完成情况完全体现。</w:t>
      </w:r>
    </w:p>
    <w:tbl>
      <w:tblPr>
        <w:tblStyle w:val="13"/>
        <w:tblW w:w="8342" w:type="dxa"/>
        <w:tblInd w:w="0" w:type="dxa"/>
        <w:shd w:val="clear" w:color="auto" w:fill="auto"/>
        <w:tblLayout w:type="fixed"/>
        <w:tblCellMar>
          <w:top w:w="0" w:type="dxa"/>
          <w:left w:w="0" w:type="dxa"/>
          <w:bottom w:w="0" w:type="dxa"/>
          <w:right w:w="0" w:type="dxa"/>
        </w:tblCellMar>
      </w:tblPr>
      <w:tblGrid>
        <w:gridCol w:w="1502"/>
        <w:gridCol w:w="1272"/>
        <w:gridCol w:w="2836"/>
        <w:gridCol w:w="1689"/>
        <w:gridCol w:w="1043"/>
      </w:tblGrid>
      <w:tr>
        <w:tblPrEx>
          <w:shd w:val="clear" w:color="auto" w:fill="auto"/>
          <w:tblCellMar>
            <w:top w:w="0" w:type="dxa"/>
            <w:left w:w="0" w:type="dxa"/>
            <w:bottom w:w="0" w:type="dxa"/>
            <w:right w:w="0" w:type="dxa"/>
          </w:tblCellMar>
        </w:tblPrEx>
        <w:trPr>
          <w:trHeight w:val="499" w:hRule="atLeast"/>
        </w:trPr>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减轻低保户建房经济负担（元/户）</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34253</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34253</w:t>
            </w:r>
          </w:p>
        </w:tc>
      </w:tr>
      <w:tr>
        <w:tblPrEx>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提升群众基础（%）</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99"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安居房使用年限（年）</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r>
              <w:rPr>
                <w:rStyle w:val="37"/>
                <w:lang w:val="en-US" w:eastAsia="zh-CN" w:bidi="ar"/>
              </w:rPr>
              <w:t>0</w:t>
            </w:r>
          </w:p>
        </w:tc>
      </w:tr>
      <w:tr>
        <w:tblPrEx>
          <w:tblCellMar>
            <w:top w:w="0" w:type="dxa"/>
            <w:left w:w="0" w:type="dxa"/>
            <w:bottom w:w="0" w:type="dxa"/>
            <w:right w:w="0" w:type="dxa"/>
          </w:tblCellMar>
        </w:tblPrEx>
        <w:trPr>
          <w:trHeight w:val="499" w:hRule="atLeast"/>
        </w:trPr>
        <w:tc>
          <w:tcPr>
            <w:tcW w:w="150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r>
              <w:rPr>
                <w:rStyle w:val="37"/>
                <w:lang w:val="en-US" w:eastAsia="zh-CN" w:bidi="ar"/>
              </w:rPr>
              <w:t>8%</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r>
              <w:rPr>
                <w:rStyle w:val="37"/>
                <w:lang w:val="en-US" w:eastAsia="zh-CN" w:bidi="ar"/>
              </w:rPr>
              <w:t>8%</w:t>
            </w:r>
          </w:p>
        </w:tc>
      </w:tr>
    </w:tbl>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主要经验及做法、存在的问题及原因分析</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lang w:val="en-US" w:eastAsia="zh-CN"/>
        </w:rPr>
        <w:t>一</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主要经验及做法</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rPr>
        <w:t>本项目根据中央住房城乡建设部办公厅关于做好农村危房改造助力脱贫攻坚相关工作的通知，按照自治区新财建新财社［2018］257号、喀地财社［2018］142号文件精神，以“三最两就”原则，制定《恰其库木管理区乡农村危房改造项目资金管理制度》，完善我乡住房保障体系，提升住房保障服务体系建设能力，解决建房困难户经济困难为目标，严格落实农村危房改造范围及审批手续，按照个人申请、村级评议、乡级审核、县级批准、地区备案的审批流程，及《会计法》、《预算法》、财政国库集中支付制度执行，跟踪考核机制完善且运行有效，平均增加2019年受益户生活补贴3.425万元/户，明显改善了其生活条件，有效提升了建房户获得感与幸福感。</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lang w:val="en-US" w:eastAsia="zh-CN"/>
        </w:rPr>
        <w:t>二</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存在的问题及原因分析</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lang w:val="en-US" w:eastAsia="zh-CN"/>
        </w:rPr>
        <w:t>1.</w:t>
      </w:r>
      <w:r>
        <w:rPr>
          <w:rFonts w:hint="eastAsia" w:ascii="仿宋_GB2312" w:hAnsi="仿宋" w:eastAsia="仿宋_GB2312" w:cs="宋体"/>
          <w:bCs/>
          <w:sz w:val="32"/>
          <w:szCs w:val="32"/>
        </w:rPr>
        <w:t>因项目前期确定资金使用范围内人员身份识别不精准等原因，导致项目资金支付滞缓，影响了项目实施的进度，造成了部分资金未及时充分发挥效益；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sz w:val="32"/>
          <w:szCs w:val="32"/>
        </w:rPr>
      </w:pPr>
      <w:r>
        <w:rPr>
          <w:rFonts w:hint="eastAsia" w:ascii="仿宋_GB2312" w:hAnsi="仿宋" w:eastAsia="仿宋_GB2312" w:cs="宋体"/>
          <w:bCs/>
          <w:sz w:val="32"/>
          <w:szCs w:val="32"/>
        </w:rPr>
        <w:t>2、对项目实施过程中遇到的实际问题准备不充分，导致项目招投标、采购、验收等工作存在不连贯、不熟练的现象，需加强相关人员的业务及操作能力培训。</w:t>
      </w:r>
    </w:p>
    <w:p>
      <w:pPr>
        <w:pStyle w:val="23"/>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rFonts w:hint="eastAsia" w:ascii="黑体" w:hAnsi="黑体" w:eastAsia="黑体" w:cs="黑体"/>
          <w:b w:val="0"/>
        </w:rPr>
      </w:pPr>
      <w:r>
        <w:rPr>
          <w:rFonts w:hint="eastAsia" w:ascii="黑体" w:hAnsi="黑体" w:cs="黑体"/>
          <w:lang w:eastAsia="zh-CN"/>
        </w:rPr>
        <w:t>六、</w:t>
      </w:r>
      <w:r>
        <w:rPr>
          <w:rFonts w:hint="eastAsia" w:ascii="黑体" w:hAnsi="黑体" w:eastAsia="黑体" w:cs="黑体"/>
        </w:rPr>
        <w:t>有关建议</w:t>
      </w:r>
    </w:p>
    <w:p>
      <w:pPr>
        <w:pStyle w:val="2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ascii="仿宋_GB2312" w:hAnsi="仿宋_GB2312" w:eastAsia="仿宋_GB2312" w:cs="仿宋_GB2312"/>
          <w:b w:val="0"/>
        </w:rPr>
      </w:pPr>
      <w:r>
        <w:rPr>
          <w:rFonts w:hint="eastAsia" w:ascii="仿宋_GB2312" w:hAnsi="仿宋_GB2312" w:eastAsia="仿宋_GB2312" w:cs="仿宋_GB2312"/>
          <w:b w:val="0"/>
        </w:rPr>
        <w:t>1、持续加强财务管理，加快资金支付力度。在支付报账是，严格按照预算规定的项目范围、用途及使用规则审核支付，坚决杜绝超支现象的发生。</w:t>
      </w:r>
    </w:p>
    <w:p>
      <w:pPr>
        <w:pStyle w:val="2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hAnsi="仿宋_GB2312" w:eastAsia="仿宋_GB2312" w:cs="仿宋_GB2312"/>
          <w:b w:val="0"/>
        </w:rPr>
      </w:pPr>
      <w:r>
        <w:rPr>
          <w:rFonts w:hint="eastAsia" w:ascii="仿宋_GB2312" w:hAnsi="仿宋_GB2312" w:eastAsia="仿宋_GB2312" w:cs="仿宋_GB2312"/>
          <w:b w:val="0"/>
        </w:rPr>
        <w:t>2、持续加强项目开展情况的跟踪监控，严格按照项目进度及时拨付资金，使资金使用效益最大化，减少不必要的浪费，节约成本。</w:t>
      </w:r>
    </w:p>
    <w:p>
      <w:pPr>
        <w:pStyle w:val="23"/>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rFonts w:ascii="黑体" w:hAnsi="黑体"/>
        </w:rPr>
      </w:pPr>
      <w:r>
        <w:rPr>
          <w:rFonts w:hint="eastAsia" w:ascii="黑体" w:hAnsi="黑体"/>
          <w:lang w:val="en-US" w:eastAsia="zh-CN"/>
        </w:rPr>
        <w:t>七、</w:t>
      </w:r>
      <w:r>
        <w:rPr>
          <w:rFonts w:hint="eastAsia" w:ascii="黑体" w:hAnsi="黑体"/>
        </w:rPr>
        <w:t>其他需要说明的问题</w:t>
      </w:r>
    </w:p>
    <w:p>
      <w:pPr>
        <w:pStyle w:val="23"/>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lang w:val="en-US" w:eastAsia="zh-CN"/>
        </w:rPr>
      </w:pPr>
      <w:r>
        <w:rPr>
          <w:rFonts w:hint="eastAsia" w:ascii="仿宋_GB2312" w:hAnsi="仿宋_GB2312" w:eastAsia="仿宋_GB2312" w:cs="仿宋_GB2312"/>
          <w:b w:val="0"/>
        </w:rPr>
        <w:t>无</w:t>
      </w:r>
      <w:r>
        <w:rPr>
          <w:rFonts w:hint="eastAsia" w:ascii="仿宋_GB2312" w:hAnsi="仿宋_GB2312" w:eastAsia="仿宋_GB2312" w:cs="仿宋_GB2312"/>
          <w:b w:val="0"/>
          <w:lang w:val="en-US" w:eastAsia="zh-CN"/>
        </w:rPr>
        <w:t>其他说明问题</w:t>
      </w:r>
    </w:p>
    <w:p>
      <w:pPr>
        <w:pStyle w:val="23"/>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lang w:val="en-US" w:eastAsia="zh-CN"/>
        </w:rPr>
      </w:pP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rPr>
      </w:pP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附件1：喀什地区恰其库木管理区农村危房改造项目支出绩效目标申报表</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附件2：喀什地区恰其库木管理区农村危房改造项目支出绩效自评表</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附件3：喀什地区恰其库木管理区农村危房改造项目支出绩效评价指标体系</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D6D0D6"/>
    <w:multiLevelType w:val="singleLevel"/>
    <w:tmpl w:val="A5D6D0D6"/>
    <w:lvl w:ilvl="0" w:tentative="0">
      <w:start w:val="1"/>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kzNzgyM2E2Yjg1NDJlZmFjYTEwNGIyZWYwNjY4MWIifQ=="/>
  </w:docVars>
  <w:rsids>
    <w:rsidRoot w:val="00F75715"/>
    <w:rsid w:val="00022413"/>
    <w:rsid w:val="00024725"/>
    <w:rsid w:val="00037F93"/>
    <w:rsid w:val="00042126"/>
    <w:rsid w:val="000E0C7B"/>
    <w:rsid w:val="000F2007"/>
    <w:rsid w:val="00100A64"/>
    <w:rsid w:val="00100AA9"/>
    <w:rsid w:val="001143D6"/>
    <w:rsid w:val="00117D7A"/>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6208"/>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02C4D"/>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A17EF"/>
    <w:rsid w:val="00AB07C5"/>
    <w:rsid w:val="00AC0CD2"/>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2258F"/>
    <w:rsid w:val="00F6015C"/>
    <w:rsid w:val="00F75715"/>
    <w:rsid w:val="00FB2E2F"/>
    <w:rsid w:val="00FD300A"/>
    <w:rsid w:val="00FF137F"/>
    <w:rsid w:val="00FF6959"/>
    <w:rsid w:val="00FF6C14"/>
    <w:rsid w:val="01BE6316"/>
    <w:rsid w:val="04AE55B5"/>
    <w:rsid w:val="04E34DD4"/>
    <w:rsid w:val="07AE4845"/>
    <w:rsid w:val="087E78C9"/>
    <w:rsid w:val="0A3F44CD"/>
    <w:rsid w:val="13B241A9"/>
    <w:rsid w:val="156336EE"/>
    <w:rsid w:val="16E14440"/>
    <w:rsid w:val="180F3B37"/>
    <w:rsid w:val="18C0478E"/>
    <w:rsid w:val="19A555B8"/>
    <w:rsid w:val="1DD00922"/>
    <w:rsid w:val="1E7A73CB"/>
    <w:rsid w:val="205C7B1D"/>
    <w:rsid w:val="20D6520B"/>
    <w:rsid w:val="217F35A7"/>
    <w:rsid w:val="24E73B1F"/>
    <w:rsid w:val="268E759D"/>
    <w:rsid w:val="26F03C06"/>
    <w:rsid w:val="26F262D7"/>
    <w:rsid w:val="2A547683"/>
    <w:rsid w:val="2B3D4DE0"/>
    <w:rsid w:val="2C4D3A66"/>
    <w:rsid w:val="2C77419D"/>
    <w:rsid w:val="30053CAF"/>
    <w:rsid w:val="306A4501"/>
    <w:rsid w:val="30A5240F"/>
    <w:rsid w:val="31C366C0"/>
    <w:rsid w:val="33CA34B6"/>
    <w:rsid w:val="375C6CE1"/>
    <w:rsid w:val="37C95EEB"/>
    <w:rsid w:val="3A8E79C8"/>
    <w:rsid w:val="3BC01B4C"/>
    <w:rsid w:val="41273A67"/>
    <w:rsid w:val="41B92FD7"/>
    <w:rsid w:val="43352C40"/>
    <w:rsid w:val="46C16BC4"/>
    <w:rsid w:val="46FC7E90"/>
    <w:rsid w:val="475C3F89"/>
    <w:rsid w:val="4E464514"/>
    <w:rsid w:val="509F44DE"/>
    <w:rsid w:val="537B264E"/>
    <w:rsid w:val="553E08C4"/>
    <w:rsid w:val="55945462"/>
    <w:rsid w:val="56F57762"/>
    <w:rsid w:val="57964064"/>
    <w:rsid w:val="58443CC3"/>
    <w:rsid w:val="59572B5A"/>
    <w:rsid w:val="5A781A20"/>
    <w:rsid w:val="5B2652A2"/>
    <w:rsid w:val="62C978AB"/>
    <w:rsid w:val="64DF3A20"/>
    <w:rsid w:val="667765BF"/>
    <w:rsid w:val="66DB5907"/>
    <w:rsid w:val="68AC0EA3"/>
    <w:rsid w:val="6DB94770"/>
    <w:rsid w:val="6E58772A"/>
    <w:rsid w:val="6FD20AD7"/>
    <w:rsid w:val="719C0F13"/>
    <w:rsid w:val="73B41075"/>
    <w:rsid w:val="7581784D"/>
    <w:rsid w:val="76872B68"/>
    <w:rsid w:val="77321001"/>
    <w:rsid w:val="7775238E"/>
    <w:rsid w:val="7A8638D9"/>
    <w:rsid w:val="7B936150"/>
    <w:rsid w:val="7C8E0738"/>
    <w:rsid w:val="7CE6306F"/>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 w:type="character" w:customStyle="1" w:styleId="37">
    <w:name w:val="font11"/>
    <w:basedOn w:val="1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342C8A-C45E-43C6-9931-DF8CA9994A56}">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870</Words>
  <Characters>4959</Characters>
  <Lines>41</Lines>
  <Paragraphs>11</Paragraphs>
  <TotalTime>3</TotalTime>
  <ScaleCrop>false</ScaleCrop>
  <LinksUpToDate>false</LinksUpToDate>
  <CharactersWithSpaces>5818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2024-02-27T04:18:24Z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E90A703CC03E453A93A0E5EDCBBB3B54_12</vt:lpwstr>
  </property>
</Properties>
</file>