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喀什地区恰其库木管理区村容村貌项目支出绩效评价报告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line="700" w:lineRule="exact"/>
        <w:ind w:firstLine="712" w:firstLineChars="200"/>
        <w:jc w:val="left"/>
        <w:rPr>
          <w:rFonts w:hAnsi="宋体" w:eastAsia="仿宋_GB2312" w:cs="宋体"/>
          <w:kern w:val="0"/>
          <w:sz w:val="36"/>
          <w:szCs w:val="36"/>
        </w:rPr>
      </w:pPr>
      <w:r>
        <w:rPr>
          <w:rFonts w:hint="eastAsia" w:ascii="仿宋_GB2312" w:hAnsi="仿宋" w:eastAsia="仿宋_GB2312" w:cs="Times New Roman"/>
          <w:spacing w:val="-2"/>
          <w:sz w:val="36"/>
          <w:szCs w:val="36"/>
        </w:rPr>
        <w:t>项目名称：</w:t>
      </w:r>
      <w:r>
        <w:rPr>
          <w:rFonts w:hint="eastAsia" w:hAnsi="宋体" w:eastAsia="仿宋_GB2312" w:cs="宋体"/>
          <w:kern w:val="0"/>
          <w:sz w:val="36"/>
          <w:szCs w:val="36"/>
        </w:rPr>
        <w:t>贫困村村容村貌整治项目</w:t>
      </w:r>
    </w:p>
    <w:p>
      <w:pPr>
        <w:autoSpaceDE w:val="0"/>
        <w:autoSpaceDN w:val="0"/>
        <w:spacing w:line="540" w:lineRule="exact"/>
        <w:ind w:firstLine="712" w:firstLineChars="200"/>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实施单位：恰其库木管理区</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评价部门：恰其库木管理区</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基本情况</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0" w:name="_Toc26401549"/>
      <w:r>
        <w:rPr>
          <w:rFonts w:hint="eastAsia"/>
        </w:rPr>
        <w:t>项目概况</w:t>
      </w:r>
      <w:bookmarkEnd w:id="0"/>
    </w:p>
    <w:p>
      <w:pPr>
        <w:pageBreakBefore w:val="0"/>
        <w:widowControl w:val="0"/>
        <w:kinsoku/>
        <w:wordWrap/>
        <w:overflowPunct/>
        <w:topLinePunct w:val="0"/>
        <w:autoSpaceDE/>
        <w:autoSpaceDN/>
        <w:bidi w:val="0"/>
        <w:adjustRightInd/>
        <w:snapToGrid/>
        <w:spacing w:line="560" w:lineRule="exact"/>
        <w:ind w:left="0" w:firstLine="640" w:firstLineChars="200"/>
        <w:textAlignment w:val="auto"/>
      </w:pPr>
      <w:r>
        <w:rPr>
          <w:rFonts w:hint="eastAsia" w:ascii="仿宋_GB2312" w:hAnsi="仿宋" w:eastAsia="仿宋_GB2312" w:cs="宋体"/>
          <w:sz w:val="32"/>
          <w:szCs w:val="32"/>
        </w:rPr>
        <w:t>为进一步改善农村卫生环境，提高农民群众生活质量，积极倡导文明健康的生活方式，建立健全农村环境卫生整治的长效机制，全面推进社会主义新农村建设。恰其库木管理区6个贫困村开展村容村貌整治项目，总资金520万元，项目内容主要是村委会道路拓宽、村房屋粉刷、路沿石、彩砖等，项目通过村支部提议、村两委班子商议、党员大会审议、村民大会决议和决议公开、实施结果公开的工作方法开展，通过实施此项目，做到了基层民主深入民心，农村党建扎实推进，乡风文明日新月异，农村经济快速发展社会主义新农村建设蓬勃发展。</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1.项目背景及立项依据</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pPr>
      <w:r>
        <w:rPr>
          <w:rFonts w:hint="eastAsia" w:ascii="仿宋_GB2312" w:hAnsi="仿宋" w:eastAsia="仿宋_GB2312" w:cs="宋体"/>
          <w:sz w:val="32"/>
          <w:szCs w:val="32"/>
        </w:rPr>
        <w:t>本项目根据</w:t>
      </w:r>
      <w:r>
        <w:rPr>
          <w:rFonts w:hint="eastAsia" w:ascii="仿宋_GB2312" w:hAnsi="仿宋" w:eastAsia="仿宋_GB2312"/>
          <w:bCs/>
          <w:spacing w:val="-4"/>
          <w:sz w:val="32"/>
          <w:szCs w:val="32"/>
        </w:rPr>
        <w:t>新财预［2019］15号、喀财预［2019］10号</w:t>
      </w:r>
      <w:r>
        <w:rPr>
          <w:rFonts w:hint="eastAsia" w:ascii="仿宋_GB2312" w:hAnsi="仿宋" w:eastAsia="仿宋_GB2312" w:cs="宋体"/>
          <w:sz w:val="32"/>
          <w:szCs w:val="32"/>
        </w:rPr>
        <w:t>文件实施，旨在</w:t>
      </w:r>
      <w:r>
        <w:rPr>
          <w:rFonts w:hint="eastAsia" w:ascii="仿宋_GB2312" w:hAnsi="仿宋" w:eastAsia="仿宋_GB2312"/>
          <w:sz w:val="32"/>
          <w:szCs w:val="32"/>
        </w:rPr>
        <w:t>保证村容村貌项目稳步提升，扶贫经费用在实处，达到专款专用的效果，并且严格按照会计制度的要求支出，规范化使用工作设备款，将每一分钱花在刀刃上，保证日常各项工作正常运转，提高为民办实事的效率</w:t>
      </w:r>
      <w:r>
        <w:rPr>
          <w:rFonts w:hint="eastAsia" w:ascii="仿宋_GB2312" w:hAnsi="仿宋" w:eastAsia="仿宋_GB2312" w:cs="宋体"/>
          <w:sz w:val="32"/>
          <w:szCs w:val="32"/>
        </w:rPr>
        <w:t>，</w:t>
      </w:r>
      <w:r>
        <w:rPr>
          <w:rFonts w:hint="eastAsia" w:ascii="仿宋_GB2312" w:hAnsi="仿宋_GB2312" w:eastAsia="仿宋_GB2312" w:cs="仿宋_GB2312"/>
          <w:bCs/>
          <w:sz w:val="32"/>
          <w:szCs w:val="32"/>
        </w:rPr>
        <w:t>提升农民幸福感与获得感。</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2.项目主要内容及实施情况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项目项目的主要内容为：本项目的主管部门为叶城县安居富民领导小组办公室</w:t>
      </w:r>
      <w:r>
        <w:rPr>
          <w:rFonts w:ascii="仿宋_GB2312" w:hAnsi="仿宋" w:eastAsia="仿宋_GB2312" w:cs="宋体"/>
          <w:sz w:val="32"/>
          <w:szCs w:val="32"/>
        </w:rPr>
        <w:t>,</w:t>
      </w:r>
      <w:r>
        <w:rPr>
          <w:rFonts w:hint="eastAsia" w:ascii="仿宋_GB2312" w:hAnsi="仿宋" w:eastAsia="仿宋_GB2312" w:cs="宋体"/>
          <w:sz w:val="32"/>
          <w:szCs w:val="32"/>
        </w:rPr>
        <w:t>实施单位为叶城县恰其库木管理区人民政府，主要职责严格按照村容村貌项目的使用范围及审批手续，按照个人申请、村级评议、乡级审核、县级批准、地区备案的审批流程，进一步增加群众积极心，</w:t>
      </w:r>
      <w:r>
        <w:rPr>
          <w:rFonts w:hint="eastAsia" w:ascii="仿宋_GB2312" w:hAnsi="仿宋" w:eastAsia="仿宋_GB2312" w:cs="仿宋"/>
          <w:spacing w:val="-4"/>
          <w:sz w:val="32"/>
          <w:szCs w:val="32"/>
        </w:rPr>
        <w:t>为建设美丽社会主义新农村，提高广大人民群众生活水平</w:t>
      </w:r>
      <w:r>
        <w:rPr>
          <w:rFonts w:hint="eastAsia" w:ascii="仿宋_GB2312" w:hAnsi="仿宋" w:eastAsia="仿宋_GB2312" w:cs="宋体"/>
          <w:sz w:val="32"/>
          <w:szCs w:val="32"/>
        </w:rPr>
        <w:t>通过实施此项目，做到了基层民主深入民心，农村党建扎实推进，乡风文明日新月异，农村经济快速发展社会主义新农村建设蓬勃发展。</w:t>
      </w:r>
    </w:p>
    <w:p>
      <w:pPr>
        <w:pageBreakBefore w:val="0"/>
        <w:widowControl w:val="0"/>
        <w:tabs>
          <w:tab w:val="left" w:pos="7770"/>
        </w:tabs>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项目的实施情况：本项目自2019年3月报请县人大批准经财经领导小组会议，确定了项目领导小组，明确了责任分工：由叶城县恰其库木管理区人民政府完成项目初步设计，编制了实施方案，</w:t>
      </w:r>
      <w:r>
        <w:rPr>
          <w:rFonts w:hint="eastAsia" w:ascii="仿宋_GB2312" w:hAnsi="仿宋_GB2312" w:eastAsia="仿宋_GB2312" w:cs="仿宋_GB2312"/>
          <w:bCs/>
          <w:sz w:val="32"/>
          <w:szCs w:val="32"/>
        </w:rPr>
        <w:t>加强基层建设。资金使用完毕，村环境得到极大提升。</w:t>
      </w:r>
    </w:p>
    <w:p>
      <w:pPr>
        <w:pStyle w:val="19"/>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3.项目负责人为刘勇，主要职责为项目实施过程的监督，确</w:t>
      </w:r>
      <w:r>
        <w:rPr>
          <w:rFonts w:hint="eastAsia" w:ascii="仿宋_GB2312" w:hAnsi="仿宋_GB2312" w:eastAsia="仿宋_GB2312" w:cs="仿宋_GB2312"/>
          <w:bCs/>
          <w:sz w:val="32"/>
          <w:szCs w:val="32"/>
        </w:rPr>
        <w:t>定村容村貌项目实施过程相关情况，</w:t>
      </w:r>
      <w:r>
        <w:rPr>
          <w:rFonts w:ascii="仿宋_GB2312" w:hAnsi="仿宋_GB2312" w:eastAsia="仿宋_GB2312" w:cs="仿宋_GB2312"/>
          <w:bCs/>
          <w:sz w:val="32"/>
          <w:szCs w:val="32"/>
        </w:rPr>
        <w:t>资金管理办法以及经费的使用方向</w:t>
      </w:r>
      <w:r>
        <w:rPr>
          <w:rFonts w:hint="eastAsia" w:ascii="仿宋_GB2312" w:hAnsi="仿宋_GB2312" w:eastAsia="仿宋_GB2312" w:cs="仿宋_GB2312"/>
          <w:bCs/>
          <w:sz w:val="32"/>
          <w:szCs w:val="32"/>
        </w:rPr>
        <w:t>，确保项目资金按照</w:t>
      </w:r>
      <w:r>
        <w:rPr>
          <w:rFonts w:ascii="仿宋_GB2312" w:hAnsi="仿宋_GB2312" w:eastAsia="仿宋_GB2312" w:cs="仿宋_GB2312"/>
          <w:bCs/>
          <w:sz w:val="32"/>
          <w:szCs w:val="32"/>
        </w:rPr>
        <w:t>财政资金管理制度</w:t>
      </w:r>
      <w:r>
        <w:rPr>
          <w:rFonts w:hint="eastAsia" w:ascii="仿宋_GB2312" w:hAnsi="仿宋_GB2312" w:eastAsia="仿宋_GB2312" w:cs="仿宋_GB2312"/>
          <w:bCs/>
          <w:sz w:val="32"/>
          <w:szCs w:val="32"/>
        </w:rPr>
        <w:t>进行</w:t>
      </w:r>
      <w:r>
        <w:rPr>
          <w:rFonts w:ascii="仿宋_GB2312" w:hAnsi="仿宋_GB2312" w:eastAsia="仿宋_GB2312" w:cs="仿宋_GB2312"/>
          <w:bCs/>
          <w:sz w:val="32"/>
          <w:szCs w:val="32"/>
        </w:rPr>
        <w:t>支付</w:t>
      </w:r>
      <w:r>
        <w:rPr>
          <w:rFonts w:hint="eastAsia" w:ascii="仿宋_GB2312" w:hAnsi="仿宋_GB2312" w:eastAsia="仿宋_GB2312" w:cs="仿宋_GB2312"/>
          <w:bCs/>
          <w:sz w:val="32"/>
          <w:szCs w:val="32"/>
        </w:rPr>
        <w:t>，同时负责项目相关手续</w:t>
      </w:r>
      <w:r>
        <w:rPr>
          <w:rFonts w:ascii="仿宋_GB2312" w:hAnsi="仿宋_GB2312" w:eastAsia="仿宋_GB2312" w:cs="仿宋_GB2312"/>
          <w:bCs/>
          <w:sz w:val="32"/>
          <w:szCs w:val="32"/>
        </w:rPr>
        <w:t>审批审核</w:t>
      </w:r>
      <w:r>
        <w:rPr>
          <w:rFonts w:hint="eastAsia" w:ascii="仿宋_GB2312" w:hAnsi="仿宋_GB2312" w:eastAsia="仿宋_GB2312" w:cs="仿宋_GB2312"/>
          <w:bCs/>
          <w:sz w:val="32"/>
          <w:szCs w:val="32"/>
        </w:rPr>
        <w:t>，确保</w:t>
      </w:r>
      <w:r>
        <w:rPr>
          <w:rFonts w:ascii="仿宋_GB2312" w:hAnsi="仿宋_GB2312" w:eastAsia="仿宋_GB2312" w:cs="仿宋_GB2312"/>
          <w:bCs/>
          <w:sz w:val="32"/>
          <w:szCs w:val="32"/>
        </w:rPr>
        <w:t>资金的支付有完整的审批程序和手续符合制度要求。</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1" w:name="_Toc26401550"/>
      <w:r>
        <w:rPr>
          <w:rFonts w:hint="eastAsia"/>
        </w:rPr>
        <w:t>资金</w:t>
      </w:r>
      <w:bookmarkEnd w:id="1"/>
      <w:r>
        <w:rPr>
          <w:rFonts w:hint="eastAsia"/>
        </w:rPr>
        <w:t>投入和使用情况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bookmarkStart w:id="2" w:name="_Toc26401551"/>
      <w:r>
        <w:rPr>
          <w:rFonts w:hint="eastAsia" w:ascii="仿宋_GB2312" w:hAnsi="仿宋" w:eastAsia="仿宋_GB2312" w:cs="宋体"/>
          <w:sz w:val="32"/>
          <w:szCs w:val="32"/>
        </w:rPr>
        <w:t>本项目总投资520万元，资金来源为自治区专项资金520万元。此项资金的使用范围：</w:t>
      </w:r>
      <w:r>
        <w:rPr>
          <w:rFonts w:hint="eastAsia" w:ascii="仿宋_GB2312" w:hAnsi="仿宋" w:eastAsia="仿宋_GB2312"/>
          <w:sz w:val="32"/>
          <w:szCs w:val="32"/>
        </w:rPr>
        <w:t>根据</w:t>
      </w:r>
      <w:r>
        <w:rPr>
          <w:rFonts w:hint="eastAsia" w:ascii="仿宋_GB2312" w:hAnsi="仿宋" w:eastAsia="仿宋_GB2312"/>
          <w:bCs/>
          <w:spacing w:val="-4"/>
          <w:sz w:val="32"/>
          <w:szCs w:val="32"/>
        </w:rPr>
        <w:t>新财预［2019］15号、喀财预［2019］10号</w:t>
      </w:r>
      <w:r>
        <w:rPr>
          <w:rFonts w:hint="eastAsia" w:ascii="仿宋_GB2312" w:hAnsi="仿宋" w:eastAsia="仿宋_GB2312"/>
          <w:sz w:val="32"/>
          <w:szCs w:val="32"/>
        </w:rPr>
        <w:t>文件要求，保证村容村貌项目稳步提升，确保扶贫经费用在实处，达到村容村貌资金专款专用的效果，并且严格按照会计制度的要求支出，为恰其库木管理区2020年如期脱贫提供基础。</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叶城县恰其库木管理区人民政府制定了</w:t>
      </w:r>
      <w:r>
        <w:rPr>
          <w:rFonts w:hint="eastAsia" w:ascii="仿宋_GB2312" w:hAnsi="仿宋" w:eastAsia="仿宋_GB2312"/>
          <w:sz w:val="32"/>
          <w:szCs w:val="32"/>
        </w:rPr>
        <w:t>村容村貌资金及扶贫工作经费项目</w:t>
      </w:r>
      <w:r>
        <w:rPr>
          <w:rFonts w:hint="eastAsia" w:ascii="仿宋_GB2312" w:hAnsi="仿宋" w:eastAsia="仿宋_GB2312" w:cs="宋体"/>
          <w:sz w:val="32"/>
          <w:szCs w:val="32"/>
        </w:rPr>
        <w:t>资金管理办法，按照</w:t>
      </w:r>
      <w:r>
        <w:rPr>
          <w:rFonts w:hint="eastAsia" w:ascii="仿宋_GB2312" w:hAnsi="仿宋" w:eastAsia="仿宋_GB2312"/>
          <w:bCs/>
          <w:spacing w:val="-4"/>
          <w:sz w:val="32"/>
          <w:szCs w:val="32"/>
        </w:rPr>
        <w:t>新财预［2019］15号、喀财预［2019］10号</w:t>
      </w:r>
      <w:r>
        <w:rPr>
          <w:rFonts w:hint="eastAsia" w:ascii="仿宋_GB2312" w:hAnsi="仿宋" w:eastAsia="仿宋_GB2312" w:cs="宋体"/>
          <w:sz w:val="32"/>
          <w:szCs w:val="32"/>
        </w:rPr>
        <w:t>文件进行使用。</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绩效目标</w:t>
      </w:r>
      <w:bookmarkEnd w:id="2"/>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仿宋"/>
          <w:spacing w:val="-4"/>
          <w:sz w:val="32"/>
          <w:szCs w:val="32"/>
        </w:rPr>
      </w:pPr>
      <w:bookmarkStart w:id="3" w:name="_Toc26401552"/>
      <w:r>
        <w:rPr>
          <w:rFonts w:hint="eastAsia" w:ascii="仿宋_GB2312" w:hAnsi="仿宋" w:eastAsia="仿宋_GB2312" w:cs="宋体"/>
          <w:sz w:val="32"/>
          <w:szCs w:val="32"/>
        </w:rPr>
        <w:t>总体目标为：恰其库木管理区2019年</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主要用于</w:t>
      </w:r>
      <w:r>
        <w:rPr>
          <w:rFonts w:hint="eastAsia" w:ascii="仿宋_GB2312" w:hAnsi="仿宋_GB2312" w:eastAsia="仿宋_GB2312" w:cs="仿宋_GB2312"/>
          <w:bCs/>
          <w:sz w:val="32"/>
          <w:szCs w:val="32"/>
        </w:rPr>
        <w:t>加快村级美化及改善人文环境，加强基层组织建设</w:t>
      </w:r>
      <w:r>
        <w:rPr>
          <w:rFonts w:hint="eastAsia" w:ascii="仿宋_GB2312" w:hAnsi="仿宋" w:eastAsia="仿宋_GB2312" w:cs="宋体"/>
          <w:sz w:val="32"/>
          <w:szCs w:val="32"/>
        </w:rPr>
        <w:t>，解决乡村环境脏乱差问题，有效带动群众的积极心，提升群众的获得感与幸福感，</w:t>
      </w:r>
      <w:r>
        <w:rPr>
          <w:rFonts w:hint="eastAsia" w:ascii="仿宋_GB2312" w:hAnsi="仿宋_GB2312" w:eastAsia="仿宋_GB2312" w:cs="仿宋_GB2312"/>
          <w:bCs/>
          <w:sz w:val="32"/>
          <w:szCs w:val="32"/>
        </w:rPr>
        <w:t>极大提高服务办事效率</w:t>
      </w:r>
      <w:r>
        <w:rPr>
          <w:rFonts w:hint="eastAsia" w:ascii="仿宋_GB2312" w:hAnsi="仿宋" w:eastAsia="仿宋_GB2312" w:cs="宋体"/>
          <w:sz w:val="32"/>
          <w:szCs w:val="32"/>
        </w:rPr>
        <w:t>。进一步改善农村卫生环境，提高农民群众生活质量，积极倡导文明健康的生活方式，建立健全农村环境卫生整治的长效机制，全面推进社会主义新农村建设。项目共涉恰其库木管理区8个贫困村，解决群众出行不易、劳动无去处的问题，</w:t>
      </w:r>
      <w:r>
        <w:rPr>
          <w:rFonts w:hint="eastAsia" w:ascii="仿宋_GB2312" w:hAnsi="仿宋" w:eastAsia="仿宋_GB2312" w:cs="仿宋"/>
          <w:spacing w:val="-4"/>
          <w:sz w:val="32"/>
          <w:szCs w:val="32"/>
        </w:rPr>
        <w:t>提高乡镇村级美化环境能力建设，资金支付完全按照预期签订的合同支付。此项资金共计520万元，全面提升了农村农居建筑风貌，按照整洁有序的标准，全面消除房屋与环境的安全隐患，加快建设美丽宜居村落，提升农民幸福感与获得感。</w:t>
      </w: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评价工作简述</w:t>
      </w:r>
      <w:bookmarkEnd w:id="3"/>
    </w:p>
    <w:p>
      <w:pPr>
        <w:pStyle w:val="25"/>
        <w:pageBreakBefore w:val="0"/>
        <w:widowControl w:val="0"/>
        <w:numPr>
          <w:ilvl w:val="0"/>
          <w:numId w:val="3"/>
        </w:numPr>
        <w:kinsoku/>
        <w:wordWrap/>
        <w:overflowPunct/>
        <w:topLinePunct w:val="0"/>
        <w:autoSpaceDE/>
        <w:autoSpaceDN/>
        <w:bidi w:val="0"/>
        <w:adjustRightInd/>
        <w:snapToGrid/>
        <w:spacing w:before="0" w:after="0" w:line="560" w:lineRule="exact"/>
        <w:ind w:left="0" w:firstLine="643" w:firstLineChars="200"/>
        <w:textAlignment w:val="auto"/>
      </w:pPr>
      <w:bookmarkStart w:id="4" w:name="_Toc26401553"/>
      <w:r>
        <w:rPr>
          <w:rFonts w:hint="eastAsia"/>
        </w:rPr>
        <w:t>评价目的</w:t>
      </w:r>
      <w:bookmarkEnd w:id="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FF0000"/>
          <w:sz w:val="32"/>
          <w:szCs w:val="32"/>
        </w:rPr>
      </w:pPr>
      <w:bookmarkStart w:id="5" w:name="_Toc26401554"/>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w:t>
      </w:r>
      <w:r>
        <w:rPr>
          <w:rFonts w:hint="eastAsia" w:ascii="仿宋_GB2312" w:hAnsi="仿宋" w:eastAsia="仿宋_GB2312" w:cs="仿宋"/>
          <w:spacing w:val="-4"/>
          <w:sz w:val="32"/>
          <w:szCs w:val="32"/>
        </w:rPr>
        <w:t>全面提升了农村农居建筑风貌，按照整洁有序的标准，全面消除房屋与环境的安全隐患，加快建设美丽宜居村落，提升农民幸福感与获得感。</w:t>
      </w:r>
    </w:p>
    <w:p>
      <w:pPr>
        <w:pageBreakBefore w:val="0"/>
        <w:widowControl w:val="0"/>
        <w:numPr>
          <w:ilvl w:val="0"/>
          <w:numId w:val="4"/>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通过部门项目支出绩效自评,进一步严格落实《预算法》以及党中央、国务院关于加强预算绩效管理的指示精神,建立健全“花钱问效”的绩效预算管理机制、提升政府效能。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pageBreakBefore w:val="0"/>
        <w:widowControl w:val="0"/>
        <w:numPr>
          <w:ilvl w:val="0"/>
          <w:numId w:val="4"/>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项目为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pageBreakBefore w:val="0"/>
        <w:widowControl w:val="0"/>
        <w:numPr>
          <w:ilvl w:val="0"/>
          <w:numId w:val="4"/>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本次评价从村容村貌整治项目产生的效果角度出发,力求从绩效的角度发现2019年度村容村貌整治项目中取得的成绩和产生的问题,优化财政支出管理改革,为下一步实施绩效预算奠定基础。</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pPr>
      <w:r>
        <w:rPr>
          <w:rFonts w:hint="eastAsia" w:ascii="仿宋_GB2312" w:hAnsi="仿宋" w:eastAsia="仿宋_GB2312" w:cs="宋体"/>
          <w:sz w:val="32"/>
          <w:szCs w:val="32"/>
        </w:rPr>
        <w:t>4,通过评价,从绩效的角度发现该项目在决策、实施和管理过程中存在的问题,寻求解决方案,为进一步深化项目管理工作提供依据,以促进改</w:t>
      </w:r>
      <w:r>
        <w:rPr>
          <w:rFonts w:hint="eastAsia" w:ascii="仿宋_GB2312" w:hAnsi="仿宋_GB2312" w:eastAsia="仿宋_GB2312" w:cs="仿宋_GB2312"/>
          <w:bCs/>
          <w:sz w:val="32"/>
          <w:szCs w:val="32"/>
        </w:rPr>
        <w:t>善恰其库木管理区村容村貌整体水平，解决农民稳住出行不易，生活环境差，基础设施薄弱等问题，项目施工人员全部为当地农民，带动了农村就业难、生活无保障等问题，增加了群众的满意度。同时</w:t>
      </w:r>
      <w:r>
        <w:rPr>
          <w:rFonts w:hint="eastAsia" w:ascii="仿宋_GB2312" w:hAnsi="仿宋" w:eastAsia="仿宋_GB2312" w:cs="宋体"/>
          <w:sz w:val="32"/>
          <w:szCs w:val="32"/>
        </w:rPr>
        <w:t>做到了基层民主深入民心，农村党建扎实推进，乡风文明日新月异，农村经济快速发展社会主义新农村建设蓬勃发展。</w:t>
      </w:r>
      <w:r>
        <w:rPr>
          <w:rFonts w:ascii="仿宋_GB2312" w:hAnsi="仿宋" w:eastAsia="仿宋_GB2312" w:cs="宋体"/>
          <w:sz w:val="32"/>
          <w:szCs w:val="32"/>
        </w:rPr>
        <w:t xml:space="preserve"> </w:t>
      </w:r>
    </w:p>
    <w:p>
      <w:pPr>
        <w:pStyle w:val="25"/>
        <w:pageBreakBefore w:val="0"/>
        <w:widowControl w:val="0"/>
        <w:numPr>
          <w:ilvl w:val="0"/>
          <w:numId w:val="0"/>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（二）本次绩效评价的对象及范围</w:t>
      </w:r>
    </w:p>
    <w:bookmarkEnd w:id="5"/>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bookmarkStart w:id="6" w:name="_Toc26401555"/>
      <w:r>
        <w:rPr>
          <w:rFonts w:ascii="仿宋_GB2312" w:hAnsi="仿宋" w:eastAsia="仿宋_GB2312" w:cs="宋体"/>
          <w:sz w:val="32"/>
          <w:szCs w:val="32"/>
        </w:rPr>
        <w:t>本次评价对象为</w:t>
      </w:r>
      <w:r>
        <w:rPr>
          <w:rFonts w:hint="eastAsia" w:ascii="仿宋_GB2312" w:hAnsi="仿宋" w:eastAsia="仿宋_GB2312" w:cs="宋体"/>
          <w:sz w:val="32"/>
          <w:szCs w:val="32"/>
        </w:rPr>
        <w:t>村容村貌整治</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5"/>
        <w:pageBreakBefore w:val="0"/>
        <w:widowControl w:val="0"/>
        <w:numPr>
          <w:ilvl w:val="0"/>
          <w:numId w:val="3"/>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绩效评价原则</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5"/>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hAnsi="仿宋" w:cs="宋体"/>
          <w:b w:val="0"/>
        </w:rPr>
        <w:t>公开透明。绩效评价结果应依法依规公开，并自觉接受社会监督。</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根据以上原则,绩效评价应遵循如下要求:</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（1）在数据采集时,采取客观数据,主管部门审查、社会中介组织复查,与问卷调查相结合的形式,以保证各项指标的真实性。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(2)保证评价结果的真实性、公正性,提高评价报告的公信力。</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(3)绩教评价报告应当简明扼要,除了对绩效评价的过程、结果描述外,还应总结经验,指出问题,并就共性问题提出可操作性改进建议。</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color w:val="000000" w:themeColor="text1"/>
          <w:sz w:val="32"/>
          <w:szCs w:val="32"/>
        </w:rPr>
      </w:pPr>
      <w:r>
        <w:rPr>
          <w:rFonts w:hint="eastAsia" w:ascii="仿宋_GB2312" w:hAnsi="仿宋" w:eastAsia="仿宋_GB2312" w:cs="宋体"/>
          <w:b/>
          <w:bCs/>
          <w:color w:val="000000" w:themeColor="text1"/>
          <w:sz w:val="32"/>
          <w:szCs w:val="32"/>
        </w:rPr>
        <w:t>（四）本项目绩效评价体系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恰其库木管理区村容村貌整治项目特性、恰其库木管理区人民政府各行政村的实际情况,本项目按照财预﹝2020﹞10号文件制定评价指标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我单位选取共性指标：决策中一级指标1个，二级指标3个，三级指标3个，分别是绩效目标合理性、绩效指标明确性及资金分配合理性。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过程中一级指标1个，二级指标3个，三级指标4个，分别是资金到位率、预算执行率，资金使用合规性及管理制度健全性。</w:t>
      </w:r>
    </w:p>
    <w:p>
      <w:pPr>
        <w:pageBreakBefore w:val="0"/>
        <w:widowControl w:val="0"/>
        <w:numPr>
          <w:ilvl w:val="0"/>
          <w:numId w:val="6"/>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项目立项：恰其库木管理区村容村貌整治项目实行四议两公开的形势实施，既村支部提议、村两委班子商议、党员大会审议、村民大会决议和决议公开、实施结果公开的工作方法开展。符合法律法规、相关政策、发展规划的要求。</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2.村容村貌整治项目绩效目标合理明确,目标依据符合客观实际。</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3.预算执行:项目实施过程中资金到位率100%、预算完成率100%,该项目单位本年度预算完成数与预算数的比率达到100%。项目预算资金严格按照计划执行，项目资金使用无偏差。</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lang w:val="en-US" w:eastAsia="zh-CN"/>
        </w:rPr>
        <w:t>4.</w:t>
      </w:r>
      <w:r>
        <w:rPr>
          <w:rFonts w:hint="eastAsia" w:ascii="仿宋_GB2312" w:hAnsi="仿宋" w:eastAsia="仿宋_GB2312" w:cs="宋体"/>
          <w:color w:val="000000" w:themeColor="text1"/>
          <w:sz w:val="32"/>
          <w:szCs w:val="32"/>
        </w:rPr>
        <w:t>组织实施:恰其库木管理区村容村貌整治项目管理制度较为健全,单位为加强预算管理、规范财务行为而制定了“资金管理制度”对于预决算信息公开,恰其库木管理区人民政府严格按照政府信息公开的有关规定公开相关预决算信息。</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5.职责履行:恰其库木管理区村容村貌整治项目实际完成率达到了100%,恰其库木管理区人民政府较好的完成了项目实施和资金管理的职责，实际完成工作数与计划工作数的比率达到99%以上。</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6.项目实施所产生的效益：项目实施所产生的社会效益有村民满意度有效提升，可持续影响夯实基层基础明显改善，群众满意度95%以上。</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（五）绩效评价方法</w:t>
      </w:r>
      <w:bookmarkEnd w:id="6"/>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w:t>
      </w:r>
      <w:r>
        <w:rPr>
          <w:rFonts w:ascii="仿宋_GB2312" w:hAnsi="仿宋" w:eastAsia="仿宋_GB2312" w:cs="宋体"/>
          <w:sz w:val="32"/>
          <w:szCs w:val="32"/>
        </w:rPr>
        <w:t>目标比较</w:t>
      </w:r>
      <w:r>
        <w:rPr>
          <w:rFonts w:hint="eastAsia" w:ascii="仿宋_GB2312" w:hAnsi="仿宋" w:eastAsia="仿宋_GB2312" w:cs="宋体"/>
          <w:sz w:val="32"/>
          <w:szCs w:val="32"/>
        </w:rPr>
        <w:t>法。村容村貌项目资金520万元，完成村数量6个，项目均已完工且验收合格并投入使用，群众反映良好。年初的各项指标均已达成。</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（六）评价标准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bCs w:val="0"/>
        </w:rPr>
      </w:pPr>
      <w:bookmarkStart w:id="7" w:name="_Toc26401558"/>
      <w:r>
        <w:rPr>
          <w:rFonts w:hint="eastAsia" w:hAnsi="仿宋" w:cs="宋体"/>
          <w:b w:val="0"/>
          <w:bCs w:val="0"/>
        </w:rPr>
        <w:t>项目评价标准采用计划标准</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pPr>
      <w:r>
        <w:rPr>
          <w:rFonts w:hint="eastAsia" w:ascii="仿宋_GB2312" w:hAnsi="仿宋" w:eastAsia="仿宋_GB2312" w:cs="宋体"/>
          <w:sz w:val="32"/>
          <w:szCs w:val="32"/>
        </w:rPr>
        <w:t>计划标准:计划标准为年度预期目标村容村貌的村8个，实施该项目是彻底改善人居环境，转变农民生活方式，提高农民生活质量，促进文明住行，淡化氛围的重要抓手。是解决新农村建设“只见新房，不见新村”问题的根据途径，项目资金预算数520万元。已达到该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（七）绩效评价工作过程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rPr>
      </w:pPr>
      <w:r>
        <w:rPr>
          <w:rFonts w:hint="eastAsia"/>
          <w:b w:val="0"/>
          <w:bCs w:val="0"/>
        </w:rPr>
        <w:t>本次评价成立了评价工作组，</w:t>
      </w:r>
      <w:bookmarkStart w:id="8" w:name="_GoBack"/>
      <w:bookmarkEnd w:id="8"/>
      <w:r>
        <w:rPr>
          <w:rFonts w:hint="eastAsia"/>
          <w:b w:val="0"/>
          <w:bCs w:val="0"/>
        </w:rPr>
        <w:t>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评价人</w:t>
            </w:r>
          </w:p>
        </w:tc>
        <w:tc>
          <w:tcPr>
            <w:tcW w:w="2765"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职责</w:t>
            </w:r>
          </w:p>
        </w:tc>
        <w:tc>
          <w:tcPr>
            <w:tcW w:w="2766"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艾尔西丁·买提斯地克</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评价组组长</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常务副乡长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木塔力甫·艾则孜</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财政所所长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ind w:firstLine="840" w:firstLineChars="300"/>
              <w:rPr>
                <w:b w:val="0"/>
                <w:bCs w:val="0"/>
                <w:sz w:val="28"/>
                <w:szCs w:val="28"/>
              </w:rPr>
            </w:pPr>
            <w:r>
              <w:rPr>
                <w:rFonts w:hint="eastAsia"/>
                <w:b w:val="0"/>
                <w:bCs w:val="0"/>
                <w:sz w:val="28"/>
                <w:szCs w:val="28"/>
              </w:rPr>
              <w:t>孙燕飞</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扶贫副书记项目负责人</w:t>
            </w:r>
          </w:p>
        </w:tc>
      </w:tr>
    </w:tbl>
    <w:p>
      <w:pPr>
        <w:pStyle w:val="23"/>
        <w:pageBreakBefore w:val="0"/>
        <w:widowControl w:val="0"/>
        <w:kinsoku/>
        <w:wordWrap/>
        <w:overflowPunct/>
        <w:topLinePunct w:val="0"/>
        <w:autoSpaceDE/>
        <w:autoSpaceDN/>
        <w:bidi w:val="0"/>
        <w:spacing w:before="0" w:after="0" w:line="560" w:lineRule="exact"/>
        <w:ind w:left="0" w:leftChars="0" w:firstLine="640" w:firstLineChars="200"/>
        <w:textAlignment w:val="auto"/>
        <w:rPr>
          <w:rFonts w:ascii="仿宋_GB2312" w:hAnsi="仿宋" w:eastAsia="仿宋_GB2312" w:cs="宋体"/>
          <w:b w:val="0"/>
          <w:bCs w:val="0"/>
          <w:kern w:val="2"/>
        </w:rPr>
      </w:pPr>
      <w:r>
        <w:rPr>
          <w:rFonts w:hint="eastAsia" w:ascii="仿宋_GB2312" w:hAnsi="仿宋" w:eastAsia="仿宋_GB2312" w:cs="宋体"/>
          <w:b w:val="0"/>
          <w:bCs w:val="0"/>
          <w:kern w:val="2"/>
        </w:rPr>
        <w:t>本次评价设计了评价方案、评价指标体系，通过资料分析、调研、访谈满意度调查等方式形成评价结论，在与项目单位沟通后确定评价意见，并出具评价报告。</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lang w:val="en-US" w:eastAsia="zh-CN"/>
        </w:rPr>
        <w:t>1.</w:t>
      </w:r>
      <w:r>
        <w:rPr>
          <w:rFonts w:hint="eastAsia" w:ascii="仿宋_GB2312" w:hAnsi="仿宋" w:eastAsia="仿宋_GB2312" w:cs="宋体"/>
          <w:bCs/>
          <w:sz w:val="32"/>
          <w:szCs w:val="32"/>
        </w:rPr>
        <w:t>数据采集方法及过程</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本次绩效评价数据包括定性和定量两种数据,定性数据主要通过实地考察、面对面访谈,问卷调研等社会调查的方式来采集。</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Style w:val="19"/>
        <w:pageBreakBefore w:val="0"/>
        <w:widowControl w:val="0"/>
        <w:numPr>
          <w:ilvl w:val="0"/>
          <w:numId w:val="0"/>
        </w:numPr>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lang w:val="en-US" w:eastAsia="zh-CN"/>
        </w:rPr>
        <w:t>2.</w:t>
      </w:r>
      <w:r>
        <w:rPr>
          <w:rFonts w:hint="eastAsia" w:ascii="仿宋_GB2312" w:hAnsi="仿宋" w:eastAsia="仿宋_GB2312" w:cs="宋体"/>
          <w:bCs/>
          <w:sz w:val="32"/>
          <w:szCs w:val="32"/>
        </w:rPr>
        <w:t>绩效评价实施过程</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1</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w:t>
      </w:r>
      <w:r>
        <w:rPr>
          <w:rFonts w:hint="eastAsia" w:ascii="仿宋_GB2312" w:hAnsi="仿宋" w:eastAsia="仿宋_GB2312" w:cs="宋体"/>
          <w:bCs/>
          <w:sz w:val="32"/>
          <w:szCs w:val="32"/>
        </w:rPr>
        <w:t>问卷调查</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7</w:t>
      </w:r>
      <w:r>
        <w:rPr>
          <w:rFonts w:ascii="仿宋_GB2312" w:hAnsi="仿宋" w:eastAsia="仿宋_GB2312" w:cs="宋体"/>
          <w:sz w:val="32"/>
          <w:szCs w:val="32"/>
        </w:rPr>
        <w:t>月</w:t>
      </w:r>
      <w:r>
        <w:rPr>
          <w:rFonts w:hint="eastAsia" w:ascii="仿宋_GB2312" w:hAnsi="仿宋" w:eastAsia="仿宋_GB2312" w:cs="宋体"/>
          <w:sz w:val="32"/>
          <w:szCs w:val="32"/>
        </w:rPr>
        <w:t>1</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7</w:t>
      </w:r>
      <w:r>
        <w:rPr>
          <w:rFonts w:ascii="仿宋_GB2312" w:hAnsi="仿宋" w:eastAsia="仿宋_GB2312" w:cs="宋体"/>
          <w:sz w:val="32"/>
          <w:szCs w:val="32"/>
        </w:rPr>
        <w:t>月</w:t>
      </w:r>
      <w:r>
        <w:rPr>
          <w:rFonts w:hint="eastAsia" w:ascii="仿宋_GB2312" w:hAnsi="仿宋" w:eastAsia="仿宋_GB2312" w:cs="宋体"/>
          <w:sz w:val="32"/>
          <w:szCs w:val="32"/>
        </w:rPr>
        <w:t>30</w:t>
      </w:r>
      <w:r>
        <w:rPr>
          <w:rFonts w:ascii="仿宋_GB2312" w:hAnsi="仿宋" w:eastAsia="仿宋_GB2312" w:cs="宋体"/>
          <w:sz w:val="32"/>
          <w:szCs w:val="32"/>
        </w:rPr>
        <w:t>日,项目组对</w:t>
      </w:r>
      <w:r>
        <w:rPr>
          <w:rFonts w:hint="eastAsia" w:ascii="仿宋_GB2312" w:hAnsi="仿宋" w:eastAsia="仿宋_GB2312" w:cs="宋体"/>
          <w:sz w:val="32"/>
          <w:szCs w:val="32"/>
        </w:rPr>
        <w:t>村容村貌实施村进行问卷调查</w:t>
      </w:r>
      <w:r>
        <w:rPr>
          <w:rFonts w:ascii="仿宋_GB2312" w:hAnsi="仿宋" w:eastAsia="仿宋_GB2312" w:cs="宋体"/>
          <w:sz w:val="32"/>
          <w:szCs w:val="32"/>
        </w:rPr>
        <w:t>。向</w:t>
      </w:r>
      <w:r>
        <w:rPr>
          <w:rFonts w:hint="eastAsia" w:ascii="仿宋_GB2312" w:hAnsi="仿宋" w:eastAsia="仿宋_GB2312" w:cs="宋体"/>
          <w:sz w:val="32"/>
          <w:szCs w:val="32"/>
        </w:rPr>
        <w:t>全乡</w:t>
      </w:r>
      <w:r>
        <w:rPr>
          <w:rFonts w:ascii="仿宋_GB2312" w:hAnsi="仿宋" w:eastAsia="仿宋_GB2312" w:cs="宋体"/>
          <w:sz w:val="32"/>
          <w:szCs w:val="32"/>
        </w:rPr>
        <w:t>共发放</w:t>
      </w:r>
      <w:r>
        <w:rPr>
          <w:rFonts w:hint="eastAsia" w:ascii="仿宋_GB2312" w:hAnsi="仿宋" w:eastAsia="仿宋_GB2312" w:cs="宋体"/>
          <w:sz w:val="32"/>
          <w:szCs w:val="32"/>
        </w:rPr>
        <w:t>160</w:t>
      </w:r>
      <w:r>
        <w:rPr>
          <w:rFonts w:ascii="仿宋_GB2312" w:hAnsi="仿宋" w:eastAsia="仿宋_GB2312" w:cs="宋体"/>
          <w:sz w:val="32"/>
          <w:szCs w:val="32"/>
        </w:rPr>
        <w:t>份问卷,回收</w:t>
      </w:r>
      <w:r>
        <w:rPr>
          <w:rFonts w:hint="eastAsia" w:ascii="仿宋_GB2312" w:hAnsi="仿宋" w:eastAsia="仿宋_GB2312" w:cs="宋体"/>
          <w:sz w:val="32"/>
          <w:szCs w:val="32"/>
        </w:rPr>
        <w:t>160</w:t>
      </w:r>
      <w:r>
        <w:rPr>
          <w:rFonts w:ascii="仿宋_GB2312" w:hAnsi="仿宋" w:eastAsia="仿宋_GB2312" w:cs="宋体"/>
          <w:sz w:val="32"/>
          <w:szCs w:val="32"/>
        </w:rPr>
        <w:t>份问卷,其中有效问卷为</w:t>
      </w:r>
      <w:r>
        <w:rPr>
          <w:rFonts w:hint="eastAsia" w:ascii="仿宋_GB2312" w:hAnsi="仿宋" w:eastAsia="仿宋_GB2312" w:cs="宋体"/>
          <w:sz w:val="32"/>
          <w:szCs w:val="32"/>
        </w:rPr>
        <w:t>152</w:t>
      </w:r>
      <w:r>
        <w:rPr>
          <w:rFonts w:ascii="仿宋_GB2312" w:hAnsi="仿宋" w:eastAsia="仿宋_GB2312" w:cs="宋体"/>
          <w:sz w:val="32"/>
          <w:szCs w:val="32"/>
        </w:rPr>
        <w:t>份,有效问卷为</w:t>
      </w:r>
      <w:r>
        <w:rPr>
          <w:rFonts w:hint="eastAsia" w:ascii="仿宋_GB2312" w:hAnsi="仿宋" w:eastAsia="仿宋_GB2312" w:cs="宋体"/>
          <w:sz w:val="32"/>
          <w:szCs w:val="32"/>
        </w:rPr>
        <w:t>95</w:t>
      </w:r>
      <w:r>
        <w:rPr>
          <w:rFonts w:ascii="仿宋_GB2312" w:hAnsi="仿宋" w:eastAsia="仿宋_GB2312" w:cs="宋体"/>
          <w:sz w:val="32"/>
          <w:szCs w:val="32"/>
        </w:rPr>
        <w:t>%</w:t>
      </w:r>
      <w:r>
        <w:rPr>
          <w:rFonts w:hint="eastAsia" w:ascii="仿宋_GB2312" w:hAnsi="仿宋" w:eastAsia="仿宋_GB2312" w:cs="宋体"/>
          <w:sz w:val="32"/>
          <w:szCs w:val="32"/>
        </w:rPr>
        <w:t>，再</w:t>
      </w:r>
      <w:r>
        <w:rPr>
          <w:rFonts w:ascii="仿宋_GB2312" w:hAnsi="仿宋" w:eastAsia="仿宋_GB2312" w:cs="宋体"/>
          <w:sz w:val="32"/>
          <w:szCs w:val="32"/>
        </w:rPr>
        <w:t>通过问卷录入、分析、整理后,形成社会调查满意度报告</w:t>
      </w:r>
      <w:r>
        <w:rPr>
          <w:rFonts w:hint="eastAsia" w:ascii="仿宋_GB2312" w:hAnsi="仿宋" w:eastAsia="仿宋_GB2312" w:cs="宋体"/>
          <w:sz w:val="32"/>
          <w:szCs w:val="32"/>
        </w:rPr>
        <w:t>。</w:t>
      </w:r>
    </w:p>
    <w:p>
      <w:pPr>
        <w:pageBreakBefore w:val="0"/>
        <w:widowControl w:val="0"/>
        <w:tabs>
          <w:tab w:val="left" w:pos="312"/>
        </w:tabs>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rPr>
        <w:t>2</w:t>
      </w: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rPr>
        <w:t>.访谈</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7</w:t>
      </w:r>
      <w:r>
        <w:rPr>
          <w:rFonts w:ascii="仿宋_GB2312" w:hAnsi="仿宋" w:eastAsia="仿宋_GB2312" w:cs="宋体"/>
          <w:sz w:val="32"/>
          <w:szCs w:val="32"/>
        </w:rPr>
        <w:t>月</w:t>
      </w:r>
      <w:r>
        <w:rPr>
          <w:rFonts w:hint="eastAsia" w:ascii="仿宋_GB2312" w:hAnsi="仿宋" w:eastAsia="仿宋_GB2312" w:cs="宋体"/>
          <w:sz w:val="32"/>
          <w:szCs w:val="32"/>
        </w:rPr>
        <w:t>1</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7</w:t>
      </w:r>
      <w:r>
        <w:rPr>
          <w:rFonts w:ascii="仿宋_GB2312" w:hAnsi="仿宋" w:eastAsia="仿宋_GB2312" w:cs="宋体"/>
          <w:sz w:val="32"/>
          <w:szCs w:val="32"/>
        </w:rPr>
        <w:t>月</w:t>
      </w:r>
      <w:r>
        <w:rPr>
          <w:rFonts w:hint="eastAsia" w:ascii="仿宋_GB2312" w:hAnsi="仿宋" w:eastAsia="仿宋_GB2312" w:cs="宋体"/>
          <w:sz w:val="32"/>
          <w:szCs w:val="32"/>
        </w:rPr>
        <w:t>30</w:t>
      </w:r>
      <w:r>
        <w:rPr>
          <w:rFonts w:ascii="仿宋_GB2312" w:hAnsi="仿宋" w:eastAsia="仿宋_GB2312" w:cs="宋体"/>
          <w:sz w:val="32"/>
          <w:szCs w:val="32"/>
        </w:rPr>
        <w:t>日,针对</w:t>
      </w:r>
      <w:r>
        <w:rPr>
          <w:rFonts w:hint="eastAsia" w:ascii="仿宋_GB2312" w:hAnsi="仿宋" w:eastAsia="仿宋_GB2312" w:cs="宋体"/>
          <w:sz w:val="32"/>
          <w:szCs w:val="32"/>
        </w:rPr>
        <w:t>村容村貌</w:t>
      </w:r>
      <w:r>
        <w:rPr>
          <w:rFonts w:ascii="仿宋_GB2312" w:hAnsi="仿宋" w:eastAsia="仿宋_GB2312" w:cs="宋体"/>
          <w:sz w:val="32"/>
          <w:szCs w:val="32"/>
        </w:rPr>
        <w:t>项目开展情况、管理措施和项目管理的经验、困难与建议等问题进行访问和了解,项目组开展了访谈工作。访谈对象主要包括:</w:t>
      </w:r>
      <w:r>
        <w:rPr>
          <w:rFonts w:hint="eastAsia" w:ascii="仿宋_GB2312" w:hAnsi="仿宋" w:eastAsia="仿宋_GB2312" w:cs="宋体"/>
          <w:sz w:val="32"/>
          <w:szCs w:val="32"/>
        </w:rPr>
        <w:t>叶城县扶贫办</w:t>
      </w:r>
      <w:r>
        <w:rPr>
          <w:rFonts w:ascii="仿宋_GB2312" w:hAnsi="仿宋" w:eastAsia="仿宋_GB2312" w:cs="宋体"/>
          <w:sz w:val="32"/>
          <w:szCs w:val="32"/>
        </w:rPr>
        <w:t>、</w:t>
      </w:r>
      <w:r>
        <w:rPr>
          <w:rFonts w:hint="eastAsia" w:ascii="仿宋_GB2312" w:hAnsi="仿宋" w:eastAsia="仿宋_GB2312" w:cs="宋体"/>
          <w:sz w:val="32"/>
          <w:szCs w:val="32"/>
        </w:rPr>
        <w:t>叶城县恰其库木管理区人民政府</w:t>
      </w:r>
      <w:r>
        <w:rPr>
          <w:rFonts w:ascii="仿宋_GB2312" w:hAnsi="仿宋" w:eastAsia="仿宋_GB2312" w:cs="宋体"/>
          <w:sz w:val="32"/>
          <w:szCs w:val="32"/>
        </w:rPr>
        <w:t>、部分村委会的负责人。访谈方式包括电话访谈和上门访谈。最后项目组集中撰写了访谈报告。</w:t>
      </w:r>
    </w:p>
    <w:p>
      <w:pPr>
        <w:pageBreakBefore w:val="0"/>
        <w:widowControl w:val="0"/>
        <w:tabs>
          <w:tab w:val="left" w:pos="312"/>
        </w:tabs>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rPr>
        <w:t>3</w:t>
      </w: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rPr>
        <w:t>.数据分析及撰写报告</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7</w:t>
      </w:r>
      <w:r>
        <w:rPr>
          <w:rFonts w:ascii="仿宋_GB2312" w:hAnsi="仿宋" w:eastAsia="仿宋_GB2312" w:cs="宋体"/>
          <w:sz w:val="32"/>
          <w:szCs w:val="32"/>
        </w:rPr>
        <w:t>月</w:t>
      </w:r>
      <w:r>
        <w:rPr>
          <w:rFonts w:hint="eastAsia" w:ascii="仿宋_GB2312" w:hAnsi="仿宋" w:eastAsia="仿宋_GB2312" w:cs="宋体"/>
          <w:sz w:val="32"/>
          <w:szCs w:val="32"/>
        </w:rPr>
        <w:t>1</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7</w:t>
      </w:r>
      <w:r>
        <w:rPr>
          <w:rFonts w:ascii="仿宋_GB2312" w:hAnsi="仿宋" w:eastAsia="仿宋_GB2312" w:cs="宋体"/>
          <w:sz w:val="32"/>
          <w:szCs w:val="32"/>
        </w:rPr>
        <w:t>月</w:t>
      </w:r>
      <w:r>
        <w:rPr>
          <w:rFonts w:hint="eastAsia" w:ascii="仿宋_GB2312" w:hAnsi="仿宋" w:eastAsia="仿宋_GB2312" w:cs="宋体"/>
          <w:sz w:val="32"/>
          <w:szCs w:val="32"/>
        </w:rPr>
        <w:t>30</w:t>
      </w:r>
      <w:r>
        <w:rPr>
          <w:rFonts w:ascii="仿宋_GB2312" w:hAnsi="仿宋" w:eastAsia="仿宋_GB2312" w:cs="宋体"/>
          <w:sz w:val="32"/>
          <w:szCs w:val="32"/>
        </w:rPr>
        <w:t>日,项目组根据绩效评价的原理和规范,对采集的数据进行甄别、分析和评分,并提炼结论撰写报告,在规定时间内上报委托方,由委托方组织相关专家对报告进行评审。</w:t>
      </w:r>
    </w:p>
    <w:p>
      <w:pPr>
        <w:pStyle w:val="23"/>
        <w:pageBreakBefore w:val="0"/>
        <w:widowControl w:val="0"/>
        <w:kinsoku/>
        <w:wordWrap/>
        <w:overflowPunct/>
        <w:topLinePunct w:val="0"/>
        <w:autoSpaceDE/>
        <w:autoSpaceDN/>
        <w:bidi w:val="0"/>
        <w:spacing w:before="0" w:after="0" w:line="560" w:lineRule="exact"/>
        <w:ind w:left="0" w:leftChars="0" w:firstLine="643" w:firstLineChars="200"/>
        <w:textAlignment w:val="auto"/>
        <w:rPr>
          <w:color w:val="000000" w:themeColor="text1"/>
        </w:rPr>
      </w:pPr>
      <w:r>
        <w:rPr>
          <w:rFonts w:hint="eastAsia" w:ascii="黑体" w:hAnsi="黑体"/>
        </w:rPr>
        <w:t>三、综合评价情况及评价结论</w:t>
      </w:r>
    </w:p>
    <w:p>
      <w:pPr>
        <w:pStyle w:val="23"/>
        <w:pageBreakBefore w:val="0"/>
        <w:widowControl w:val="0"/>
        <w:kinsoku/>
        <w:wordWrap/>
        <w:overflowPunct/>
        <w:topLinePunct w:val="0"/>
        <w:autoSpaceDE/>
        <w:autoSpaceDN/>
        <w:bidi w:val="0"/>
        <w:spacing w:before="0" w:after="0" w:line="560" w:lineRule="exact"/>
        <w:ind w:left="0" w:leftChars="0" w:firstLine="640" w:firstLineChars="200"/>
        <w:textAlignment w:val="auto"/>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经评价组通过实地调研、资料分析等方式，采用综合分析法、成本效益分析法对项目的决策、管理、绩效进行的综合评价分析，项目得分为</w:t>
      </w:r>
      <w:r>
        <w:rPr>
          <w:rFonts w:hint="eastAsia" w:ascii="仿宋_GB2312" w:eastAsia="仿宋_GB2312" w:hAnsiTheme="majorHAnsi"/>
          <w:b w:val="0"/>
          <w:bCs w:val="0"/>
          <w:kern w:val="2"/>
          <w:lang w:val="en-US" w:eastAsia="zh-CN"/>
        </w:rPr>
        <w:t>96</w:t>
      </w:r>
      <w:r>
        <w:rPr>
          <w:rFonts w:hint="eastAsia" w:ascii="仿宋_GB2312" w:eastAsia="仿宋_GB2312" w:hAnsiTheme="majorHAnsi"/>
          <w:b w:val="0"/>
          <w:bCs w:val="0"/>
          <w:kern w:val="2"/>
        </w:rPr>
        <w:t>分，评价结果为优，详见附件4。</w:t>
      </w:r>
    </w:p>
    <w:p>
      <w:pPr>
        <w:pStyle w:val="23"/>
        <w:pageBreakBefore w:val="0"/>
        <w:widowControl w:val="0"/>
        <w:numPr>
          <w:ilvl w:val="0"/>
          <w:numId w:val="7"/>
        </w:numPr>
        <w:kinsoku/>
        <w:wordWrap/>
        <w:overflowPunct/>
        <w:topLinePunct w:val="0"/>
        <w:autoSpaceDE/>
        <w:autoSpaceDN/>
        <w:bidi w:val="0"/>
        <w:spacing w:before="0" w:after="0" w:line="560" w:lineRule="exact"/>
        <w:ind w:left="0" w:leftChars="0" w:firstLine="643" w:firstLineChars="200"/>
        <w:textAlignment w:val="auto"/>
      </w:pPr>
      <w:r>
        <w:rPr>
          <w:rFonts w:hint="eastAsia"/>
        </w:rPr>
        <w:t>绩效评价指标分析</w:t>
      </w:r>
      <w:bookmarkEnd w:id="7"/>
    </w:p>
    <w:p>
      <w:pPr>
        <w:pStyle w:val="19"/>
        <w:pageBreakBefore w:val="0"/>
        <w:widowControl w:val="0"/>
        <w:numPr>
          <w:ilvl w:val="0"/>
          <w:numId w:val="8"/>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sz w:val="32"/>
          <w:szCs w:val="32"/>
        </w:rPr>
      </w:pPr>
      <w:r>
        <w:rPr>
          <w:rFonts w:hint="eastAsia" w:ascii="仿宋_GB2312" w:hAnsi="仿宋" w:eastAsia="仿宋_GB2312" w:cs="宋体"/>
          <w:b/>
          <w:bCs/>
          <w:sz w:val="32"/>
          <w:szCs w:val="32"/>
        </w:rPr>
        <w:t>项目的决策情况</w:t>
      </w:r>
    </w:p>
    <w:p>
      <w:pPr>
        <w:pStyle w:val="28"/>
        <w:pageBreakBefore w:val="0"/>
        <w:widowControl w:val="0"/>
        <w:numPr>
          <w:ilvl w:val="0"/>
          <w:numId w:val="9"/>
        </w:numPr>
        <w:kinsoku/>
        <w:wordWrap/>
        <w:overflowPunct/>
        <w:topLinePunct w:val="0"/>
        <w:autoSpaceDE/>
        <w:autoSpaceDN/>
        <w:bidi w:val="0"/>
        <w:spacing w:line="560" w:lineRule="exact"/>
        <w:ind w:left="0" w:leftChars="0" w:firstLine="640" w:firstLineChars="200"/>
        <w:textAlignment w:val="auto"/>
        <w:rPr>
          <w:rFonts w:ascii="仿宋_GB2312" w:hAnsi="仿宋" w:cs="宋体"/>
          <w:sz w:val="32"/>
          <w:szCs w:val="32"/>
        </w:rPr>
      </w:pPr>
      <w:r>
        <w:rPr>
          <w:rFonts w:hint="eastAsia" w:ascii="仿宋_GB2312" w:hAnsi="仿宋" w:cs="宋体"/>
          <w:sz w:val="32"/>
          <w:szCs w:val="32"/>
        </w:rPr>
        <w:t>决策依据</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本项目根据</w:t>
      </w:r>
      <w:r>
        <w:rPr>
          <w:rFonts w:hint="eastAsia" w:ascii="仿宋" w:hAnsi="仿宋" w:eastAsia="仿宋" w:cs="仿宋"/>
          <w:sz w:val="32"/>
          <w:szCs w:val="32"/>
        </w:rPr>
        <w:t>新财预（2019）105号、喀地财预（2019）73号</w:t>
      </w:r>
      <w:r>
        <w:rPr>
          <w:rFonts w:hint="eastAsia" w:ascii="仿宋_GB2312" w:hAnsi="仿宋" w:eastAsia="仿宋_GB2312" w:cs="宋体"/>
          <w:sz w:val="32"/>
          <w:szCs w:val="32"/>
        </w:rPr>
        <w:t>等文件有关规定立项</w:t>
      </w:r>
      <w:r>
        <w:rPr>
          <w:rFonts w:ascii="仿宋_GB2312" w:hAnsi="仿宋" w:eastAsia="仿宋_GB2312" w:cs="宋体"/>
          <w:sz w:val="32"/>
          <w:szCs w:val="32"/>
        </w:rPr>
        <w:t>，</w:t>
      </w:r>
      <w:r>
        <w:rPr>
          <w:rFonts w:hint="eastAsia" w:ascii="仿宋_GB2312" w:hAnsi="仿宋" w:eastAsia="仿宋_GB2312" w:cs="宋体"/>
          <w:sz w:val="32"/>
          <w:szCs w:val="32"/>
        </w:rPr>
        <w:t>结合恰其库木管理区的实际情况，将该项资金用于美化各村环境，改善各村生活场所，提升人民群众的幸福感和获得感，为脱贫攻坚打下坚实的群众基础。</w:t>
      </w:r>
    </w:p>
    <w:p>
      <w:pPr>
        <w:pageBreakBefore w:val="0"/>
        <w:widowControl w:val="0"/>
        <w:numPr>
          <w:ilvl w:val="0"/>
          <w:numId w:val="9"/>
        </w:numPr>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决策程序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恰其库木管理区人民政府申请，经过多次讨论，确定工作人员名单，并按要求将相关算申请材料报送县扶贫办、财政局对申报项目进行研讨、分析。故该项目预算前期编制进行了实地调查论证及充分研究，预算编制谨慎。</w:t>
      </w:r>
    </w:p>
    <w:p>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b w:val="0"/>
          <w:bCs w:val="0"/>
          <w:kern w:val="2"/>
          <w:sz w:val="32"/>
          <w:szCs w:val="32"/>
        </w:rPr>
      </w:pPr>
      <w:r>
        <w:rPr>
          <w:rFonts w:hint="eastAsia" w:ascii="仿宋_GB2312" w:hAnsi="仿宋" w:eastAsia="仿宋_GB2312" w:cs="宋体"/>
          <w:sz w:val="32"/>
          <w:szCs w:val="32"/>
        </w:rPr>
        <w:t>目标设置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b w:val="0"/>
          <w:bCs w:val="0"/>
          <w:kern w:val="2"/>
          <w:sz w:val="32"/>
          <w:szCs w:val="32"/>
        </w:rPr>
      </w:pPr>
      <w:r>
        <w:rPr>
          <w:rFonts w:ascii="仿宋_GB2312" w:hAnsi="仿宋" w:eastAsia="仿宋_GB2312" w:cs="宋体"/>
          <w:b w:val="0"/>
          <w:bCs w:val="0"/>
          <w:kern w:val="2"/>
          <w:sz w:val="32"/>
          <w:szCs w:val="32"/>
        </w:rPr>
        <w:t>该项目前期项目单位已设置了明确、量化的绩效目标，但其部分绩效指标的设置过于笼统不够细化，经评价小组与</w:t>
      </w:r>
      <w:r>
        <w:rPr>
          <w:rFonts w:hint="eastAsia" w:ascii="仿宋_GB2312" w:hAnsi="仿宋" w:eastAsia="仿宋_GB2312" w:cs="宋体"/>
          <w:b w:val="0"/>
          <w:bCs w:val="0"/>
          <w:kern w:val="2"/>
          <w:sz w:val="32"/>
          <w:szCs w:val="32"/>
        </w:rPr>
        <w:t>叶城县绩效第三方进行咨询商议</w:t>
      </w:r>
      <w:r>
        <w:rPr>
          <w:rFonts w:ascii="仿宋_GB2312" w:hAnsi="仿宋" w:eastAsia="仿宋_GB2312" w:cs="宋体"/>
          <w:b w:val="0"/>
          <w:bCs w:val="0"/>
          <w:kern w:val="2"/>
          <w:sz w:val="32"/>
          <w:szCs w:val="32"/>
        </w:rPr>
        <w:t>，将原有的绩效目标和绩效指标根据项目实际开展情况进一步细化，将绩效目标细分，精准设置绩效指标及准确指标值的表述，因此该项目绩效评价指标体系可明确反映项目目标</w:t>
      </w:r>
      <w:r>
        <w:rPr>
          <w:rFonts w:hint="eastAsia" w:ascii="仿宋_GB2312" w:hAnsi="仿宋" w:eastAsia="仿宋_GB2312" w:cs="宋体"/>
          <w:b w:val="0"/>
          <w:bCs w:val="0"/>
          <w:kern w:val="2"/>
          <w:sz w:val="32"/>
          <w:szCs w:val="32"/>
        </w:rPr>
        <w:t>。</w:t>
      </w:r>
    </w:p>
    <w:p>
      <w:pPr>
        <w:pStyle w:val="19"/>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资金管理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pPr>
      <w:r>
        <w:rPr>
          <w:rFonts w:hint="eastAsia" w:ascii="仿宋_GB2312" w:hAnsi="仿宋_GB2312" w:eastAsia="仿宋_GB2312" w:cs="仿宋_GB2312"/>
          <w:spacing w:val="-4"/>
          <w:sz w:val="32"/>
          <w:szCs w:val="32"/>
        </w:rPr>
        <w:t>叶城县恰其库木管理区人民政府严格按照村容村貌资金管理办法和地区财政资金管理制度支付资金；</w:t>
      </w:r>
      <w:r>
        <w:rPr>
          <w:rFonts w:hint="eastAsia" w:ascii="仿宋_GB2312" w:hAnsi="仿宋" w:eastAsia="仿宋_GB2312" w:cs="宋体"/>
          <w:sz w:val="32"/>
          <w:szCs w:val="32"/>
        </w:rPr>
        <w:t>实行实施一个项目，支付一笔资金、报账一笔资金，资金跟着项目走，项目跟着规划走。资金按时到位，到位率100%。</w:t>
      </w:r>
      <w:r>
        <w:rPr>
          <w:rFonts w:hint="eastAsia" w:ascii="仿宋_GB2312" w:hAnsi="仿宋_GB2312" w:eastAsia="仿宋_GB2312" w:cs="仿宋_GB2312"/>
          <w:spacing w:val="-4"/>
          <w:sz w:val="32"/>
          <w:szCs w:val="32"/>
        </w:rPr>
        <w:t>资金的支付有完整的审批程序和手续符合制度要求；不存在截留、挤占、挪用、虚列支出等情况。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（2）组织实施</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叶城县恰其库木管理区人民政府在项目管理上总体情况较好。该项目预算资金安排520万元，项目实际使用资金520万元，资金按照规定制度及时支付到位。为保证资金的高效、合规使用，叶城县恰其库木管理区人民政府制定并依据项目实施方案，有效促进了村容村貌项目资金支出管理工作。</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2.从制度建设看：制定了《贫困村村容村貌项目管理制度》《贫困村村容村貌项目资金支付管理制度》等相应的管理制度。</w:t>
      </w:r>
    </w:p>
    <w:p>
      <w:pPr>
        <w:pageBreakBefore w:val="0"/>
        <w:widowControl w:val="0"/>
        <w:kinsoku/>
        <w:wordWrap/>
        <w:overflowPunct/>
        <w:topLinePunct w:val="0"/>
        <w:autoSpaceDE/>
        <w:autoSpaceDN/>
        <w:bidi w:val="0"/>
        <w:spacing w:line="560" w:lineRule="exact"/>
        <w:ind w:left="0" w:leftChars="0" w:firstLine="640" w:firstLineChars="200"/>
        <w:textAlignment w:val="auto"/>
      </w:pPr>
      <w:r>
        <w:rPr>
          <w:rFonts w:hint="eastAsia" w:ascii="仿宋_GB2312" w:hAnsi="仿宋" w:eastAsia="仿宋_GB2312" w:cs="宋体"/>
          <w:sz w:val="32"/>
          <w:szCs w:val="32"/>
        </w:rPr>
        <w:t>3.从过程控制部分看：</w:t>
      </w:r>
      <w:r>
        <w:rPr>
          <w:rFonts w:hint="eastAsia" w:ascii="仿宋_GB2312" w:hAnsi="仿宋_GB2312" w:eastAsia="仿宋_GB2312" w:cs="仿宋_GB2312"/>
          <w:spacing w:val="-4"/>
          <w:sz w:val="32"/>
          <w:szCs w:val="32"/>
        </w:rPr>
        <w:t>叶城县恰其库木管理区人民政府严格按照村容村貌资金管理办法和地区财政资金管理制度支付资金；</w:t>
      </w:r>
      <w:r>
        <w:rPr>
          <w:rFonts w:hint="eastAsia" w:ascii="仿宋_GB2312" w:hAnsi="仿宋" w:eastAsia="仿宋_GB2312" w:cs="宋体"/>
          <w:sz w:val="32"/>
          <w:szCs w:val="32"/>
        </w:rPr>
        <w:t>实行实施一个项目，支付一笔资金、报账一笔资金，资金跟着项目走，项目跟着规划走。</w:t>
      </w:r>
    </w:p>
    <w:p>
      <w:pPr>
        <w:pStyle w:val="19"/>
        <w:pageBreakBefore w:val="0"/>
        <w:widowControl w:val="0"/>
        <w:numPr>
          <w:ilvl w:val="0"/>
          <w:numId w:val="8"/>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eastAsia="仿宋_GB2312"/>
          <w:sz w:val="32"/>
          <w:szCs w:val="32"/>
        </w:rPr>
        <w:t>通过项目的实施，</w:t>
      </w:r>
      <w:r>
        <w:rPr>
          <w:rFonts w:hint="eastAsia" w:ascii="仿宋_GB2312" w:hAnsi="仿宋" w:eastAsia="仿宋_GB2312" w:cs="宋体"/>
          <w:sz w:val="32"/>
          <w:szCs w:val="32"/>
        </w:rPr>
        <w:t>村容村貌项目实际完成6个村，实现预期目标建设，资金支付率达到100%。达到了美化各村环境，改善各村生活场所，提升人民群众的幸福感和获得感，为脱贫攻坚打下坚实的群众基础的目标。</w:t>
      </w:r>
    </w:p>
    <w:tbl>
      <w:tblPr>
        <w:tblStyle w:val="13"/>
        <w:tblW w:w="8342" w:type="dxa"/>
        <w:tblInd w:w="0" w:type="dxa"/>
        <w:shd w:val="clear" w:color="auto" w:fill="auto"/>
        <w:tblLayout w:type="fixed"/>
        <w:tblCellMar>
          <w:top w:w="0" w:type="dxa"/>
          <w:left w:w="0" w:type="dxa"/>
          <w:bottom w:w="0" w:type="dxa"/>
          <w:right w:w="0" w:type="dxa"/>
        </w:tblCellMar>
      </w:tblPr>
      <w:tblGrid>
        <w:gridCol w:w="1502"/>
        <w:gridCol w:w="1272"/>
        <w:gridCol w:w="2836"/>
        <w:gridCol w:w="1689"/>
        <w:gridCol w:w="1043"/>
      </w:tblGrid>
      <w:tr>
        <w:tblPrEx>
          <w:shd w:val="clear" w:color="auto" w:fill="auto"/>
          <w:tblCellMar>
            <w:top w:w="0" w:type="dxa"/>
            <w:left w:w="0" w:type="dxa"/>
            <w:bottom w:w="0" w:type="dxa"/>
            <w:right w:w="0" w:type="dxa"/>
          </w:tblCellMar>
        </w:tblPrEx>
        <w:trPr>
          <w:trHeight w:val="499" w:hRule="atLeast"/>
        </w:trPr>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8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村数量（个）</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shd w:val="clear" w:color="auto" w:fill="auto"/>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经费保障率（%）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shd w:val="clear" w:color="auto" w:fill="auto"/>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项目完工及时率（%）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shd w:val="clear" w:color="auto" w:fill="auto"/>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每个村使用资金（万元/村）</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86.25</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86.25</w:t>
            </w:r>
          </w:p>
        </w:tc>
      </w:tr>
    </w:tbl>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rPr>
      </w:pPr>
    </w:p>
    <w:p>
      <w:pPr>
        <w:pageBreakBefore w:val="0"/>
        <w:widowControl w:val="0"/>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bCs/>
          <w:sz w:val="32"/>
          <w:szCs w:val="32"/>
        </w:rPr>
        <w:t>通过村容村貌项目的实施，全乡6个村8650人均能不同程度收益，项目的可持续效益效益</w:t>
      </w:r>
      <w:r>
        <w:rPr>
          <w:rFonts w:hint="eastAsia" w:ascii="仿宋_GB2312" w:eastAsia="仿宋_GB2312"/>
          <w:sz w:val="32"/>
          <w:szCs w:val="32"/>
        </w:rPr>
        <w:t>指标为</w:t>
      </w:r>
      <w:r>
        <w:rPr>
          <w:rFonts w:hint="eastAsia" w:ascii="仿宋_GB2312" w:hAnsi="仿宋_GB2312" w:eastAsia="仿宋_GB2312" w:cs="仿宋_GB2312"/>
          <w:kern w:val="0"/>
          <w:sz w:val="32"/>
          <w:szCs w:val="32"/>
        </w:rPr>
        <w:t>持续影响年限大于五年</w:t>
      </w:r>
      <w:r>
        <w:rPr>
          <w:rFonts w:hint="eastAsia" w:ascii="仿宋_GB2312" w:eastAsia="仿宋_GB2312"/>
          <w:sz w:val="32"/>
          <w:szCs w:val="32"/>
        </w:rPr>
        <w:t>，</w:t>
      </w:r>
      <w:r>
        <w:rPr>
          <w:rFonts w:hint="eastAsia" w:ascii="仿宋_GB2312" w:hAnsi="仿宋" w:eastAsia="仿宋_GB2312" w:cs="宋体"/>
          <w:bCs/>
          <w:sz w:val="32"/>
          <w:szCs w:val="32"/>
        </w:rPr>
        <w:t>经问卷调查，项目受益群众满意度为95%。</w:t>
      </w:r>
      <w:r>
        <w:rPr>
          <w:rFonts w:hint="eastAsia" w:ascii="仿宋_GB2312" w:hAnsi="仿宋" w:eastAsia="仿宋_GB2312" w:cs="宋体"/>
          <w:sz w:val="32"/>
          <w:szCs w:val="32"/>
        </w:rPr>
        <w:t>有效的美化了各村环境，改善了各村生活场所，提升了人民群众的幸福感和</w:t>
      </w:r>
      <w:r>
        <w:rPr>
          <w:rFonts w:hint="eastAsia" w:ascii="仿宋_GB2312" w:hAnsi="仿宋" w:eastAsia="仿宋_GB2312" w:cs="宋体"/>
          <w:bCs/>
          <w:sz w:val="32"/>
          <w:szCs w:val="32"/>
        </w:rPr>
        <w:t>获得感，为脱贫攻坚打下了坚实的群众基础。</w:t>
      </w:r>
    </w:p>
    <w:tbl>
      <w:tblPr>
        <w:tblStyle w:val="13"/>
        <w:tblW w:w="8342" w:type="dxa"/>
        <w:tblInd w:w="0" w:type="dxa"/>
        <w:shd w:val="clear" w:color="auto" w:fill="auto"/>
        <w:tblLayout w:type="fixed"/>
        <w:tblCellMar>
          <w:top w:w="0" w:type="dxa"/>
          <w:left w:w="0" w:type="dxa"/>
          <w:bottom w:w="0" w:type="dxa"/>
          <w:right w:w="0" w:type="dxa"/>
        </w:tblCellMar>
      </w:tblPr>
      <w:tblGrid>
        <w:gridCol w:w="1502"/>
        <w:gridCol w:w="1272"/>
        <w:gridCol w:w="2836"/>
        <w:gridCol w:w="1689"/>
        <w:gridCol w:w="1043"/>
      </w:tblGrid>
      <w:tr>
        <w:tblPrEx>
          <w:shd w:val="clear" w:color="auto" w:fill="auto"/>
          <w:tblCellMar>
            <w:top w:w="0" w:type="dxa"/>
            <w:left w:w="0" w:type="dxa"/>
            <w:bottom w:w="0" w:type="dxa"/>
            <w:right w:w="0" w:type="dxa"/>
          </w:tblCellMar>
        </w:tblPrEx>
        <w:trPr>
          <w:trHeight w:val="499" w:hRule="atLeast"/>
        </w:trPr>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三级指标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年度指标值</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实际完成值</w:t>
            </w:r>
          </w:p>
        </w:tc>
      </w:tr>
      <w:tr>
        <w:tblPrEx>
          <w:shd w:val="clear" w:color="auto" w:fill="auto"/>
          <w:tblCellMar>
            <w:top w:w="0" w:type="dxa"/>
            <w:left w:w="0" w:type="dxa"/>
            <w:bottom w:w="0" w:type="dxa"/>
            <w:right w:w="0" w:type="dxa"/>
          </w:tblCellMar>
        </w:tblPrEx>
        <w:trPr>
          <w:trHeight w:val="499" w:hRule="atLeast"/>
        </w:trPr>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提升群众幸福指数（%）</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r>
      <w:tr>
        <w:tblPrEx>
          <w:shd w:val="clear" w:color="auto" w:fill="auto"/>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项目使用年限（年）</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shd w:val="clear" w:color="auto" w:fill="auto"/>
          <w:tblCellMar>
            <w:top w:w="0" w:type="dxa"/>
            <w:left w:w="0" w:type="dxa"/>
            <w:bottom w:w="0" w:type="dxa"/>
            <w:right w:w="0" w:type="dxa"/>
          </w:tblCellMar>
        </w:tblPrEx>
        <w:trPr>
          <w:trHeight w:val="499" w:hRule="atLeast"/>
        </w:trPr>
        <w:tc>
          <w:tcPr>
            <w:tcW w:w="150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群众满意度（%）</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r>
    </w:tbl>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bCs/>
          <w:sz w:val="32"/>
          <w:szCs w:val="32"/>
        </w:rPr>
      </w:pPr>
    </w:p>
    <w:p>
      <w:pPr>
        <w:pageBreakBefore w:val="0"/>
        <w:widowControl w:val="0"/>
        <w:numPr>
          <w:ilvl w:val="0"/>
          <w:numId w:val="7"/>
        </w:numPr>
        <w:kinsoku/>
        <w:wordWrap/>
        <w:overflowPunct/>
        <w:topLinePunct w:val="0"/>
        <w:autoSpaceDE/>
        <w:autoSpaceDN/>
        <w:bidi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pPr>
        <w:pageBreakBefore w:val="0"/>
        <w:widowControl w:val="0"/>
        <w:numPr>
          <w:ilvl w:val="0"/>
          <w:numId w:val="0"/>
        </w:numPr>
        <w:kinsoku/>
        <w:wordWrap/>
        <w:overflowPunct/>
        <w:topLinePunct w:val="0"/>
        <w:autoSpaceDE/>
        <w:autoSpaceDN/>
        <w:bidi w:val="0"/>
        <w:spacing w:line="560" w:lineRule="exact"/>
        <w:ind w:leftChars="200"/>
        <w:textAlignment w:val="auto"/>
        <w:rPr>
          <w:rFonts w:hint="eastAsia"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rPr>
        <w:t>主要经验及做法</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实施效果较好的原因主要是管理制度完善、责任落实到位，跟踪考核机制完善且运行有效，在项目实施过程中创新管理办法，年度预算时严格按照相关文件要求等严格进行预算编制年度预算，严格执行《预算法》，严把支出关，按照“收支两条线”，乡财县管的财务要求制度，确保了项目支出各项经费按时足额保障到位，有效地杜绝了非预算支出，挤占挪用、虚报等套取财政资金违规行为。</w:t>
      </w:r>
    </w:p>
    <w:p>
      <w:pPr>
        <w:pageBreakBefore w:val="0"/>
        <w:widowControl w:val="0"/>
        <w:kinsoku/>
        <w:wordWrap/>
        <w:overflowPunct/>
        <w:topLinePunct w:val="0"/>
        <w:autoSpaceDE/>
        <w:autoSpaceDN/>
        <w:bidi w:val="0"/>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w:t>
      </w:r>
      <w:r>
        <w:rPr>
          <w:rFonts w:hint="eastAsia" w:ascii="楷体" w:hAnsi="楷体" w:eastAsia="楷体" w:cs="楷体"/>
          <w:sz w:val="32"/>
          <w:szCs w:val="32"/>
        </w:rPr>
        <w:t>存在的问题及原因分析</w:t>
      </w:r>
    </w:p>
    <w:p>
      <w:pPr>
        <w:pageBreakBefore w:val="0"/>
        <w:widowControl w:val="0"/>
        <w:kinsoku/>
        <w:wordWrap/>
        <w:overflowPunct/>
        <w:topLinePunct w:val="0"/>
        <w:autoSpaceDE/>
        <w:autoSpaceDN/>
        <w:bidi w:val="0"/>
        <w:adjustRightInd w:val="0"/>
        <w:snapToGrid w:val="0"/>
        <w:spacing w:line="560" w:lineRule="exact"/>
        <w:ind w:left="0" w:leftChars="0" w:firstLine="420" w:firstLineChars="200"/>
        <w:jc w:val="left"/>
        <w:textAlignment w:val="auto"/>
        <w:rPr>
          <w:rFonts w:ascii="仿宋_GB2312" w:hAnsi="仿宋_GB2312" w:eastAsia="仿宋_GB2312" w:cs="仿宋_GB2312"/>
          <w:bCs/>
          <w:spacing w:val="-4"/>
          <w:sz w:val="32"/>
          <w:szCs w:val="32"/>
        </w:rPr>
      </w:pPr>
      <w:r>
        <w:rPr>
          <w:rFonts w:hint="eastAsia"/>
        </w:rPr>
        <w:t xml:space="preserve"> </w:t>
      </w:r>
      <w:r>
        <w:t xml:space="preserve">  </w:t>
      </w:r>
      <w:r>
        <w:rPr>
          <w:rFonts w:hint="eastAsia" w:ascii="仿宋_GB2312" w:hAnsi="仿宋_GB2312" w:eastAsia="仿宋_GB2312" w:cs="仿宋_GB2312"/>
          <w:bCs/>
          <w:spacing w:val="-4"/>
          <w:sz w:val="32"/>
          <w:szCs w:val="32"/>
        </w:rPr>
        <w:t>通过预算绩效管理，发现了工作中存在的不足，如前期因个别村项目实施具体内容确定不下来，影响了项目的进度，造成了部分资金支付较慢。</w:t>
      </w:r>
    </w:p>
    <w:p>
      <w:pPr>
        <w:pStyle w:val="23"/>
        <w:pageBreakBefore w:val="0"/>
        <w:widowControl w:val="0"/>
        <w:kinsoku/>
        <w:wordWrap/>
        <w:overflowPunct/>
        <w:topLinePunct w:val="0"/>
        <w:autoSpaceDE/>
        <w:autoSpaceDN/>
        <w:bidi w:val="0"/>
        <w:spacing w:before="0" w:after="0" w:line="560" w:lineRule="exact"/>
        <w:textAlignment w:val="auto"/>
        <w:rPr>
          <w:rFonts w:ascii="黑体" w:hAnsi="黑体"/>
        </w:rPr>
      </w:pPr>
      <w:r>
        <w:rPr>
          <w:rFonts w:hint="eastAsia" w:ascii="黑体" w:hAnsi="黑体"/>
        </w:rPr>
        <w:t>六、有关建议</w:t>
      </w:r>
    </w:p>
    <w:p>
      <w:pPr>
        <w:pageBreakBefore w:val="0"/>
        <w:widowControl w:val="0"/>
        <w:kinsoku/>
        <w:wordWrap/>
        <w:overflowPunct/>
        <w:topLinePunct w:val="0"/>
        <w:autoSpaceDE/>
        <w:autoSpaceDN/>
        <w:bidi w:val="0"/>
        <w:adjustRightInd w:val="0"/>
        <w:snapToGrid w:val="0"/>
        <w:spacing w:line="560" w:lineRule="exact"/>
        <w:ind w:left="0" w:leftChars="0" w:firstLine="420" w:firstLineChars="200"/>
        <w:jc w:val="left"/>
        <w:textAlignment w:val="auto"/>
        <w:rPr>
          <w:rFonts w:ascii="黑体" w:hAnsi="黑体"/>
        </w:rPr>
      </w:pPr>
      <w:r>
        <w:rPr>
          <w:rFonts w:ascii="黑体" w:hAnsi="黑体"/>
        </w:rPr>
        <w:t xml:space="preserve"> </w:t>
      </w:r>
      <w:r>
        <w:rPr>
          <w:rFonts w:ascii="仿宋_GB2312" w:hAnsi="仿宋" w:eastAsia="仿宋_GB2312" w:cs="宋体"/>
        </w:rPr>
        <w:t xml:space="preserve">  </w:t>
      </w:r>
      <w:r>
        <w:rPr>
          <w:rFonts w:hint="eastAsia" w:ascii="仿宋_GB2312" w:hAnsi="仿宋_GB2312" w:eastAsia="仿宋_GB2312" w:cs="仿宋_GB2312"/>
          <w:bCs/>
          <w:spacing w:val="-4"/>
          <w:sz w:val="32"/>
          <w:szCs w:val="32"/>
        </w:rPr>
        <w:t>在以后类似项目中，提前做好准备工作，按照各村的实际需求，尽快确定最优的项目实施内容，最快最好的完成项目。</w:t>
      </w:r>
    </w:p>
    <w:p>
      <w:pPr>
        <w:pStyle w:val="23"/>
        <w:pageBreakBefore w:val="0"/>
        <w:widowControl w:val="0"/>
        <w:kinsoku/>
        <w:wordWrap/>
        <w:overflowPunct/>
        <w:topLinePunct w:val="0"/>
        <w:autoSpaceDE/>
        <w:autoSpaceDN/>
        <w:bidi w:val="0"/>
        <w:spacing w:before="0" w:after="0" w:line="560" w:lineRule="exact"/>
        <w:ind w:left="0" w:leftChars="0" w:firstLine="643" w:firstLineChars="200"/>
        <w:textAlignment w:val="auto"/>
        <w:rPr>
          <w:rFonts w:ascii="黑体" w:hAnsi="黑体"/>
        </w:rPr>
      </w:pPr>
      <w:r>
        <w:rPr>
          <w:rFonts w:hint="eastAsia" w:ascii="黑体" w:hAnsi="黑体"/>
        </w:rPr>
        <w:t>七、其他需要说明的问题</w:t>
      </w:r>
    </w:p>
    <w:p>
      <w:pPr>
        <w:pageBreakBefore w:val="0"/>
        <w:widowControl w:val="0"/>
        <w:kinsoku/>
        <w:wordWrap/>
        <w:overflowPunct/>
        <w:topLinePunct w:val="0"/>
        <w:autoSpaceDE/>
        <w:autoSpaceDN/>
        <w:bidi w:val="0"/>
        <w:adjustRightInd w:val="0"/>
        <w:snapToGrid w:val="0"/>
        <w:spacing w:line="560" w:lineRule="exact"/>
        <w:ind w:left="0" w:leftChars="0" w:firstLine="624" w:firstLineChars="200"/>
        <w:jc w:val="left"/>
        <w:textAlignment w:val="auto"/>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r>
        <w:rPr>
          <w:rFonts w:hint="eastAsia" w:ascii="仿宋_GB2312" w:hAnsi="仿宋_GB2312" w:eastAsia="仿宋_GB2312" w:cs="仿宋_GB2312"/>
          <w:bCs/>
          <w:spacing w:val="-4"/>
          <w:sz w:val="32"/>
          <w:szCs w:val="32"/>
          <w:lang w:val="en-US" w:eastAsia="zh-CN"/>
        </w:rPr>
        <w:t>其他需要说明问题</w:t>
      </w:r>
      <w:r>
        <w:rPr>
          <w:rFonts w:hint="eastAsia" w:ascii="仿宋_GB2312" w:hAnsi="仿宋_GB2312" w:eastAsia="仿宋_GB2312" w:cs="仿宋_GB2312"/>
          <w:bCs/>
          <w:spacing w:val="-4"/>
          <w:sz w:val="32"/>
          <w:szCs w:val="32"/>
        </w:rPr>
        <w:t>。</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附件1：喀什地区恰其库木管理区村容村貌项目支出绩效目标申报表</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附件2：喀什地区恰其库木管理区村容村貌项目支出绩效自评表</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附件3：喀什地区恰其库木管理区村容村貌项目支出绩效评价指标体系</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CB932666"/>
    <w:multiLevelType w:val="singleLevel"/>
    <w:tmpl w:val="CB932666"/>
    <w:lvl w:ilvl="0" w:tentative="0">
      <w:start w:val="1"/>
      <w:numFmt w:val="decimal"/>
      <w:lvlText w:val="%1."/>
      <w:lvlJc w:val="left"/>
      <w:pPr>
        <w:tabs>
          <w:tab w:val="left" w:pos="1021"/>
        </w:tabs>
      </w:pPr>
    </w:lvl>
  </w:abstractNum>
  <w:abstractNum w:abstractNumId="2">
    <w:nsid w:val="F5D7B307"/>
    <w:multiLevelType w:val="singleLevel"/>
    <w:tmpl w:val="F5D7B307"/>
    <w:lvl w:ilvl="0" w:tentative="0">
      <w:start w:val="1"/>
      <w:numFmt w:val="decimal"/>
      <w:suff w:val="nothing"/>
      <w:lvlText w:val="（%1）"/>
      <w:lvlJc w:val="left"/>
    </w:lvl>
  </w:abstractNum>
  <w:abstractNum w:abstractNumId="3">
    <w:nsid w:val="00A5701E"/>
    <w:multiLevelType w:val="multilevel"/>
    <w:tmpl w:val="00A5701E"/>
    <w:lvl w:ilvl="0" w:tentative="0">
      <w:start w:val="4"/>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4">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5">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8">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9">
    <w:nsid w:val="68B72173"/>
    <w:multiLevelType w:val="singleLevel"/>
    <w:tmpl w:val="68B72173"/>
    <w:lvl w:ilvl="0" w:tentative="0">
      <w:start w:val="1"/>
      <w:numFmt w:val="decimal"/>
      <w:lvlText w:val="%1."/>
      <w:lvlJc w:val="left"/>
      <w:pPr>
        <w:tabs>
          <w:tab w:val="left" w:pos="312"/>
        </w:tabs>
      </w:pPr>
    </w:lvl>
  </w:abstractNum>
  <w:num w:numId="1">
    <w:abstractNumId w:val="5"/>
  </w:num>
  <w:num w:numId="2">
    <w:abstractNumId w:val="8"/>
  </w:num>
  <w:num w:numId="3">
    <w:abstractNumId w:val="6"/>
  </w:num>
  <w:num w:numId="4">
    <w:abstractNumId w:val="1"/>
  </w:num>
  <w:num w:numId="5">
    <w:abstractNumId w:val="4"/>
  </w:num>
  <w:num w:numId="6">
    <w:abstractNumId w:val="9"/>
  </w:num>
  <w:num w:numId="7">
    <w:abstractNumId w:val="3"/>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kzNzgyM2E2Yjg1NDJlZmFjYTEwNGIyZWYwNjY4MWIifQ=="/>
  </w:docVars>
  <w:rsids>
    <w:rsidRoot w:val="00F75715"/>
    <w:rsid w:val="00022413"/>
    <w:rsid w:val="00037F93"/>
    <w:rsid w:val="00042126"/>
    <w:rsid w:val="000919B6"/>
    <w:rsid w:val="000D4524"/>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53488"/>
    <w:rsid w:val="002A1BF4"/>
    <w:rsid w:val="002B3A72"/>
    <w:rsid w:val="002C6231"/>
    <w:rsid w:val="002F7CDC"/>
    <w:rsid w:val="00324E56"/>
    <w:rsid w:val="00331AF1"/>
    <w:rsid w:val="003468D7"/>
    <w:rsid w:val="00363E52"/>
    <w:rsid w:val="00373825"/>
    <w:rsid w:val="00382736"/>
    <w:rsid w:val="003A04D1"/>
    <w:rsid w:val="003C327E"/>
    <w:rsid w:val="003C4B3D"/>
    <w:rsid w:val="003C6E7F"/>
    <w:rsid w:val="003E0E95"/>
    <w:rsid w:val="003E4EE5"/>
    <w:rsid w:val="003F1C70"/>
    <w:rsid w:val="003F2E47"/>
    <w:rsid w:val="00403544"/>
    <w:rsid w:val="004115AA"/>
    <w:rsid w:val="00434C92"/>
    <w:rsid w:val="00443C47"/>
    <w:rsid w:val="00452560"/>
    <w:rsid w:val="00467DBB"/>
    <w:rsid w:val="004A0587"/>
    <w:rsid w:val="004C56AB"/>
    <w:rsid w:val="004D088E"/>
    <w:rsid w:val="004D4F06"/>
    <w:rsid w:val="005225F1"/>
    <w:rsid w:val="00524B36"/>
    <w:rsid w:val="00531253"/>
    <w:rsid w:val="00540B36"/>
    <w:rsid w:val="00563E06"/>
    <w:rsid w:val="0058554B"/>
    <w:rsid w:val="00596DDF"/>
    <w:rsid w:val="005B6EAB"/>
    <w:rsid w:val="005D7AC7"/>
    <w:rsid w:val="00630E69"/>
    <w:rsid w:val="006362B2"/>
    <w:rsid w:val="0065420A"/>
    <w:rsid w:val="00664B38"/>
    <w:rsid w:val="006869EC"/>
    <w:rsid w:val="00694A44"/>
    <w:rsid w:val="006D0AA4"/>
    <w:rsid w:val="006F2513"/>
    <w:rsid w:val="006F64CB"/>
    <w:rsid w:val="006F71AD"/>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538D4"/>
    <w:rsid w:val="00982B10"/>
    <w:rsid w:val="009A514D"/>
    <w:rsid w:val="009A528B"/>
    <w:rsid w:val="009B1C71"/>
    <w:rsid w:val="009C0267"/>
    <w:rsid w:val="009E5354"/>
    <w:rsid w:val="00A10F1E"/>
    <w:rsid w:val="00A12A0C"/>
    <w:rsid w:val="00A1500F"/>
    <w:rsid w:val="00A215FC"/>
    <w:rsid w:val="00A365D5"/>
    <w:rsid w:val="00A41DB8"/>
    <w:rsid w:val="00A43094"/>
    <w:rsid w:val="00A53361"/>
    <w:rsid w:val="00A5702C"/>
    <w:rsid w:val="00A5786D"/>
    <w:rsid w:val="00A60191"/>
    <w:rsid w:val="00A81609"/>
    <w:rsid w:val="00A85237"/>
    <w:rsid w:val="00AB07C5"/>
    <w:rsid w:val="00AE1FDF"/>
    <w:rsid w:val="00AE3042"/>
    <w:rsid w:val="00B03B29"/>
    <w:rsid w:val="00B16C8F"/>
    <w:rsid w:val="00B311A7"/>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62895"/>
    <w:rsid w:val="00D93516"/>
    <w:rsid w:val="00DA7F4C"/>
    <w:rsid w:val="00DC5F94"/>
    <w:rsid w:val="00DD6D7B"/>
    <w:rsid w:val="00DE152F"/>
    <w:rsid w:val="00DE293B"/>
    <w:rsid w:val="00E05626"/>
    <w:rsid w:val="00E25B2F"/>
    <w:rsid w:val="00E2704F"/>
    <w:rsid w:val="00E373A5"/>
    <w:rsid w:val="00E37D8F"/>
    <w:rsid w:val="00E66A4D"/>
    <w:rsid w:val="00E72B1C"/>
    <w:rsid w:val="00E96169"/>
    <w:rsid w:val="00F0780F"/>
    <w:rsid w:val="00F16D54"/>
    <w:rsid w:val="00F6015C"/>
    <w:rsid w:val="00F62040"/>
    <w:rsid w:val="00F75715"/>
    <w:rsid w:val="00FA5EF1"/>
    <w:rsid w:val="00FB2E2F"/>
    <w:rsid w:val="00FD300A"/>
    <w:rsid w:val="00FF137F"/>
    <w:rsid w:val="00FF6959"/>
    <w:rsid w:val="00FF6C14"/>
    <w:rsid w:val="01BE6316"/>
    <w:rsid w:val="07AE4845"/>
    <w:rsid w:val="0DF72863"/>
    <w:rsid w:val="128D64A4"/>
    <w:rsid w:val="1C5D588C"/>
    <w:rsid w:val="1DB374FE"/>
    <w:rsid w:val="1E123FEB"/>
    <w:rsid w:val="217F35A7"/>
    <w:rsid w:val="219C05CB"/>
    <w:rsid w:val="24E73B1F"/>
    <w:rsid w:val="26F03C06"/>
    <w:rsid w:val="273B1635"/>
    <w:rsid w:val="277355C3"/>
    <w:rsid w:val="2A547683"/>
    <w:rsid w:val="306A4501"/>
    <w:rsid w:val="30A830A5"/>
    <w:rsid w:val="31C366C0"/>
    <w:rsid w:val="329078D3"/>
    <w:rsid w:val="33CA34B6"/>
    <w:rsid w:val="3BC01B4C"/>
    <w:rsid w:val="414042E3"/>
    <w:rsid w:val="46C16BC4"/>
    <w:rsid w:val="4B830943"/>
    <w:rsid w:val="4BA72910"/>
    <w:rsid w:val="509F44DE"/>
    <w:rsid w:val="55945462"/>
    <w:rsid w:val="57964064"/>
    <w:rsid w:val="5A781A20"/>
    <w:rsid w:val="5FA929A1"/>
    <w:rsid w:val="667765BF"/>
    <w:rsid w:val="6751746E"/>
    <w:rsid w:val="68AC0EA3"/>
    <w:rsid w:val="6D283760"/>
    <w:rsid w:val="72EA5061"/>
    <w:rsid w:val="7775238E"/>
    <w:rsid w:val="7A8638D9"/>
    <w:rsid w:val="7CD53977"/>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unhideWhenUsed/>
    <w:qFormat/>
    <w:uiPriority w:val="99"/>
    <w:rPr>
      <w:color w:val="0563C1" w:themeColor="hyperlink"/>
      <w:u w:val="single"/>
    </w:rPr>
  </w:style>
  <w:style w:type="character" w:styleId="17">
    <w:name w:val="annotation reference"/>
    <w:basedOn w:val="15"/>
    <w:semiHidden/>
    <w:unhideWhenUsed/>
    <w:qFormat/>
    <w:uiPriority w:val="99"/>
    <w:rPr>
      <w:sz w:val="21"/>
      <w:szCs w:val="21"/>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03BC8-23BE-4BBE-8FE5-A544023D40F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997</Words>
  <Characters>5684</Characters>
  <Lines>47</Lines>
  <Paragraphs>13</Paragraphs>
  <TotalTime>0</TotalTime>
  <ScaleCrop>false</ScaleCrop>
  <LinksUpToDate>false</LinksUpToDate>
  <CharactersWithSpaces>6668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易安</cp:lastModifiedBy>
  <dcterms:modified xsi:type="dcterms:W3CDTF">2023-11-25T02:58:47Z</dcterms:modified>
  <dc:title>新疆普天鹏华商务信息咨询有限公司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709854E1CD4747659AEB974D87ACAAA9_12</vt:lpwstr>
  </property>
</Properties>
</file>