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60"/>
        <w:jc w:val="center"/>
        <w:rPr>
          <w:rFonts w:ascii="方正小标宋简体" w:hAnsi="方正小标宋简体" w:eastAsia="方正小标宋简体"/>
          <w:sz w:val="44"/>
          <w:szCs w:val="44"/>
        </w:rPr>
      </w:pPr>
    </w:p>
    <w:p>
      <w:pPr>
        <w:spacing w:before="120" w:after="160"/>
        <w:jc w:val="center"/>
        <w:rPr>
          <w:rFonts w:ascii="方正小标宋简体" w:hAnsi="方正小标宋简体" w:eastAsia="方正小标宋简体"/>
          <w:sz w:val="44"/>
          <w:szCs w:val="44"/>
        </w:rPr>
      </w:pPr>
    </w:p>
    <w:p>
      <w:pPr>
        <w:spacing w:before="120" w:after="160"/>
        <w:jc w:val="center"/>
        <w:rPr>
          <w:rFonts w:ascii="方正小标宋简体" w:hAnsi="方正小标宋简体" w:eastAsia="方正小标宋简体"/>
          <w:sz w:val="44"/>
          <w:szCs w:val="44"/>
        </w:rPr>
      </w:pPr>
    </w:p>
    <w:p>
      <w:pPr>
        <w:spacing w:before="120" w:after="160"/>
        <w:jc w:val="center"/>
        <w:rPr>
          <w:rFonts w:ascii="方正小标宋简体" w:hAnsi="方正小标宋简体" w:eastAsia="方正小标宋简体"/>
          <w:sz w:val="44"/>
          <w:szCs w:val="44"/>
        </w:rPr>
      </w:pPr>
      <w:r>
        <w:rPr>
          <w:rFonts w:ascii="方正小标宋简体" w:hAnsi="方正小标宋简体" w:eastAsia="方正小标宋简体"/>
          <w:sz w:val="44"/>
          <w:szCs w:val="44"/>
        </w:rPr>
        <w:t>喀什地区项目支出绩效评价报告</w:t>
      </w:r>
    </w:p>
    <w:p>
      <w:pPr>
        <w:spacing w:before="120" w:after="160"/>
        <w:jc w:val="center"/>
        <w:rPr>
          <w:rFonts w:ascii="方正小标宋简体" w:hAnsi="方正小标宋简体" w:eastAsia="方正小标宋简体"/>
          <w:sz w:val="52"/>
          <w:szCs w:val="52"/>
        </w:rPr>
      </w:pPr>
    </w:p>
    <w:p>
      <w:pPr>
        <w:spacing w:before="120" w:after="160"/>
        <w:jc w:val="center"/>
        <w:rPr>
          <w:rFonts w:ascii="方正小标宋简体" w:hAnsi="方正小标宋简体" w:eastAsia="方正小标宋简体"/>
          <w:sz w:val="52"/>
          <w:szCs w:val="52"/>
        </w:rPr>
      </w:pPr>
    </w:p>
    <w:p>
      <w:pPr>
        <w:spacing w:before="120" w:after="160"/>
        <w:jc w:val="center"/>
        <w:rPr>
          <w:rFonts w:ascii="方正小标宋简体" w:hAnsi="方正小标宋简体" w:eastAsia="方正小标宋简体"/>
          <w:sz w:val="52"/>
          <w:szCs w:val="52"/>
        </w:rPr>
      </w:pPr>
    </w:p>
    <w:p>
      <w:pPr>
        <w:pStyle w:val="2"/>
        <w:rPr>
          <w:rFonts w:ascii="方正小标宋简体" w:hAnsi="方正小标宋简体" w:eastAsia="方正小标宋简体"/>
          <w:sz w:val="52"/>
          <w:szCs w:val="52"/>
        </w:rPr>
      </w:pPr>
    </w:p>
    <w:p>
      <w:pPr>
        <w:rPr>
          <w:rFonts w:ascii="方正小标宋简体" w:hAnsi="方正小标宋简体" w:eastAsia="方正小标宋简体"/>
          <w:sz w:val="52"/>
          <w:szCs w:val="52"/>
        </w:rPr>
      </w:pPr>
    </w:p>
    <w:p>
      <w:pPr>
        <w:pStyle w:val="2"/>
        <w:rPr>
          <w:rFonts w:ascii="方正小标宋简体" w:hAnsi="方正小标宋简体" w:eastAsia="方正小标宋简体"/>
          <w:sz w:val="52"/>
          <w:szCs w:val="52"/>
        </w:rPr>
      </w:pPr>
    </w:p>
    <w:p>
      <w:pPr>
        <w:autoSpaceDE w:val="0"/>
        <w:autoSpaceDN w:val="0"/>
        <w:spacing w:line="560" w:lineRule="exact"/>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val="0"/>
        <w:autoSpaceDN w:val="0"/>
        <w:bidi w:val="0"/>
        <w:adjustRightInd/>
        <w:snapToGrid/>
        <w:spacing w:line="700" w:lineRule="exact"/>
        <w:ind w:firstLine="0" w:firstLineChars="0"/>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项目名称：叶城县恰斯米其特乡乡村安居房建设补助项目</w:t>
      </w:r>
    </w:p>
    <w:p>
      <w:pPr>
        <w:keepNext w:val="0"/>
        <w:keepLines w:val="0"/>
        <w:pageBreakBefore w:val="0"/>
        <w:widowControl/>
        <w:kinsoku/>
        <w:wordWrap/>
        <w:overflowPunct/>
        <w:topLinePunct w:val="0"/>
        <w:autoSpaceDE w:val="0"/>
        <w:autoSpaceDN w:val="0"/>
        <w:bidi w:val="0"/>
        <w:adjustRightInd/>
        <w:snapToGrid/>
        <w:spacing w:line="700" w:lineRule="exact"/>
        <w:ind w:firstLine="0" w:firstLineChars="0"/>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实施单位：叶城县恰斯米其特乡人民政府</w:t>
      </w:r>
    </w:p>
    <w:p>
      <w:pPr>
        <w:keepNext w:val="0"/>
        <w:keepLines w:val="0"/>
        <w:pageBreakBefore w:val="0"/>
        <w:widowControl/>
        <w:kinsoku/>
        <w:wordWrap/>
        <w:overflowPunct/>
        <w:topLinePunct w:val="0"/>
        <w:autoSpaceDE w:val="0"/>
        <w:autoSpaceDN w:val="0"/>
        <w:bidi w:val="0"/>
        <w:adjustRightInd/>
        <w:snapToGrid/>
        <w:spacing w:line="700" w:lineRule="exact"/>
        <w:ind w:firstLine="0" w:firstLineChars="0"/>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评价部门：叶城县恰斯米其特乡人民政府</w:t>
      </w:r>
    </w:p>
    <w:p>
      <w:pPr>
        <w:autoSpaceDE w:val="0"/>
        <w:autoSpaceDN w:val="0"/>
        <w:spacing w:line="560" w:lineRule="exact"/>
        <w:ind w:firstLine="640" w:firstLineChars="200"/>
        <w:rPr>
          <w:rFonts w:hint="eastAsia" w:ascii="仿宋_GB2312" w:hAnsi="仿宋_GB2312" w:eastAsia="仿宋_GB2312" w:cs="仿宋_GB2312"/>
          <w:sz w:val="32"/>
          <w:szCs w:val="32"/>
        </w:rPr>
      </w:pPr>
    </w:p>
    <w:p>
      <w:pPr>
        <w:autoSpaceDE w:val="0"/>
        <w:autoSpaceDN w:val="0"/>
        <w:spacing w:line="560" w:lineRule="exact"/>
        <w:ind w:firstLine="640" w:firstLineChars="200"/>
        <w:rPr>
          <w:rFonts w:hint="eastAsia" w:ascii="仿宋_GB2312" w:hAnsi="仿宋_GB2312" w:eastAsia="仿宋_GB2312" w:cs="仿宋_GB2312"/>
          <w:sz w:val="32"/>
          <w:szCs w:val="32"/>
        </w:rPr>
      </w:pPr>
    </w:p>
    <w:p>
      <w:pPr>
        <w:autoSpaceDE w:val="0"/>
        <w:autoSpaceDN w:val="0"/>
        <w:spacing w:line="560" w:lineRule="exact"/>
        <w:ind w:firstLine="640" w:firstLineChars="200"/>
        <w:rPr>
          <w:rFonts w:hint="eastAsia" w:ascii="仿宋_GB2312" w:hAnsi="仿宋_GB2312" w:eastAsia="仿宋_GB2312" w:cs="仿宋_GB2312"/>
          <w:sz w:val="32"/>
          <w:szCs w:val="32"/>
        </w:rPr>
      </w:pPr>
    </w:p>
    <w:p>
      <w:pPr>
        <w:autoSpaceDE w:val="0"/>
        <w:autoSpaceDN w:val="0"/>
        <w:spacing w:line="560" w:lineRule="exact"/>
        <w:ind w:firstLine="2880" w:firstLineChars="800"/>
        <w:rPr>
          <w:rFonts w:ascii="方正小标宋简体" w:hAnsi="仿宋_GB2312" w:eastAsia="仿宋_GB2312"/>
          <w:color w:val="FF0000"/>
          <w:sz w:val="44"/>
          <w:szCs w:val="44"/>
          <w:shd w:val="clear" w:color="000000" w:fill="FFFFFF"/>
        </w:rPr>
      </w:pPr>
      <w:r>
        <w:rPr>
          <w:rFonts w:hint="eastAsia" w:ascii="仿宋_GB2312" w:hAnsi="仿宋_GB2312" w:eastAsia="仿宋_GB2312" w:cs="仿宋_GB2312"/>
          <w:sz w:val="36"/>
          <w:szCs w:val="36"/>
        </w:rPr>
        <w:t>二零二零年四月</w:t>
      </w:r>
    </w:p>
    <w:p>
      <w:pPr>
        <w:pStyle w:val="47"/>
        <w:pageBreakBefore w:val="0"/>
        <w:widowControl/>
        <w:kinsoku/>
        <w:overflowPunct/>
        <w:topLinePunct w:val="0"/>
        <w:bidi w:val="0"/>
        <w:adjustRightInd/>
        <w:snapToGrid/>
        <w:spacing w:line="560" w:lineRule="exact"/>
        <w:ind w:left="0" w:leftChars="0" w:firstLine="643" w:firstLineChars="200"/>
        <w:textAlignment w:val="auto"/>
        <w:rPr>
          <w:rFonts w:ascii="Times New Roman" w:hAnsi="Times New Roman"/>
        </w:rPr>
      </w:pPr>
      <w:r>
        <w:rPr>
          <w:rFonts w:hint="eastAsia" w:ascii="Times New Roman" w:hAnsi="Times New Roman" w:eastAsia="宋体"/>
        </w:rPr>
        <w:t>一、</w:t>
      </w:r>
      <w:r>
        <w:rPr>
          <w:rFonts w:ascii="Times New Roman" w:hAnsi="Times New Roman"/>
        </w:rPr>
        <w:t>基本情况</w:t>
      </w:r>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bookmarkStart w:id="0" w:name="_Toc26401549"/>
      <w:r>
        <w:rPr>
          <w:rFonts w:hint="eastAsia" w:hAnsi="Times New Roman" w:eastAsia="宋体"/>
          <w:sz w:val="32"/>
          <w:szCs w:val="32"/>
        </w:rPr>
        <w:t>（一）</w:t>
      </w:r>
      <w:r>
        <w:rPr>
          <w:rFonts w:hAnsi="Times New Roman"/>
          <w:sz w:val="32"/>
          <w:szCs w:val="32"/>
        </w:rPr>
        <w:t>项目概况</w:t>
      </w:r>
      <w:bookmarkEnd w:id="0"/>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叶城县恰斯米其特乡乡村安居房建设补助项目根据自治区、地区年度预算，县财政部门下达叶城县恰斯米其特乡富民安居资金1662.27万元，通过该项目实施，使恰斯米其特乡1045名贫困户完成了安居房建设贫困户庭院得到了较好改善、发展庭院经济的基础得到加强，通过该项目实施，较好地改善了1045名贫困户的生产生活环境，有效地提高了贫困户收益，加快了脱贫攻坚步伐。为我乡稳步脱贫奠定了坚实的基础。</w:t>
      </w:r>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1.项目背景及立项依据</w:t>
      </w:r>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恰斯米其特乡乡村安居房建设补助项目预算按照新财社新财建【2019】69号、喀地财建【2019】44号文件安排金额为1662.27万元，其中财政资金1662.27万元。主要用于保障全乡1045名贫困户住房问题。乡村安居房建设补助的发放有效解决困难群体“两不愁、三保障”，为全乡脱贫攻坚打下坚实的基础，为实现“总目标”提供坚强保障。</w:t>
      </w:r>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2.项目主要内容及实施情况</w:t>
      </w:r>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主要内容：</w:t>
      </w:r>
      <w:r>
        <w:rPr>
          <w:rFonts w:hint="eastAsia" w:ascii="仿宋_GB2312" w:hAnsi="仿宋_GB2312" w:eastAsia="仿宋_GB2312" w:cs="仿宋_GB2312"/>
          <w:sz w:val="32"/>
          <w:szCs w:val="32"/>
        </w:rPr>
        <w:t>项目主要用于保障全乡1045名贫困户住房问题。项目实施前期针对项目区的实际情况进行工程布置，合理规划，贯彻统筹兼顾的原则，制定以项目区所在的居民规划为基础，注意新建住宅区与原先住宅区相结合，合理布局的规划方案。项目实施过程中严格按照实施方案进行实施，做到措施到位，管理到位。项目实施完毕后及时组织验收并定期对安居房进行维护。</w:t>
      </w:r>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实施情况：</w:t>
      </w: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eastAsia="zh-CN"/>
        </w:rPr>
        <w:t>属入户补助类项目，</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新财社【2018】257号、喀地财社【2018】142号文件精神，</w:t>
      </w:r>
      <w:r>
        <w:rPr>
          <w:rFonts w:hint="eastAsia" w:ascii="仿宋_GB2312" w:hAnsi="仿宋_GB2312" w:eastAsia="仿宋_GB2312" w:cs="仿宋_GB2312"/>
          <w:sz w:val="32"/>
          <w:szCs w:val="32"/>
          <w:lang w:eastAsia="zh-CN"/>
        </w:rPr>
        <w:t>严格落实农村危房改造范围及审批手续，按照个人申请、村级评议、乡级审核、县级批准、地区备案的审批流程并结合我乡农村危房改造工作实际，对村民发放补助。</w:t>
      </w:r>
      <w:r>
        <w:rPr>
          <w:rFonts w:hint="eastAsia" w:ascii="仿宋_GB2312" w:hAnsi="仿宋_GB2312" w:eastAsia="仿宋_GB2312" w:cs="仿宋_GB2312"/>
          <w:sz w:val="32"/>
          <w:szCs w:val="32"/>
          <w:lang w:val="en-US" w:eastAsia="zh-CN"/>
        </w:rPr>
        <w:t>项目前期由乡里贫困户进行申请，乡政府记性评议审核，审核通过后，由乡政府统计发放人员清单，报由县级部门审核批准，项目经由批准后，由乡镇委派会计与县财政局进行对接，进行项目资金审批拨付手续，审批结束后，由乡人民政府制定发放方案，统计需发放人员清单以及银行卡号，及时打卡发放，</w:t>
      </w:r>
      <w:r>
        <w:rPr>
          <w:rFonts w:hint="eastAsia" w:ascii="仿宋_GB2312" w:hAnsi="仿宋_GB2312" w:eastAsia="仿宋_GB2312" w:cs="仿宋_GB2312"/>
          <w:sz w:val="32"/>
          <w:szCs w:val="32"/>
          <w:lang w:eastAsia="zh-CN"/>
        </w:rPr>
        <w:t>严格把握全乡农村危房改造的审核把关，按照公开、公平、公正的原则，严格履行群众申请、民主评议、乡政府审核、</w:t>
      </w:r>
      <w:bookmarkStart w:id="8" w:name="_GoBack"/>
      <w:bookmarkEnd w:id="8"/>
      <w:r>
        <w:rPr>
          <w:rFonts w:hint="eastAsia" w:ascii="仿宋_GB2312" w:hAnsi="仿宋_GB2312" w:eastAsia="仿宋_GB2312" w:cs="仿宋_GB2312"/>
          <w:sz w:val="32"/>
          <w:szCs w:val="32"/>
          <w:lang w:eastAsia="zh-CN"/>
        </w:rPr>
        <w:t>上报审批的工作流程，切实解决农村贫困家庭的住房安全问题，坚定贫困群众脱贫致富的决心和信心</w:t>
      </w:r>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3.项目负责人为姜鹏，主要职责为负责项目统筹规划，安排部署，组织项目申报和实施，制定详细的工作程序和进度安排。</w:t>
      </w:r>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bookmarkStart w:id="1" w:name="_Toc26401550"/>
      <w:r>
        <w:rPr>
          <w:rFonts w:hint="eastAsia" w:hAnsi="Times New Roman" w:eastAsia="宋体"/>
          <w:sz w:val="32"/>
          <w:szCs w:val="32"/>
        </w:rPr>
        <w:t>（一）</w:t>
      </w:r>
      <w:r>
        <w:rPr>
          <w:rFonts w:hAnsi="Times New Roman"/>
          <w:sz w:val="32"/>
          <w:szCs w:val="32"/>
        </w:rPr>
        <w:t>资金</w:t>
      </w:r>
      <w:bookmarkEnd w:id="1"/>
      <w:r>
        <w:rPr>
          <w:rFonts w:hAnsi="Times New Roman"/>
          <w:sz w:val="32"/>
          <w:szCs w:val="32"/>
        </w:rPr>
        <w:t>投入和使用情况</w:t>
      </w:r>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1662.27元，资金来源为中央专项资金，乡村安居房建设补助项目资金的使用范围是用于保障全乡1045名贫困户住房问题，叶城县恰斯米其特乡人民政府制订了安居房建设项目资金管理办法，按照根据新财社新财建【2019】69号、喀地财建【2019】44号文件内容进行使用。</w:t>
      </w:r>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bookmarkStart w:id="2" w:name="_Toc26401551"/>
      <w:r>
        <w:rPr>
          <w:rFonts w:hint="eastAsia" w:hAnsi="Times New Roman" w:eastAsia="宋体"/>
          <w:sz w:val="32"/>
          <w:szCs w:val="32"/>
        </w:rPr>
        <w:t>（二）</w:t>
      </w:r>
      <w:r>
        <w:rPr>
          <w:rFonts w:hAnsi="Times New Roman"/>
          <w:sz w:val="32"/>
          <w:szCs w:val="32"/>
        </w:rPr>
        <w:t>绩效目标</w:t>
      </w:r>
      <w:bookmarkEnd w:id="2"/>
    </w:p>
    <w:p>
      <w:pPr>
        <w:pageBreakBefore w:val="0"/>
        <w:widowControl/>
        <w:kinsoku/>
        <w:overflowPunct/>
        <w:topLinePunct w:val="0"/>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恰斯米其特乡乡村安居房建设补助项目资金总投资1662.27万元，用于保障全乡1045名贫困户住房问题通过该项目实施为全乡贫困户改善人居环境，提高党和政府在广大人民群众中的威望，为打赢脱贫攻坚战，全面建成小康社会奠定基础。</w:t>
      </w:r>
    </w:p>
    <w:p>
      <w:pPr>
        <w:pageBreakBefore w:val="0"/>
        <w:widowControl/>
        <w:kinsoku/>
        <w:overflowPunct/>
        <w:topLinePunct w:val="0"/>
        <w:bidi w:val="0"/>
        <w:adjustRightInd/>
        <w:snapToGrid/>
        <w:spacing w:line="560" w:lineRule="exact"/>
        <w:ind w:firstLine="640" w:firstLineChars="200"/>
        <w:textAlignment w:val="auto"/>
        <w:rPr>
          <w:rFonts w:hint="eastAsia" w:ascii="黑体" w:hAnsi="黑体" w:eastAsia="黑体" w:cs="黑体"/>
          <w:sz w:val="32"/>
          <w:szCs w:val="32"/>
        </w:rPr>
      </w:pPr>
      <w:bookmarkStart w:id="3" w:name="_Toc26401552"/>
      <w:r>
        <w:rPr>
          <w:rFonts w:hint="eastAsia" w:ascii="黑体" w:hAnsi="黑体" w:eastAsia="黑体" w:cs="黑体"/>
          <w:sz w:val="32"/>
          <w:szCs w:val="32"/>
          <w:lang w:val="en-US" w:eastAsia="zh-CN"/>
        </w:rPr>
        <w:t>二、</w:t>
      </w:r>
      <w:r>
        <w:rPr>
          <w:rFonts w:hint="eastAsia" w:ascii="黑体" w:hAnsi="黑体" w:eastAsia="黑体" w:cs="黑体"/>
          <w:sz w:val="32"/>
          <w:szCs w:val="32"/>
        </w:rPr>
        <w:t>评价工作简述</w:t>
      </w:r>
      <w:bookmarkEnd w:id="3"/>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bookmarkStart w:id="4" w:name="_Toc26401553"/>
      <w:r>
        <w:rPr>
          <w:rFonts w:hint="eastAsia" w:hAnsi="Times New Roman" w:eastAsia="宋体"/>
          <w:sz w:val="32"/>
          <w:szCs w:val="32"/>
        </w:rPr>
        <w:t>（一）</w:t>
      </w:r>
      <w:r>
        <w:rPr>
          <w:rFonts w:hAnsi="Times New Roman"/>
          <w:sz w:val="32"/>
          <w:szCs w:val="32"/>
        </w:rPr>
        <w:t>评价目的</w:t>
      </w:r>
      <w:bookmarkEnd w:id="4"/>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本次绩效评价遵循财政部《项目支出绩效评价管理办法》（财预〔2020〕10号）和自治区财政厅</w:t>
      </w:r>
      <w:r>
        <w:rPr>
          <w:rFonts w:hint="eastAsia" w:ascii="仿宋_GB2312" w:hAnsi="仿宋_GB2312" w:eastAsia="仿宋_GB2312" w:cs="仿宋_GB2312"/>
          <w:sz w:val="32"/>
          <w:szCs w:val="32"/>
          <w:shd w:val="clear" w:color="000000" w:fill="FFFFFF"/>
        </w:rPr>
        <w:t>《自治区财政支出绩效评价管理暂行办法》（新财预〔2018〕189号）</w:t>
      </w:r>
      <w:r>
        <w:rPr>
          <w:rFonts w:hint="eastAsia" w:ascii="仿宋_GB2312" w:hAnsi="仿宋_GB2312" w:eastAsia="仿宋_GB2312" w:cs="仿宋_GB2312"/>
          <w:sz w:val="32"/>
          <w:szCs w:val="32"/>
        </w:rPr>
        <w:t xml:space="preserve">等相关政策文件与规定，旨在评价乡村安居房建设补助项目实施前期、过程及效果，评价财政预算资金使用的效率及效益。 </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sz w:val="32"/>
          <w:szCs w:val="32"/>
        </w:rPr>
        <w:t>通过部门项目支出绩效自评,进一步严格落实《预算法》以及党中央、国务院关于加强预算绩效管理的指示精神,建立健全“花钱问效”的绩效预算管理机制、提升政府效能。督促在预算编制中,将资金申请、绩效目标和具体指标统筹考虑,形成“花钱必问效、无效必问责”的责任契约机制,进一步强化预算绩效管理的严肃性和约束力,推动绩效管理向全方位的绩效预算转变,</w:t>
      </w:r>
      <w:r>
        <w:rPr>
          <w:rFonts w:hint="eastAsia" w:ascii="仿宋_GB2312" w:hAnsi="仿宋_GB2312" w:eastAsia="仿宋_GB2312" w:cs="仿宋_GB2312"/>
          <w:bCs/>
          <w:sz w:val="32"/>
          <w:szCs w:val="32"/>
        </w:rPr>
        <w:t>逐步建立“以绩效目标为导向,以绩效评价为手段,以评价结果应用为保障,全覆盖、全过程”的绩效预算管理新体制。</w:t>
      </w:r>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r>
        <w:rPr>
          <w:rFonts w:hint="eastAsia" w:hAnsi="Times New Roman" w:eastAsia="宋体"/>
          <w:sz w:val="32"/>
          <w:szCs w:val="32"/>
        </w:rPr>
        <w:t>（二）</w:t>
      </w:r>
      <w:r>
        <w:rPr>
          <w:rFonts w:hAnsi="Times New Roman"/>
          <w:sz w:val="32"/>
          <w:szCs w:val="32"/>
        </w:rPr>
        <w:t>本次绩效评价的对象及范围</w:t>
      </w:r>
      <w:bookmarkStart w:id="5" w:name="_Toc26401554"/>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本次评价对象为恰斯米其特乡乡村安居房建设补助项目资金，评价范围包括专项资金的安排、组织及使用效益。</w:t>
      </w:r>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r>
        <w:rPr>
          <w:rFonts w:hint="eastAsia" w:hAnsi="Times New Roman" w:eastAsia="宋体"/>
          <w:sz w:val="32"/>
          <w:szCs w:val="32"/>
        </w:rPr>
        <w:t>（三）</w:t>
      </w:r>
      <w:r>
        <w:rPr>
          <w:rFonts w:hAnsi="Times New Roman"/>
          <w:sz w:val="32"/>
          <w:szCs w:val="32"/>
        </w:rPr>
        <w:t>绩效评价原则</w:t>
      </w:r>
      <w:bookmarkEnd w:id="5"/>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本次绩效评价遵循的原则包括：</w:t>
      </w:r>
    </w:p>
    <w:p>
      <w:pPr>
        <w:pStyle w:val="49"/>
        <w:pageBreakBefore w:val="0"/>
        <w:widowControl/>
        <w:numPr>
          <w:ilvl w:val="0"/>
          <w:numId w:val="0"/>
        </w:numPr>
        <w:kinsoku/>
        <w:overflowPunct/>
        <w:topLinePunct w:val="0"/>
        <w:bidi w:val="0"/>
        <w:adjustRightInd/>
        <w:snapToGrid/>
        <w:spacing w:line="560" w:lineRule="exact"/>
        <w:ind w:left="0" w:leftChars="0" w:firstLine="640" w:firstLineChars="200"/>
        <w:jc w:val="left"/>
        <w:textAlignment w:val="auto"/>
        <w:rPr>
          <w:rFonts w:eastAsia="仿宋_GB2312" w:cs="仿宋_GB2312"/>
          <w:b w:val="0"/>
          <w:sz w:val="32"/>
          <w:szCs w:val="32"/>
        </w:rPr>
      </w:pPr>
      <w:r>
        <w:rPr>
          <w:rFonts w:hint="eastAsia" w:eastAsia="仿宋_GB2312" w:cs="仿宋_GB2312"/>
          <w:b w:val="0"/>
          <w:sz w:val="32"/>
          <w:szCs w:val="32"/>
        </w:rPr>
        <w:t>1.科学公正。绩效评价应当运用科学合理的方法，按照规范的程序，对项目绩效进行客观、公正的反映。</w:t>
      </w:r>
    </w:p>
    <w:p>
      <w:pPr>
        <w:pStyle w:val="49"/>
        <w:pageBreakBefore w:val="0"/>
        <w:widowControl/>
        <w:numPr>
          <w:ilvl w:val="0"/>
          <w:numId w:val="0"/>
        </w:numPr>
        <w:kinsoku/>
        <w:overflowPunct/>
        <w:topLinePunct w:val="0"/>
        <w:bidi w:val="0"/>
        <w:adjustRightInd/>
        <w:snapToGrid/>
        <w:spacing w:line="560" w:lineRule="exact"/>
        <w:ind w:left="0" w:leftChars="0" w:firstLine="640" w:firstLineChars="200"/>
        <w:jc w:val="left"/>
        <w:textAlignment w:val="auto"/>
        <w:rPr>
          <w:rFonts w:eastAsia="仿宋_GB2312" w:cs="仿宋_GB2312"/>
          <w:b w:val="0"/>
          <w:sz w:val="32"/>
          <w:szCs w:val="32"/>
        </w:rPr>
      </w:pPr>
      <w:r>
        <w:rPr>
          <w:rFonts w:hint="eastAsia" w:eastAsia="仿宋_GB2312" w:cs="仿宋_GB2312"/>
          <w:b w:val="0"/>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49"/>
        <w:pageBreakBefore w:val="0"/>
        <w:widowControl/>
        <w:numPr>
          <w:ilvl w:val="0"/>
          <w:numId w:val="0"/>
        </w:numPr>
        <w:kinsoku/>
        <w:overflowPunct/>
        <w:topLinePunct w:val="0"/>
        <w:bidi w:val="0"/>
        <w:adjustRightInd/>
        <w:snapToGrid/>
        <w:spacing w:line="560" w:lineRule="exact"/>
        <w:ind w:left="0" w:leftChars="0" w:firstLine="640" w:firstLineChars="200"/>
        <w:jc w:val="left"/>
        <w:textAlignment w:val="auto"/>
        <w:rPr>
          <w:rFonts w:eastAsia="仿宋_GB2312" w:cs="仿宋_GB2312"/>
          <w:b w:val="0"/>
          <w:sz w:val="32"/>
          <w:szCs w:val="32"/>
        </w:rPr>
      </w:pPr>
      <w:r>
        <w:rPr>
          <w:rFonts w:hint="eastAsia" w:eastAsia="仿宋_GB2312" w:cs="仿宋_GB2312"/>
          <w:b w:val="0"/>
          <w:sz w:val="32"/>
          <w:szCs w:val="32"/>
        </w:rPr>
        <w:t>3.激励约束。绩效评价结果应与预算安排、政策调整、改进管理实质性挂钩，体现奖优罚劣和激励相容导向，有效要安排、低效要压减、无效要问责。</w:t>
      </w:r>
    </w:p>
    <w:p>
      <w:pPr>
        <w:pStyle w:val="49"/>
        <w:pageBreakBefore w:val="0"/>
        <w:widowControl/>
        <w:numPr>
          <w:ilvl w:val="0"/>
          <w:numId w:val="0"/>
        </w:numPr>
        <w:kinsoku/>
        <w:overflowPunct/>
        <w:topLinePunct w:val="0"/>
        <w:bidi w:val="0"/>
        <w:adjustRightInd/>
        <w:snapToGrid/>
        <w:spacing w:line="560" w:lineRule="exact"/>
        <w:ind w:left="0" w:leftChars="0" w:firstLine="640" w:firstLineChars="200"/>
        <w:jc w:val="left"/>
        <w:textAlignment w:val="auto"/>
        <w:rPr>
          <w:rFonts w:eastAsia="仿宋_GB2312" w:cs="仿宋_GB2312"/>
          <w:b w:val="0"/>
          <w:sz w:val="32"/>
          <w:szCs w:val="32"/>
        </w:rPr>
      </w:pPr>
      <w:r>
        <w:rPr>
          <w:rFonts w:hint="eastAsia" w:eastAsia="仿宋_GB2312" w:cs="仿宋_GB2312"/>
          <w:b w:val="0"/>
          <w:sz w:val="32"/>
          <w:szCs w:val="32"/>
        </w:rPr>
        <w:t>4.公开透明。绩效评价结果应依法依规公开，并自觉接受社会监督。绩效评价体系</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根据以上原则,绩效评价应遵循如下要求:</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（1）在数据采集时,采取客观数据,主管部门审查、社会中介组织复查,与问卷调查相结合的形式,以保证各项指标的真实性。</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(2)保证评价结果的真实性、公正性,提高评价报告的公信力。</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(3)绩教评价报告应当简明扼要,除了对绩效评价的过程、结果描述外,还应总结经验,指出问题,并就共性问题提出可操作性改进建议。</w:t>
      </w:r>
    </w:p>
    <w:p>
      <w:pPr>
        <w:pageBreakBefore w:val="0"/>
        <w:widowControl/>
        <w:kinsoku/>
        <w:overflowPunct/>
        <w:topLinePunct w:val="0"/>
        <w:bidi w:val="0"/>
        <w:adjustRightInd/>
        <w:snapToGrid/>
        <w:spacing w:line="560" w:lineRule="exact"/>
        <w:ind w:left="0" w:leftChars="0" w:firstLine="643" w:firstLineChars="200"/>
        <w:textAlignment w:val="auto"/>
        <w:rPr>
          <w:rFonts w:ascii="仿宋_GB2312" w:hAnsi="宋体" w:eastAsia="宋体"/>
          <w:b/>
          <w:sz w:val="32"/>
          <w:szCs w:val="32"/>
        </w:rPr>
      </w:pPr>
      <w:r>
        <w:rPr>
          <w:rFonts w:ascii="仿宋_GB2312" w:hAnsi="宋体" w:eastAsia="宋体"/>
          <w:b/>
          <w:sz w:val="32"/>
          <w:szCs w:val="32"/>
        </w:rPr>
        <w:t>（四）本项目绩效评价体系</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遵循“科学性、规范性、客观性和公正性”的绩效评价原则,根据财政部制定的《项目支出绩效评价共性指标体系框架》,结合乡村安居房建设补助项目项目特性、叶城县恰斯米其特乡人民政府实际情况,本项目按照财预﹝2020﹞10号文件制定评价指标体系。</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我单位选取共性指标：决策中一级指标</w:t>
      </w:r>
      <w:r>
        <w:rPr>
          <w:rFonts w:hint="eastAsia" w:ascii="仿宋_GB2312" w:hAnsi="仿宋_GB2312" w:eastAsia="仿宋_GB2312" w:cs="仿宋_GB2312"/>
          <w:bCs/>
          <w:sz w:val="32"/>
          <w:szCs w:val="32"/>
        </w:rPr>
        <w:t>1</w:t>
      </w:r>
      <w:r>
        <w:rPr>
          <w:rFonts w:ascii="仿宋_GB2312" w:hAnsi="仿宋_GB2312" w:eastAsia="仿宋_GB2312" w:cs="仿宋_GB2312"/>
          <w:bCs/>
          <w:sz w:val="32"/>
          <w:szCs w:val="32"/>
        </w:rPr>
        <w:t>个，二级指标</w:t>
      </w:r>
      <w:r>
        <w:rPr>
          <w:rFonts w:hint="eastAsia" w:ascii="仿宋_GB2312" w:hAnsi="仿宋_GB2312" w:eastAsia="仿宋_GB2312" w:cs="仿宋_GB2312"/>
          <w:bCs/>
          <w:sz w:val="32"/>
          <w:szCs w:val="32"/>
        </w:rPr>
        <w:t>3</w:t>
      </w:r>
      <w:r>
        <w:rPr>
          <w:rFonts w:ascii="仿宋_GB2312" w:hAnsi="仿宋_GB2312" w:eastAsia="仿宋_GB2312" w:cs="仿宋_GB2312"/>
          <w:bCs/>
          <w:sz w:val="32"/>
          <w:szCs w:val="32"/>
        </w:rPr>
        <w:t>个，三级指标</w:t>
      </w:r>
      <w:r>
        <w:rPr>
          <w:rFonts w:hint="eastAsia" w:ascii="仿宋_GB2312" w:hAnsi="仿宋_GB2312" w:eastAsia="仿宋_GB2312" w:cs="仿宋_GB2312"/>
          <w:bCs/>
          <w:sz w:val="32"/>
          <w:szCs w:val="32"/>
        </w:rPr>
        <w:t>6</w:t>
      </w:r>
      <w:r>
        <w:rPr>
          <w:rFonts w:ascii="仿宋_GB2312" w:hAnsi="仿宋_GB2312" w:eastAsia="仿宋_GB2312" w:cs="仿宋_GB2312"/>
          <w:bCs/>
          <w:sz w:val="32"/>
          <w:szCs w:val="32"/>
        </w:rPr>
        <w:t>个，分别是一级指标</w:t>
      </w:r>
      <w:r>
        <w:rPr>
          <w:rFonts w:hint="eastAsia" w:ascii="仿宋_GB2312" w:hAnsi="仿宋_GB2312" w:eastAsia="仿宋_GB2312" w:cs="仿宋_GB2312"/>
          <w:bCs/>
          <w:sz w:val="32"/>
          <w:szCs w:val="32"/>
        </w:rPr>
        <w:t>：决策；</w:t>
      </w:r>
      <w:r>
        <w:rPr>
          <w:rFonts w:ascii="仿宋_GB2312" w:hAnsi="仿宋_GB2312" w:eastAsia="仿宋_GB2312" w:cs="仿宋_GB2312"/>
          <w:bCs/>
          <w:sz w:val="32"/>
          <w:szCs w:val="32"/>
        </w:rPr>
        <w:t>二级指标</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项目立项</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绩效目标</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资金投入</w:t>
      </w:r>
      <w:r>
        <w:rPr>
          <w:rFonts w:hint="eastAsia" w:ascii="仿宋_GB2312" w:hAnsi="仿宋_GB2312" w:eastAsia="仿宋_GB2312" w:cs="仿宋_GB2312"/>
          <w:bCs/>
          <w:sz w:val="32"/>
          <w:szCs w:val="32"/>
        </w:rPr>
        <w:t>；三级指标：立项依据充分性、立项程序规范性、绩效目标合理性、绩效指标明确性、预算编制科学性、资金分配合理性。</w:t>
      </w:r>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Times New Roman" w:eastAsia="Times New Roman"/>
          <w:b/>
          <w:color w:val="FF0000"/>
          <w:sz w:val="32"/>
          <w:szCs w:val="32"/>
          <w:highlight w:val="yellow"/>
        </w:rPr>
      </w:pPr>
      <w:r>
        <w:rPr>
          <w:rFonts w:ascii="仿宋_GB2312" w:hAnsi="仿宋_GB2312" w:eastAsia="仿宋_GB2312" w:cs="仿宋_GB2312"/>
          <w:bCs/>
          <w:sz w:val="32"/>
          <w:szCs w:val="32"/>
        </w:rPr>
        <w:t>过程中一级指标</w:t>
      </w:r>
      <w:r>
        <w:rPr>
          <w:rFonts w:hint="eastAsia" w:ascii="仿宋_GB2312" w:hAnsi="仿宋_GB2312" w:eastAsia="仿宋_GB2312" w:cs="仿宋_GB2312"/>
          <w:bCs/>
          <w:sz w:val="32"/>
          <w:szCs w:val="32"/>
        </w:rPr>
        <w:t>1</w:t>
      </w:r>
      <w:r>
        <w:rPr>
          <w:rFonts w:ascii="仿宋_GB2312" w:hAnsi="仿宋_GB2312" w:eastAsia="仿宋_GB2312" w:cs="仿宋_GB2312"/>
          <w:bCs/>
          <w:sz w:val="32"/>
          <w:szCs w:val="32"/>
        </w:rPr>
        <w:t>个，二级指标</w:t>
      </w:r>
      <w:r>
        <w:rPr>
          <w:rFonts w:hint="eastAsia" w:ascii="仿宋_GB2312" w:hAnsi="仿宋_GB2312" w:eastAsia="仿宋_GB2312" w:cs="仿宋_GB2312"/>
          <w:bCs/>
          <w:sz w:val="32"/>
          <w:szCs w:val="32"/>
        </w:rPr>
        <w:t>2</w:t>
      </w:r>
      <w:r>
        <w:rPr>
          <w:rFonts w:ascii="仿宋_GB2312" w:hAnsi="仿宋_GB2312" w:eastAsia="仿宋_GB2312" w:cs="仿宋_GB2312"/>
          <w:bCs/>
          <w:sz w:val="32"/>
          <w:szCs w:val="32"/>
        </w:rPr>
        <w:t>个，三级指标</w:t>
      </w:r>
      <w:r>
        <w:rPr>
          <w:rFonts w:hint="eastAsia" w:ascii="仿宋_GB2312" w:hAnsi="仿宋_GB2312" w:eastAsia="仿宋_GB2312" w:cs="仿宋_GB2312"/>
          <w:bCs/>
          <w:sz w:val="32"/>
          <w:szCs w:val="32"/>
        </w:rPr>
        <w:t>5</w:t>
      </w:r>
      <w:r>
        <w:rPr>
          <w:rFonts w:ascii="仿宋_GB2312" w:hAnsi="仿宋_GB2312" w:eastAsia="仿宋_GB2312" w:cs="仿宋_GB2312"/>
          <w:bCs/>
          <w:sz w:val="32"/>
          <w:szCs w:val="32"/>
        </w:rPr>
        <w:t>个，分别是</w:t>
      </w:r>
      <w:r>
        <w:rPr>
          <w:rFonts w:hint="eastAsia" w:ascii="仿宋_GB2312" w:hAnsi="仿宋_GB2312" w:eastAsia="仿宋_GB2312" w:cs="仿宋_GB2312"/>
          <w:bCs/>
          <w:sz w:val="32"/>
          <w:szCs w:val="32"/>
        </w:rPr>
        <w:t>一级指标：过程；二级指标：资金管理、组织实施;三级指标：资金到位率、预算执行率资金使用合规性、管理制度健全性、制度执行有效性。</w:t>
      </w:r>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bookmarkStart w:id="6" w:name="_Toc26401555"/>
      <w:r>
        <w:rPr>
          <w:rFonts w:hint="eastAsia" w:hAnsi="Times New Roman" w:eastAsia="宋体"/>
          <w:sz w:val="32"/>
          <w:szCs w:val="32"/>
        </w:rPr>
        <w:t>（五）</w:t>
      </w:r>
      <w:r>
        <w:rPr>
          <w:rFonts w:hAnsi="Times New Roman"/>
          <w:sz w:val="32"/>
          <w:szCs w:val="32"/>
        </w:rPr>
        <w:t>绩效评价方法</w:t>
      </w:r>
      <w:bookmarkEnd w:id="6"/>
    </w:p>
    <w:p>
      <w:pPr>
        <w:pageBreakBefore w:val="0"/>
        <w:widowControl/>
        <w:kinsoku/>
        <w:overflowPunct/>
        <w:topLinePunct w:val="0"/>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w:t>
      </w:r>
      <w:r>
        <w:rPr>
          <w:rFonts w:ascii="仿宋_GB2312" w:hAnsi="仿宋" w:eastAsia="仿宋_GB2312" w:cs="宋体"/>
          <w:sz w:val="32"/>
          <w:szCs w:val="32"/>
        </w:rPr>
        <w:t>目标比较</w:t>
      </w:r>
      <w:r>
        <w:rPr>
          <w:rFonts w:hint="eastAsia" w:ascii="仿宋_GB2312" w:hAnsi="仿宋" w:eastAsia="仿宋_GB2312" w:cs="宋体"/>
          <w:sz w:val="32"/>
          <w:szCs w:val="32"/>
        </w:rPr>
        <w:t>法。安居富民房建设项目实际完成1045户，实现预期目标建设，资金支付率达到100%。户均享受补贴达到1.59万元，用于完善我乡住房保障体系，改善住房保障服务，解决建房困难户经济困难，有效促进建房户就业，提升建房户获得感与幸福感。</w:t>
      </w:r>
    </w:p>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r>
        <w:rPr>
          <w:rFonts w:hint="eastAsia" w:hAnsi="Times New Roman" w:eastAsia="宋体"/>
          <w:sz w:val="32"/>
          <w:szCs w:val="32"/>
        </w:rPr>
        <w:t>（六）</w:t>
      </w:r>
      <w:r>
        <w:rPr>
          <w:rFonts w:hAnsi="Times New Roman"/>
          <w:sz w:val="32"/>
          <w:szCs w:val="32"/>
        </w:rPr>
        <w:t>评价标准</w:t>
      </w:r>
    </w:p>
    <w:p>
      <w:pPr>
        <w:pStyle w:val="49"/>
        <w:keepNext w:val="0"/>
        <w:keepLines w:val="0"/>
        <w:pageBreakBefore w:val="0"/>
        <w:widowControl/>
        <w:numPr>
          <w:ilvl w:val="0"/>
          <w:numId w:val="0"/>
        </w:numPr>
        <w:kinsoku/>
        <w:overflowPunct/>
        <w:topLinePunct w:val="0"/>
        <w:bidi w:val="0"/>
        <w:adjustRightInd/>
        <w:snapToGrid/>
        <w:spacing w:line="560" w:lineRule="exact"/>
        <w:ind w:left="0" w:leftChars="0" w:firstLine="640" w:firstLineChars="200"/>
        <w:textAlignment w:val="auto"/>
        <w:rPr>
          <w:rFonts w:hAnsi="仿宋" w:cs="宋体"/>
          <w:b w:val="0"/>
          <w:bCs/>
        </w:rPr>
      </w:pPr>
      <w:r>
        <w:rPr>
          <w:rFonts w:hint="eastAsia" w:hAnsi="仿宋" w:eastAsia="仿宋_GB2312" w:cs="宋体"/>
          <w:b w:val="0"/>
          <w:kern w:val="2"/>
          <w:sz w:val="32"/>
          <w:szCs w:val="32"/>
        </w:rPr>
        <w:t>项目评价标准采用计划标准</w:t>
      </w:r>
    </w:p>
    <w:p>
      <w:pPr>
        <w:pageBreakBefore w:val="0"/>
        <w:widowControl/>
        <w:kinsoku/>
        <w:overflowPunct/>
        <w:topLinePunct w:val="0"/>
        <w:bidi w:val="0"/>
        <w:adjustRightInd/>
        <w:snapToGrid/>
        <w:spacing w:line="560" w:lineRule="exact"/>
        <w:ind w:left="0" w:leftChars="0" w:firstLine="640" w:firstLineChars="200"/>
        <w:textAlignment w:val="auto"/>
      </w:pPr>
      <w:r>
        <w:rPr>
          <w:rFonts w:hint="eastAsia" w:ascii="仿宋_GB2312" w:hAnsi="仿宋" w:eastAsia="仿宋_GB2312" w:cs="宋体"/>
          <w:sz w:val="32"/>
          <w:szCs w:val="32"/>
        </w:rPr>
        <w:t>计划标准:计划标准为年度预期目标实施贫困户1045户，实施该项目是贯彻落实好县委决策部署，全面完成脱贫攻坚任务，彻底改善人居环境，转变农民生活方式，提高农民生活质量，促进文明住行，淡化宗教氛围的重要抓手。是解决新农村建设“只见新房，不见新村”问题的根据途径，项目资金预算数1662.27万元。已达到该标准。</w:t>
      </w:r>
    </w:p>
    <w:tbl>
      <w:tblPr>
        <w:tblStyle w:val="28"/>
        <w:tblpPr w:leftFromText="180" w:rightFromText="180" w:vertAnchor="text" w:horzAnchor="page" w:tblpX="1995" w:tblpY="1457"/>
        <w:tblOverlap w:val="never"/>
        <w:tblW w:w="82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65"/>
        <w:gridCol w:w="2765"/>
        <w:gridCol w:w="2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5" w:type="dxa"/>
            <w:vAlign w:val="center"/>
          </w:tcPr>
          <w:p>
            <w:pPr>
              <w:pStyle w:val="49"/>
              <w:numPr>
                <w:ilvl w:val="0"/>
                <w:numId w:val="0"/>
              </w:numPr>
              <w:spacing w:before="120" w:after="120" w:line="240" w:lineRule="atLeast"/>
              <w:jc w:val="center"/>
              <w:rPr>
                <w:rFonts w:eastAsia="仿宋_GB2312" w:cs="仿宋_GB2312"/>
                <w:b/>
                <w:bCs/>
                <w:sz w:val="28"/>
                <w:szCs w:val="28"/>
              </w:rPr>
            </w:pPr>
            <w:r>
              <w:rPr>
                <w:rFonts w:hint="eastAsia" w:eastAsia="仿宋_GB2312" w:cs="仿宋_GB2312"/>
                <w:b/>
                <w:bCs/>
                <w:sz w:val="28"/>
                <w:szCs w:val="28"/>
              </w:rPr>
              <w:t>评价人</w:t>
            </w:r>
          </w:p>
        </w:tc>
        <w:tc>
          <w:tcPr>
            <w:tcW w:w="2765" w:type="dxa"/>
            <w:vAlign w:val="center"/>
          </w:tcPr>
          <w:p>
            <w:pPr>
              <w:pStyle w:val="49"/>
              <w:numPr>
                <w:ilvl w:val="0"/>
                <w:numId w:val="0"/>
              </w:numPr>
              <w:spacing w:before="120" w:after="120" w:line="240" w:lineRule="atLeast"/>
              <w:jc w:val="center"/>
              <w:rPr>
                <w:rFonts w:eastAsia="仿宋_GB2312" w:cs="仿宋_GB2312"/>
                <w:b/>
                <w:bCs/>
                <w:sz w:val="28"/>
                <w:szCs w:val="28"/>
              </w:rPr>
            </w:pPr>
            <w:r>
              <w:rPr>
                <w:rFonts w:hint="eastAsia" w:eastAsia="仿宋_GB2312" w:cs="仿宋_GB2312"/>
                <w:b/>
                <w:bCs/>
                <w:sz w:val="28"/>
                <w:szCs w:val="28"/>
              </w:rPr>
              <w:t>职责</w:t>
            </w:r>
          </w:p>
        </w:tc>
        <w:tc>
          <w:tcPr>
            <w:tcW w:w="2766" w:type="dxa"/>
            <w:vAlign w:val="center"/>
          </w:tcPr>
          <w:p>
            <w:pPr>
              <w:pStyle w:val="49"/>
              <w:numPr>
                <w:ilvl w:val="0"/>
                <w:numId w:val="0"/>
              </w:numPr>
              <w:spacing w:before="120" w:after="120" w:line="240" w:lineRule="atLeast"/>
              <w:jc w:val="center"/>
              <w:rPr>
                <w:rFonts w:eastAsia="仿宋_GB2312" w:cs="仿宋_GB2312"/>
                <w:b/>
                <w:bCs/>
                <w:sz w:val="28"/>
                <w:szCs w:val="28"/>
              </w:rPr>
            </w:pPr>
            <w:r>
              <w:rPr>
                <w:rFonts w:hint="eastAsia" w:eastAsia="仿宋_GB2312" w:cs="仿宋_GB2312"/>
                <w:b/>
                <w:bCs/>
                <w:sz w:val="28"/>
                <w:szCs w:val="28"/>
              </w:rPr>
              <w:t>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5" w:type="dxa"/>
            <w:vAlign w:val="center"/>
          </w:tcPr>
          <w:p>
            <w:pPr>
              <w:pStyle w:val="49"/>
              <w:numPr>
                <w:ilvl w:val="0"/>
                <w:numId w:val="0"/>
              </w:numPr>
              <w:spacing w:before="120" w:after="120" w:line="240" w:lineRule="atLeast"/>
              <w:jc w:val="center"/>
              <w:rPr>
                <w:rFonts w:eastAsia="仿宋_GB2312" w:cs="仿宋_GB2312"/>
                <w:b w:val="0"/>
                <w:sz w:val="28"/>
                <w:szCs w:val="28"/>
              </w:rPr>
            </w:pPr>
            <w:r>
              <w:rPr>
                <w:rFonts w:hint="eastAsia" w:eastAsia="仿宋_GB2312" w:cs="仿宋_GB2312"/>
                <w:b w:val="0"/>
                <w:sz w:val="28"/>
                <w:szCs w:val="28"/>
              </w:rPr>
              <w:t>姜鹏</w:t>
            </w:r>
          </w:p>
        </w:tc>
        <w:tc>
          <w:tcPr>
            <w:tcW w:w="2765" w:type="dxa"/>
            <w:vAlign w:val="center"/>
          </w:tcPr>
          <w:p>
            <w:pPr>
              <w:pStyle w:val="49"/>
              <w:numPr>
                <w:ilvl w:val="0"/>
                <w:numId w:val="0"/>
              </w:numPr>
              <w:spacing w:before="120" w:after="120" w:line="240" w:lineRule="atLeast"/>
              <w:jc w:val="center"/>
              <w:rPr>
                <w:rFonts w:eastAsia="仿宋_GB2312" w:cs="仿宋_GB2312"/>
                <w:b w:val="0"/>
                <w:sz w:val="28"/>
                <w:szCs w:val="28"/>
              </w:rPr>
            </w:pPr>
            <w:r>
              <w:rPr>
                <w:rFonts w:hint="eastAsia" w:eastAsia="仿宋_GB2312" w:cs="仿宋_GB2312"/>
                <w:b w:val="0"/>
                <w:sz w:val="28"/>
                <w:szCs w:val="28"/>
              </w:rPr>
              <w:t>评价组组长</w:t>
            </w:r>
          </w:p>
        </w:tc>
        <w:tc>
          <w:tcPr>
            <w:tcW w:w="2766" w:type="dxa"/>
            <w:vAlign w:val="center"/>
          </w:tcPr>
          <w:p>
            <w:pPr>
              <w:pStyle w:val="49"/>
              <w:keepNext w:val="0"/>
              <w:keepLines w:val="0"/>
              <w:numPr>
                <w:ilvl w:val="0"/>
                <w:numId w:val="0"/>
              </w:numPr>
              <w:spacing w:line="240" w:lineRule="atLeast"/>
              <w:jc w:val="center"/>
              <w:rPr>
                <w:rFonts w:eastAsia="仿宋_GB2312" w:cs="仿宋_GB2312"/>
                <w:b w:val="0"/>
                <w:sz w:val="28"/>
                <w:szCs w:val="28"/>
              </w:rPr>
            </w:pPr>
            <w:r>
              <w:rPr>
                <w:rFonts w:hint="eastAsia" w:eastAsia="仿宋_GB2312" w:cs="仿宋_GB2312"/>
                <w:b w:val="0"/>
                <w:sz w:val="28"/>
                <w:szCs w:val="28"/>
              </w:rPr>
              <w:t>常务副乡长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5" w:type="dxa"/>
            <w:vAlign w:val="center"/>
          </w:tcPr>
          <w:p>
            <w:pPr>
              <w:pStyle w:val="49"/>
              <w:numPr>
                <w:ilvl w:val="0"/>
                <w:numId w:val="0"/>
              </w:numPr>
              <w:spacing w:before="120" w:after="120" w:line="240" w:lineRule="atLeast"/>
              <w:jc w:val="center"/>
              <w:rPr>
                <w:rFonts w:hint="eastAsia" w:eastAsia="仿宋_GB2312" w:cs="仿宋_GB2312"/>
                <w:b w:val="0"/>
                <w:sz w:val="28"/>
                <w:szCs w:val="28"/>
                <w:highlight w:val="none"/>
                <w:lang w:eastAsia="zh-CN"/>
              </w:rPr>
            </w:pPr>
            <w:r>
              <w:rPr>
                <w:rFonts w:hint="eastAsia" w:eastAsia="仿宋_GB2312" w:cs="仿宋_GB2312"/>
                <w:b w:val="0"/>
                <w:sz w:val="28"/>
                <w:szCs w:val="28"/>
                <w:highlight w:val="none"/>
                <w:lang w:eastAsia="zh-CN"/>
              </w:rPr>
              <w:t>赵映喜</w:t>
            </w:r>
          </w:p>
        </w:tc>
        <w:tc>
          <w:tcPr>
            <w:tcW w:w="2765" w:type="dxa"/>
            <w:vAlign w:val="center"/>
          </w:tcPr>
          <w:p>
            <w:pPr>
              <w:pStyle w:val="49"/>
              <w:numPr>
                <w:ilvl w:val="0"/>
                <w:numId w:val="0"/>
              </w:numPr>
              <w:spacing w:before="120" w:after="120" w:line="240" w:lineRule="atLeast"/>
              <w:jc w:val="center"/>
              <w:rPr>
                <w:rFonts w:eastAsia="仿宋_GB2312" w:cs="仿宋_GB2312"/>
                <w:b w:val="0"/>
                <w:sz w:val="28"/>
                <w:szCs w:val="28"/>
                <w:highlight w:val="none"/>
              </w:rPr>
            </w:pPr>
            <w:r>
              <w:rPr>
                <w:rFonts w:hint="eastAsia" w:eastAsia="仿宋_GB2312" w:cs="仿宋_GB2312"/>
                <w:b w:val="0"/>
                <w:sz w:val="28"/>
                <w:szCs w:val="28"/>
                <w:highlight w:val="none"/>
              </w:rPr>
              <w:t>评价组成员</w:t>
            </w:r>
          </w:p>
        </w:tc>
        <w:tc>
          <w:tcPr>
            <w:tcW w:w="2766" w:type="dxa"/>
            <w:vAlign w:val="center"/>
          </w:tcPr>
          <w:p>
            <w:pPr>
              <w:pStyle w:val="49"/>
              <w:keepNext w:val="0"/>
              <w:keepLines w:val="0"/>
              <w:numPr>
                <w:ilvl w:val="0"/>
                <w:numId w:val="0"/>
              </w:numPr>
              <w:spacing w:line="240" w:lineRule="atLeast"/>
              <w:jc w:val="center"/>
              <w:rPr>
                <w:rFonts w:hint="eastAsia" w:eastAsia="仿宋_GB2312" w:cs="仿宋_GB2312"/>
                <w:b w:val="0"/>
                <w:sz w:val="28"/>
                <w:szCs w:val="28"/>
                <w:highlight w:val="none"/>
                <w:lang w:eastAsia="zh-CN"/>
              </w:rPr>
            </w:pPr>
            <w:r>
              <w:rPr>
                <w:rFonts w:hint="eastAsia" w:eastAsia="仿宋_GB2312" w:cs="仿宋_GB2312"/>
                <w:b w:val="0"/>
                <w:sz w:val="28"/>
                <w:szCs w:val="28"/>
                <w:highlight w:val="none"/>
                <w:lang w:eastAsia="zh-CN"/>
              </w:rPr>
              <w:t>扶贫书记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5" w:type="dxa"/>
            <w:vAlign w:val="center"/>
          </w:tcPr>
          <w:p>
            <w:pPr>
              <w:pStyle w:val="49"/>
              <w:numPr>
                <w:ilvl w:val="0"/>
                <w:numId w:val="0"/>
              </w:numPr>
              <w:spacing w:before="120" w:after="120" w:line="240" w:lineRule="atLeast"/>
              <w:jc w:val="center"/>
              <w:rPr>
                <w:rFonts w:hint="eastAsia" w:eastAsia="仿宋_GB2312" w:cs="仿宋_GB2312"/>
                <w:b w:val="0"/>
                <w:sz w:val="28"/>
                <w:szCs w:val="28"/>
                <w:highlight w:val="none"/>
                <w:lang w:eastAsia="zh-CN"/>
              </w:rPr>
            </w:pPr>
            <w:r>
              <w:rPr>
                <w:rFonts w:hint="eastAsia" w:eastAsia="仿宋_GB2312" w:cs="仿宋_GB2312"/>
                <w:b w:val="0"/>
                <w:sz w:val="28"/>
                <w:szCs w:val="28"/>
                <w:highlight w:val="none"/>
              </w:rPr>
              <w:t>李</w:t>
            </w:r>
            <w:r>
              <w:rPr>
                <w:rFonts w:hint="eastAsia" w:eastAsia="仿宋_GB2312" w:cs="仿宋_GB2312"/>
                <w:b w:val="0"/>
                <w:sz w:val="28"/>
                <w:szCs w:val="28"/>
                <w:highlight w:val="none"/>
                <w:lang w:eastAsia="zh-CN"/>
              </w:rPr>
              <w:t>鑫</w:t>
            </w:r>
          </w:p>
        </w:tc>
        <w:tc>
          <w:tcPr>
            <w:tcW w:w="2765" w:type="dxa"/>
            <w:vAlign w:val="center"/>
          </w:tcPr>
          <w:p>
            <w:pPr>
              <w:pStyle w:val="49"/>
              <w:numPr>
                <w:ilvl w:val="0"/>
                <w:numId w:val="0"/>
              </w:numPr>
              <w:spacing w:before="120" w:after="120" w:line="240" w:lineRule="atLeast"/>
              <w:jc w:val="center"/>
              <w:rPr>
                <w:rFonts w:eastAsia="仿宋_GB2312" w:cs="仿宋_GB2312"/>
                <w:b w:val="0"/>
                <w:sz w:val="28"/>
                <w:szCs w:val="28"/>
                <w:highlight w:val="none"/>
              </w:rPr>
            </w:pPr>
            <w:r>
              <w:rPr>
                <w:rFonts w:hint="eastAsia" w:eastAsia="仿宋_GB2312" w:cs="仿宋_GB2312"/>
                <w:b w:val="0"/>
                <w:sz w:val="28"/>
                <w:szCs w:val="28"/>
                <w:highlight w:val="none"/>
              </w:rPr>
              <w:t>评价组成员</w:t>
            </w:r>
          </w:p>
        </w:tc>
        <w:tc>
          <w:tcPr>
            <w:tcW w:w="2766" w:type="dxa"/>
            <w:vAlign w:val="center"/>
          </w:tcPr>
          <w:p>
            <w:pPr>
              <w:pStyle w:val="49"/>
              <w:keepNext w:val="0"/>
              <w:keepLines w:val="0"/>
              <w:numPr>
                <w:ilvl w:val="0"/>
                <w:numId w:val="0"/>
              </w:numPr>
              <w:spacing w:line="240" w:lineRule="atLeast"/>
              <w:jc w:val="center"/>
              <w:rPr>
                <w:rFonts w:hint="default" w:eastAsia="仿宋_GB2312" w:cs="仿宋_GB2312"/>
                <w:b w:val="0"/>
                <w:sz w:val="28"/>
                <w:szCs w:val="28"/>
                <w:highlight w:val="none"/>
                <w:lang w:val="en-US" w:eastAsia="zh-CN"/>
              </w:rPr>
            </w:pPr>
            <w:r>
              <w:rPr>
                <w:rFonts w:hint="eastAsia" w:eastAsia="仿宋_GB2312" w:cs="仿宋_GB2312"/>
                <w:b w:val="0"/>
                <w:sz w:val="28"/>
                <w:szCs w:val="28"/>
                <w:highlight w:val="none"/>
                <w:lang w:eastAsia="zh-CN"/>
              </w:rPr>
              <w:t>项目管理员</w:t>
            </w:r>
          </w:p>
        </w:tc>
      </w:tr>
    </w:tbl>
    <w:p>
      <w:pPr>
        <w:pStyle w:val="49"/>
        <w:pageBreakBefore w:val="0"/>
        <w:widowControl/>
        <w:numPr>
          <w:ilvl w:val="0"/>
          <w:numId w:val="0"/>
        </w:numPr>
        <w:kinsoku/>
        <w:overflowPunct/>
        <w:topLinePunct w:val="0"/>
        <w:bidi w:val="0"/>
        <w:adjustRightInd/>
        <w:snapToGrid/>
        <w:spacing w:line="560" w:lineRule="exact"/>
        <w:ind w:left="0" w:leftChars="0" w:firstLine="643" w:firstLineChars="200"/>
        <w:textAlignment w:val="auto"/>
        <w:rPr>
          <w:rFonts w:hAnsi="Times New Roman"/>
          <w:sz w:val="32"/>
          <w:szCs w:val="32"/>
        </w:rPr>
      </w:pPr>
      <w:r>
        <w:rPr>
          <w:rFonts w:hint="eastAsia" w:hAnsi="Times New Roman" w:eastAsia="宋体"/>
          <w:sz w:val="32"/>
          <w:szCs w:val="32"/>
        </w:rPr>
        <w:t>（七）</w:t>
      </w:r>
      <w:r>
        <w:rPr>
          <w:rFonts w:hAnsi="Times New Roman"/>
          <w:sz w:val="32"/>
          <w:szCs w:val="32"/>
        </w:rPr>
        <w:t>绩效评价工作过程</w:t>
      </w:r>
    </w:p>
    <w:p>
      <w:pPr>
        <w:pageBreakBefore w:val="0"/>
        <w:widowControl/>
        <w:numPr>
          <w:ilvl w:val="0"/>
          <w:numId w:val="2"/>
        </w:numPr>
        <w:kinsoku/>
        <w:overflowPunct/>
        <w:topLinePunct w:val="0"/>
        <w:bidi w:val="0"/>
        <w:adjustRightInd/>
        <w:snapToGrid/>
        <w:spacing w:line="560" w:lineRule="exact"/>
        <w:ind w:left="0" w:leftChars="0"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本次评价成立了评价工作组，成员如下：</w:t>
      </w:r>
    </w:p>
    <w:p>
      <w:pPr>
        <w:pageBreakBefore w:val="0"/>
        <w:widowControl/>
        <w:numPr>
          <w:ilvl w:val="0"/>
          <w:numId w:val="0"/>
        </w:numPr>
        <w:kinsoku/>
        <w:overflowPunct/>
        <w:topLinePunct w:val="0"/>
        <w:bidi w:val="0"/>
        <w:adjustRightInd/>
        <w:snapToGrid/>
        <w:spacing w:line="560" w:lineRule="exact"/>
        <w:textAlignment w:val="auto"/>
        <w:rPr>
          <w:rFonts w:hAnsi="Times New Roman"/>
          <w:b w:val="0"/>
          <w:sz w:val="32"/>
          <w:szCs w:val="32"/>
        </w:rPr>
      </w:pPr>
      <w:r>
        <w:rPr>
          <w:rFonts w:hint="eastAsia" w:eastAsia="仿宋_GB2312" w:cs="仿宋_GB2312"/>
          <w:b w:val="0"/>
          <w:sz w:val="32"/>
          <w:szCs w:val="32"/>
        </w:rPr>
        <w:t>本次评价设计了评价方案、评价指标体系，通过资料分析、调研、访谈满意度调查等方式形成评价结论，在与项目单位沟通后确定评价意见，并出具评价报告。　</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数据采集方法及过程</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本次绩效评价数据包括定性和定量两种数据,定性数据主要通过实地考察、面对面访谈,问卷调研等社会调查的方式来采集。</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绩效评价实施过程</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问卷调查</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11月1日-2019年12月30日,项目组对乡村安居房建设补助项目涉及受益村民进行问卷调查。向1045名受益村民共发放1045份问卷,回收1000份问卷,其中有效问卷为945份,有效问卷为95%，再通过问卷录入、分析、整理后,形成社会调查满意度报告</w:t>
      </w:r>
    </w:p>
    <w:p>
      <w:pPr>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访谈</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11月1日-2019年12月30日,针对乡村安居房建设补助开展情况、管理措施和项目管理的经验、困难与建议等问题进行访问和了解,项目组开展了访谈工作。访谈对象主要包括:项目主管部门、实施单位、部分村委会的负责人以及部分受益群众。访谈方式包括电话访谈和上门访谈。最后项目组集中撰写了访谈报告。</w:t>
      </w:r>
    </w:p>
    <w:p>
      <w:pPr>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数据分析及撰写报告</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2019年11月1日-2019年12月30日,项目组根据绩效评价的原理和规范,对采集的数据进行甄别、分析和评分,并提炼结论撰写报告,在规定时间内上报委托方,由委托方组织相关专家对报告进行评审。</w:t>
      </w:r>
    </w:p>
    <w:p>
      <w:pPr>
        <w:pStyle w:val="47"/>
        <w:pageBreakBefore w:val="0"/>
        <w:widowControl/>
        <w:kinsoku/>
        <w:wordWrap/>
        <w:overflowPunct/>
        <w:topLinePunct w:val="0"/>
        <w:autoSpaceDE/>
        <w:autoSpaceDN/>
        <w:bidi w:val="0"/>
        <w:adjustRightInd/>
        <w:spacing w:line="560" w:lineRule="exact"/>
        <w:ind w:left="0" w:firstLine="643" w:firstLineChars="200"/>
        <w:textAlignment w:val="auto"/>
        <w:rPr>
          <w:rFonts w:ascii="Times New Roman" w:hAnsi="Times New Roman"/>
        </w:rPr>
      </w:pPr>
      <w:bookmarkStart w:id="7" w:name="_Toc26401558"/>
      <w:r>
        <w:rPr>
          <w:rFonts w:hint="eastAsia" w:ascii="黑体" w:hAnsi="黑体" w:eastAsia="黑体"/>
        </w:rPr>
        <w:t>三、</w:t>
      </w:r>
      <w:r>
        <w:rPr>
          <w:rFonts w:ascii="黑体" w:hAnsi="黑体" w:eastAsia="黑体"/>
        </w:rPr>
        <w:t>综合评价情况及评价结论</w:t>
      </w:r>
    </w:p>
    <w:p>
      <w:pPr>
        <w:pStyle w:val="47"/>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b w:val="0"/>
        </w:rPr>
      </w:pPr>
      <w:r>
        <w:rPr>
          <w:rFonts w:ascii="仿宋_GB2312" w:hAnsi="仿宋_GB2312" w:eastAsia="仿宋_GB2312"/>
          <w:b w:val="0"/>
        </w:rPr>
        <w:t>经评价组通过实地调研、资料分析等方式，采用成本效益分析法、最低成本法、等对项目的决策、管理、绩效进行的综合评价分析，项目得分为</w:t>
      </w:r>
      <w:r>
        <w:rPr>
          <w:rFonts w:hint="eastAsia" w:ascii="仿宋_GB2312" w:hAnsi="仿宋_GB2312" w:eastAsia="仿宋_GB2312"/>
          <w:b w:val="0"/>
        </w:rPr>
        <w:t>93</w:t>
      </w:r>
      <w:r>
        <w:rPr>
          <w:rFonts w:ascii="仿宋_GB2312" w:hAnsi="仿宋_GB2312" w:eastAsia="仿宋_GB2312"/>
          <w:b w:val="0"/>
        </w:rPr>
        <w:t>分，评价结果为优，详见附件4。</w:t>
      </w:r>
    </w:p>
    <w:p>
      <w:pPr>
        <w:pStyle w:val="47"/>
        <w:pageBreakBefore w:val="0"/>
        <w:widowControl/>
        <w:kinsoku/>
        <w:wordWrap/>
        <w:overflowPunct/>
        <w:topLinePunct w:val="0"/>
        <w:autoSpaceDE/>
        <w:autoSpaceDN/>
        <w:bidi w:val="0"/>
        <w:adjustRightInd/>
        <w:spacing w:line="560" w:lineRule="exact"/>
        <w:ind w:left="0" w:firstLine="643" w:firstLineChars="200"/>
        <w:textAlignment w:val="auto"/>
        <w:rPr>
          <w:rFonts w:ascii="Times New Roman" w:hAnsi="Times New Roman"/>
        </w:rPr>
      </w:pPr>
      <w:r>
        <w:rPr>
          <w:rFonts w:hint="eastAsia" w:ascii="Times New Roman" w:hAnsi="Times New Roman" w:eastAsia="宋体"/>
        </w:rPr>
        <w:t>四、</w:t>
      </w:r>
      <w:r>
        <w:rPr>
          <w:rFonts w:ascii="Times New Roman" w:hAnsi="Times New Roman"/>
        </w:rPr>
        <w:t>绩效评价指标分析</w:t>
      </w:r>
      <w:bookmarkEnd w:id="7"/>
    </w:p>
    <w:p>
      <w:pPr>
        <w:pStyle w:val="41"/>
        <w:pageBreakBefore w:val="0"/>
        <w:widowControl/>
        <w:kinsoku/>
        <w:wordWrap/>
        <w:overflowPunct/>
        <w:topLinePunct w:val="0"/>
        <w:autoSpaceDE/>
        <w:autoSpaceDN/>
        <w:bidi w:val="0"/>
        <w:adjustRightInd/>
        <w:spacing w:line="560" w:lineRule="exact"/>
        <w:ind w:left="0" w:firstLine="643" w:firstLineChars="200"/>
        <w:textAlignment w:val="auto"/>
        <w:rPr>
          <w:rFonts w:ascii="仿宋_GB2312" w:hAnsi="宋体" w:eastAsia="宋体"/>
          <w:b/>
          <w:sz w:val="32"/>
          <w:szCs w:val="32"/>
        </w:rPr>
      </w:pPr>
      <w:r>
        <w:rPr>
          <w:rFonts w:hint="eastAsia" w:ascii="仿宋_GB2312" w:hAnsi="宋体" w:eastAsia="宋体"/>
          <w:b/>
          <w:sz w:val="32"/>
          <w:szCs w:val="32"/>
        </w:rPr>
        <w:t>（一）</w:t>
      </w:r>
      <w:r>
        <w:rPr>
          <w:rFonts w:ascii="仿宋_GB2312" w:hAnsi="宋体" w:eastAsia="宋体"/>
          <w:b/>
          <w:sz w:val="32"/>
          <w:szCs w:val="32"/>
        </w:rPr>
        <w:t>项目的决策情况</w:t>
      </w:r>
    </w:p>
    <w:p>
      <w:pPr>
        <w:pStyle w:val="52"/>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项目依据新财社新财建【2019】69号、喀地财建【2019】44号文件下达的文件立项，符合相关法规政策及部门职责，项目是按照规定的程序申请设立；审批文件、材料是符合相关要求；项目前期已经过必要的可行性研究、风险评估、绩效评估、集体决策。</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项目根据《项目支出绩效评价管理办法》（财预〔2020〕10号）和自治区财政厅</w:t>
      </w:r>
      <w:r>
        <w:rPr>
          <w:rFonts w:hint="eastAsia" w:ascii="仿宋_GB2312" w:hAnsi="仿宋_GB2312" w:eastAsia="仿宋_GB2312" w:cs="仿宋_GB2312"/>
          <w:sz w:val="32"/>
          <w:szCs w:val="32"/>
          <w:shd w:val="clear" w:color="000000" w:fill="FFFFFF"/>
        </w:rPr>
        <w:t>《自治区财政支出绩效评价管理暂行办法》（新财预〔2018〕189号）</w:t>
      </w:r>
      <w:r>
        <w:rPr>
          <w:rFonts w:hint="eastAsia" w:ascii="仿宋_GB2312" w:hAnsi="仿宋_GB2312" w:eastAsia="仿宋_GB2312" w:cs="仿宋_GB2312"/>
          <w:sz w:val="32"/>
          <w:szCs w:val="32"/>
        </w:rPr>
        <w:t>等相关政策文件要求设置了绩效目标，项目绩效目标基本合理，与实际工作内容相关；项目预期产出效益和效果符合正常的业绩水平；与预算确定的项目投资额或资金量相匹配。</w:t>
      </w:r>
    </w:p>
    <w:p>
      <w:pPr>
        <w:pageBreakBefore w:val="0"/>
        <w:widowControl/>
        <w:kinsoku/>
        <w:wordWrap/>
        <w:overflowPunct/>
        <w:topLinePunct w:val="0"/>
        <w:autoSpaceDE/>
        <w:autoSpaceDN/>
        <w:bidi w:val="0"/>
        <w:adjustRightInd/>
        <w:spacing w:line="560" w:lineRule="exact"/>
        <w:ind w:left="0" w:firstLine="640" w:firstLineChars="200"/>
        <w:textAlignment w:val="auto"/>
        <w:rPr>
          <w:rFonts w:ascii="仿宋_GB2312" w:hAnsi="宋体" w:eastAsia="宋体"/>
          <w:sz w:val="32"/>
          <w:szCs w:val="32"/>
        </w:rPr>
      </w:pPr>
      <w:r>
        <w:rPr>
          <w:rFonts w:hint="eastAsia" w:ascii="仿宋_GB2312" w:hAnsi="仿宋_GB2312" w:eastAsia="仿宋_GB2312" w:cs="仿宋_GB2312"/>
          <w:sz w:val="32"/>
          <w:szCs w:val="32"/>
        </w:rPr>
        <w:t>项目在资金投入方面，预算编制经过科学论证、有明确标准，资金额度与年度目标相适应，用以反映和考核项目预算编制的科学性、合理性情况。项目预算资金分配根据贫困户需要测算分配，与补助单位或地方实际相适应。</w:t>
      </w:r>
    </w:p>
    <w:p>
      <w:pPr>
        <w:pStyle w:val="41"/>
        <w:pageBreakBefore w:val="0"/>
        <w:widowControl/>
        <w:kinsoku/>
        <w:wordWrap/>
        <w:overflowPunct/>
        <w:topLinePunct w:val="0"/>
        <w:autoSpaceDE/>
        <w:autoSpaceDN/>
        <w:bidi w:val="0"/>
        <w:adjustRightInd/>
        <w:spacing w:line="560" w:lineRule="exact"/>
        <w:ind w:left="0" w:firstLine="643" w:firstLineChars="200"/>
        <w:textAlignment w:val="auto"/>
        <w:rPr>
          <w:rFonts w:ascii="仿宋_GB2312" w:hAnsi="宋体" w:eastAsia="宋体"/>
          <w:b/>
          <w:sz w:val="32"/>
          <w:szCs w:val="32"/>
        </w:rPr>
      </w:pPr>
      <w:r>
        <w:rPr>
          <w:rFonts w:hint="eastAsia" w:ascii="仿宋_GB2312" w:hAnsi="宋体" w:eastAsia="宋体"/>
          <w:b/>
          <w:sz w:val="32"/>
          <w:szCs w:val="32"/>
        </w:rPr>
        <w:t>（二）</w:t>
      </w:r>
      <w:r>
        <w:rPr>
          <w:rFonts w:ascii="仿宋_GB2312" w:hAnsi="宋体" w:eastAsia="宋体"/>
          <w:b/>
          <w:sz w:val="32"/>
          <w:szCs w:val="32"/>
        </w:rPr>
        <w:t>项目的过程情况</w:t>
      </w:r>
    </w:p>
    <w:p>
      <w:pPr>
        <w:pageBreakBefore w:val="0"/>
        <w:widowControl/>
        <w:kinsoku/>
        <w:wordWrap/>
        <w:overflowPunct/>
        <w:topLinePunct w:val="0"/>
        <w:autoSpaceDE/>
        <w:autoSpaceDN/>
        <w:bidi w:val="0"/>
        <w:adjustRightInd/>
        <w:spacing w:line="560" w:lineRule="exact"/>
        <w:ind w:left="0" w:firstLine="624" w:firstLineChars="200"/>
        <w:textAlignment w:val="auto"/>
        <w:rPr>
          <w:rFonts w:ascii="仿宋_GB2312" w:hAnsi="仿宋" w:eastAsia="仿宋_GB2312"/>
          <w:color w:val="000000"/>
          <w:spacing w:val="-4"/>
          <w:sz w:val="32"/>
        </w:rPr>
      </w:pPr>
      <w:r>
        <w:rPr>
          <w:rFonts w:ascii="仿宋_GB2312" w:hAnsi="仿宋" w:eastAsia="仿宋_GB2312"/>
          <w:color w:val="000000"/>
          <w:spacing w:val="-4"/>
          <w:sz w:val="32"/>
        </w:rPr>
        <w:t>恰斯米其特乡</w:t>
      </w:r>
      <w:r>
        <w:rPr>
          <w:rFonts w:hint="eastAsia" w:ascii="仿宋_GB2312" w:hAnsi="仿宋" w:eastAsia="仿宋_GB2312"/>
          <w:color w:val="000000"/>
          <w:spacing w:val="-4"/>
          <w:sz w:val="32"/>
        </w:rPr>
        <w:t>在执行该项目经费支出过程中，</w:t>
      </w:r>
      <w:r>
        <w:rPr>
          <w:rFonts w:ascii="仿宋_GB2312" w:hAnsi="宋体" w:eastAsia="宋体"/>
          <w:sz w:val="32"/>
          <w:szCs w:val="32"/>
        </w:rPr>
        <w:t>项目资金足额及时到位，</w:t>
      </w:r>
      <w:r>
        <w:rPr>
          <w:rFonts w:hint="eastAsia" w:ascii="仿宋_GB2312" w:hAnsi="仿宋" w:eastAsia="仿宋_GB2312"/>
          <w:color w:val="000000"/>
          <w:spacing w:val="-4"/>
          <w:sz w:val="32"/>
        </w:rPr>
        <w:t>根据《项目支出管理办法》、《行政单位财务管理制度及办法》，包括会计核算工作管理制度、支出拨付有完整的审批程序和手续，项目经村申报，乡审核、报县主管部门批准，资金拨付有完整的审批程序和手续，支出和拨付按照“乡财县管”财务管理制度，实行国库集中支付，有完整的审批程序和手续，不存在截留、挤占、挪用等情况，专项支出严格遵守相关规定和业务管理要求，支出资料齐全并及时归档。相关部门进行督导检查，并组织了验收 ，项目已全部投入使用。</w:t>
      </w:r>
    </w:p>
    <w:p>
      <w:pPr>
        <w:pStyle w:val="41"/>
        <w:pageBreakBefore w:val="0"/>
        <w:widowControl/>
        <w:kinsoku/>
        <w:wordWrap/>
        <w:overflowPunct/>
        <w:topLinePunct w:val="0"/>
        <w:autoSpaceDE/>
        <w:autoSpaceDN/>
        <w:bidi w:val="0"/>
        <w:adjustRightInd/>
        <w:spacing w:line="560" w:lineRule="exact"/>
        <w:ind w:left="0" w:firstLine="643" w:firstLineChars="200"/>
        <w:textAlignment w:val="auto"/>
        <w:rPr>
          <w:rFonts w:ascii="仿宋_GB2312" w:hAnsi="宋体" w:eastAsia="宋体"/>
          <w:b/>
          <w:sz w:val="32"/>
          <w:szCs w:val="32"/>
        </w:rPr>
      </w:pPr>
      <w:r>
        <w:rPr>
          <w:rFonts w:hint="eastAsia" w:ascii="仿宋_GB2312" w:hAnsi="宋体" w:eastAsia="宋体"/>
          <w:b/>
          <w:sz w:val="32"/>
          <w:szCs w:val="32"/>
        </w:rPr>
        <w:t>（三）</w:t>
      </w:r>
      <w:r>
        <w:rPr>
          <w:rFonts w:ascii="仿宋_GB2312" w:hAnsi="宋体" w:eastAsia="宋体"/>
          <w:b/>
          <w:sz w:val="32"/>
          <w:szCs w:val="32"/>
        </w:rPr>
        <w:t>项目产出情况</w:t>
      </w:r>
    </w:p>
    <w:p>
      <w:pPr>
        <w:pageBreakBefore w:val="0"/>
        <w:widowControl/>
        <w:kinsoku/>
        <w:wordWrap/>
        <w:overflowPunct/>
        <w:topLinePunct w:val="0"/>
        <w:autoSpaceDE/>
        <w:autoSpaceDN/>
        <w:bidi w:val="0"/>
        <w:adjustRightIn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eastAsia="仿宋_GB2312"/>
          <w:sz w:val="32"/>
          <w:szCs w:val="32"/>
        </w:rPr>
        <w:t>通过项目的实施，</w:t>
      </w:r>
      <w:r>
        <w:rPr>
          <w:rFonts w:hint="eastAsia" w:ascii="仿宋_GB2312" w:hAnsi="仿宋" w:eastAsia="仿宋_GB2312" w:cs="宋体"/>
          <w:sz w:val="32"/>
          <w:szCs w:val="32"/>
        </w:rPr>
        <w:t>安居富民房建设项目实际完成1045户，实现预期目标建设，资金支付率达到100%。户均享受补贴达到1.59万元，用于完善我乡住房保障体系，改善住房保障服务，解决建房困难户经济困难，有效促进建房户就业，提升建房户获得感与幸福感。</w:t>
      </w:r>
    </w:p>
    <w:tbl>
      <w:tblPr>
        <w:tblStyle w:val="27"/>
        <w:tblW w:w="8342" w:type="dxa"/>
        <w:tblInd w:w="0" w:type="dxa"/>
        <w:shd w:val="clear" w:color="auto" w:fill="auto"/>
        <w:tblLayout w:type="fixed"/>
        <w:tblCellMar>
          <w:top w:w="0" w:type="dxa"/>
          <w:left w:w="0" w:type="dxa"/>
          <w:bottom w:w="0" w:type="dxa"/>
          <w:right w:w="0" w:type="dxa"/>
        </w:tblCellMar>
      </w:tblPr>
      <w:tblGrid>
        <w:gridCol w:w="1332"/>
        <w:gridCol w:w="1128"/>
        <w:gridCol w:w="3456"/>
        <w:gridCol w:w="1499"/>
        <w:gridCol w:w="927"/>
      </w:tblGrid>
      <w:tr>
        <w:tblPrEx>
          <w:shd w:val="clear" w:color="auto" w:fill="auto"/>
          <w:tblCellMar>
            <w:top w:w="0" w:type="dxa"/>
            <w:left w:w="0" w:type="dxa"/>
            <w:bottom w:w="0" w:type="dxa"/>
            <w:right w:w="0" w:type="dxa"/>
          </w:tblCellMar>
        </w:tblPrEx>
        <w:trPr>
          <w:trHeight w:val="720" w:hRule="atLeast"/>
        </w:trPr>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720" w:hRule="atLeast"/>
        </w:trPr>
        <w:tc>
          <w:tcPr>
            <w:tcW w:w="13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安居房补助家庭（户）</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1045</w:t>
            </w:r>
          </w:p>
        </w:tc>
        <w:tc>
          <w:tcPr>
            <w:tcW w:w="9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1045</w:t>
            </w:r>
          </w:p>
        </w:tc>
      </w:tr>
      <w:tr>
        <w:tblPrEx>
          <w:tblCellMar>
            <w:top w:w="0" w:type="dxa"/>
            <w:left w:w="0" w:type="dxa"/>
            <w:bottom w:w="0" w:type="dxa"/>
            <w:right w:w="0" w:type="dxa"/>
          </w:tblCellMar>
        </w:tblPrEx>
        <w:trPr>
          <w:trHeight w:val="720" w:hRule="atLeast"/>
        </w:trPr>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享受补助家庭收到补助率（%）</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720" w:hRule="atLeast"/>
        </w:trPr>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资金拨付完成率（%）　</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720" w:hRule="atLeast"/>
        </w:trPr>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安居房受益户均受益资金（万元）</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15907</w:t>
            </w:r>
          </w:p>
        </w:tc>
        <w:tc>
          <w:tcPr>
            <w:tcW w:w="9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15907</w:t>
            </w:r>
          </w:p>
        </w:tc>
      </w:tr>
    </w:tbl>
    <w:p>
      <w:pPr>
        <w:pStyle w:val="2"/>
      </w:pPr>
    </w:p>
    <w:p>
      <w:pPr>
        <w:pStyle w:val="41"/>
        <w:pageBreakBefore w:val="0"/>
        <w:widowControl/>
        <w:kinsoku/>
        <w:wordWrap/>
        <w:overflowPunct/>
        <w:topLinePunct w:val="0"/>
        <w:autoSpaceDE/>
        <w:autoSpaceDN/>
        <w:bidi w:val="0"/>
        <w:adjustRightInd/>
        <w:spacing w:line="560" w:lineRule="exact"/>
        <w:ind w:left="0" w:firstLine="643" w:firstLineChars="200"/>
        <w:textAlignment w:val="auto"/>
        <w:rPr>
          <w:rFonts w:ascii="仿宋_GB2312" w:hAnsi="宋体" w:eastAsia="宋体"/>
          <w:b/>
          <w:sz w:val="32"/>
          <w:szCs w:val="32"/>
        </w:rPr>
      </w:pPr>
      <w:r>
        <w:rPr>
          <w:rFonts w:hint="eastAsia" w:ascii="仿宋_GB2312" w:hAnsi="宋体" w:eastAsia="宋体"/>
          <w:b/>
          <w:sz w:val="32"/>
          <w:szCs w:val="32"/>
        </w:rPr>
        <w:t>（四）</w:t>
      </w:r>
      <w:r>
        <w:rPr>
          <w:rFonts w:ascii="仿宋_GB2312" w:hAnsi="宋体" w:eastAsia="宋体"/>
          <w:b/>
          <w:sz w:val="32"/>
          <w:szCs w:val="32"/>
        </w:rPr>
        <w:t>项目效益情况</w:t>
      </w:r>
    </w:p>
    <w:p>
      <w:pPr>
        <w:pageBreakBefore w:val="0"/>
        <w:widowControl/>
        <w:kinsoku/>
        <w:wordWrap/>
        <w:overflowPunct/>
        <w:topLinePunct w:val="0"/>
        <w:autoSpaceDE/>
        <w:autoSpaceDN/>
        <w:bidi w:val="0"/>
        <w:adjustRightInd/>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bCs/>
          <w:sz w:val="32"/>
          <w:szCs w:val="32"/>
        </w:rPr>
        <w:t>通过安居富民房的实施，全乡</w:t>
      </w:r>
      <w:r>
        <w:rPr>
          <w:rFonts w:hint="eastAsia" w:ascii="仿宋_GB2312" w:eastAsia="仿宋_GB2312"/>
          <w:sz w:val="32"/>
          <w:szCs w:val="32"/>
        </w:rPr>
        <w:t>1045户农户户均</w:t>
      </w:r>
      <w:r>
        <w:rPr>
          <w:rFonts w:hint="eastAsia" w:ascii="仿宋_GB2312" w:hAnsi="仿宋_GB2312" w:eastAsia="仿宋_GB2312" w:cs="仿宋_GB2312"/>
          <w:sz w:val="32"/>
          <w:szCs w:val="32"/>
        </w:rPr>
        <w:t>增加生活补贴1.59万元</w:t>
      </w:r>
      <w:r>
        <w:rPr>
          <w:rFonts w:hint="eastAsia" w:ascii="仿宋_GB2312" w:eastAsia="仿宋_GB2312"/>
          <w:sz w:val="32"/>
          <w:szCs w:val="32"/>
        </w:rPr>
        <w:t>，有效提升</w:t>
      </w:r>
      <w:r>
        <w:rPr>
          <w:rFonts w:hint="eastAsia" w:ascii="仿宋_GB2312" w:hAnsi="仿宋_GB2312" w:eastAsia="仿宋_GB2312" w:cs="仿宋_GB2312"/>
          <w:sz w:val="32"/>
          <w:szCs w:val="32"/>
        </w:rPr>
        <w:t>建房户获得感与幸福感，</w:t>
      </w: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w:t>
      </w:r>
      <w:r>
        <w:rPr>
          <w:rFonts w:hint="eastAsia" w:ascii="仿宋_GB2312" w:hAnsi="仿宋_GB2312" w:eastAsia="仿宋_GB2312" w:cs="仿宋_GB2312"/>
          <w:sz w:val="32"/>
          <w:szCs w:val="32"/>
        </w:rPr>
        <w:t>持续影响年限持续一年</w:t>
      </w:r>
      <w:r>
        <w:rPr>
          <w:rFonts w:hint="eastAsia" w:ascii="仿宋_GB2312" w:eastAsia="仿宋_GB2312"/>
          <w:sz w:val="32"/>
          <w:szCs w:val="32"/>
        </w:rPr>
        <w:t>，</w:t>
      </w:r>
      <w:r>
        <w:rPr>
          <w:rFonts w:hint="eastAsia" w:ascii="仿宋_GB2312" w:hAnsi="仿宋" w:eastAsia="仿宋_GB2312" w:cs="宋体"/>
          <w:bCs/>
          <w:sz w:val="32"/>
          <w:szCs w:val="32"/>
        </w:rPr>
        <w:t>经问卷调查，项目受益群众满意度为95%。</w:t>
      </w:r>
      <w:r>
        <w:rPr>
          <w:rFonts w:hint="eastAsia" w:ascii="仿宋_GB2312" w:hAnsi="仿宋" w:eastAsia="仿宋_GB2312" w:cs="宋体"/>
          <w:sz w:val="32"/>
          <w:szCs w:val="32"/>
        </w:rPr>
        <w:t>解决建房困难户经济困难，有效促进建房户就业，提升建房户获得感与幸福感。</w:t>
      </w:r>
    </w:p>
    <w:tbl>
      <w:tblPr>
        <w:tblStyle w:val="27"/>
        <w:tblW w:w="8342" w:type="dxa"/>
        <w:tblInd w:w="0" w:type="dxa"/>
        <w:shd w:val="clear" w:color="auto" w:fill="auto"/>
        <w:tblLayout w:type="fixed"/>
        <w:tblCellMar>
          <w:top w:w="0" w:type="dxa"/>
          <w:left w:w="0" w:type="dxa"/>
          <w:bottom w:w="0" w:type="dxa"/>
          <w:right w:w="0" w:type="dxa"/>
        </w:tblCellMar>
      </w:tblPr>
      <w:tblGrid>
        <w:gridCol w:w="1332"/>
        <w:gridCol w:w="1128"/>
        <w:gridCol w:w="3456"/>
        <w:gridCol w:w="1499"/>
        <w:gridCol w:w="927"/>
      </w:tblGrid>
      <w:tr>
        <w:tblPrEx>
          <w:shd w:val="clear" w:color="auto" w:fill="auto"/>
          <w:tblCellMar>
            <w:top w:w="0" w:type="dxa"/>
            <w:left w:w="0" w:type="dxa"/>
            <w:bottom w:w="0" w:type="dxa"/>
            <w:right w:w="0" w:type="dxa"/>
          </w:tblCellMar>
        </w:tblPrEx>
        <w:trPr>
          <w:trHeight w:val="720" w:hRule="atLeast"/>
        </w:trPr>
        <w:tc>
          <w:tcPr>
            <w:tcW w:w="1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12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92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720" w:hRule="atLeast"/>
        </w:trPr>
        <w:tc>
          <w:tcPr>
            <w:tcW w:w="13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2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贫困户人居环境改善，家庭收益提高</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持续提升</w:t>
            </w:r>
          </w:p>
        </w:tc>
        <w:tc>
          <w:tcPr>
            <w:tcW w:w="92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720" w:hRule="atLeast"/>
        </w:trPr>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加快脱贫步伐，奠定脱贫攻坚基础</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持续巩固</w:t>
            </w:r>
          </w:p>
        </w:tc>
        <w:tc>
          <w:tcPr>
            <w:tcW w:w="92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r>
        <w:tblPrEx>
          <w:tblCellMar>
            <w:top w:w="0" w:type="dxa"/>
            <w:left w:w="0" w:type="dxa"/>
            <w:bottom w:w="0" w:type="dxa"/>
            <w:right w:w="0" w:type="dxa"/>
          </w:tblCellMar>
        </w:tblPrEx>
        <w:trPr>
          <w:trHeight w:val="720" w:hRule="atLeast"/>
        </w:trPr>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农村生产、生活环境改善</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持续改善</w:t>
            </w:r>
          </w:p>
        </w:tc>
        <w:tc>
          <w:tcPr>
            <w:tcW w:w="92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r>
        <w:tblPrEx>
          <w:tblCellMar>
            <w:top w:w="0" w:type="dxa"/>
            <w:left w:w="0" w:type="dxa"/>
            <w:bottom w:w="0" w:type="dxa"/>
            <w:right w:w="0" w:type="dxa"/>
          </w:tblCellMar>
        </w:tblPrEx>
        <w:trPr>
          <w:trHeight w:val="720" w:hRule="atLeast"/>
        </w:trPr>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贫困人口稳步脱贫</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稳步实现</w:t>
            </w:r>
          </w:p>
        </w:tc>
        <w:tc>
          <w:tcPr>
            <w:tcW w:w="92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720" w:hRule="atLeast"/>
        </w:trPr>
        <w:tc>
          <w:tcPr>
            <w:tcW w:w="13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456" w:type="dxa"/>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49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927"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bl>
    <w:p>
      <w:pPr>
        <w:pStyle w:val="2"/>
      </w:pPr>
    </w:p>
    <w:p>
      <w:pPr>
        <w:pStyle w:val="47"/>
        <w:pageBreakBefore w:val="0"/>
        <w:widowControl/>
        <w:kinsoku/>
        <w:wordWrap/>
        <w:overflowPunct/>
        <w:topLinePunct w:val="0"/>
        <w:autoSpaceDE/>
        <w:autoSpaceDN/>
        <w:bidi w:val="0"/>
        <w:adjustRightInd/>
        <w:spacing w:line="560" w:lineRule="exact"/>
        <w:ind w:left="0" w:firstLine="643" w:firstLineChars="200"/>
        <w:textAlignment w:val="auto"/>
        <w:rPr>
          <w:rFonts w:ascii="Times New Roman" w:hAnsi="Times New Roman"/>
        </w:rPr>
      </w:pPr>
      <w:r>
        <w:rPr>
          <w:rFonts w:hint="eastAsia" w:ascii="黑体" w:hAnsi="黑体" w:eastAsia="黑体"/>
        </w:rPr>
        <w:t>五、</w:t>
      </w:r>
      <w:r>
        <w:rPr>
          <w:rFonts w:ascii="黑体" w:hAnsi="黑体" w:eastAsia="黑体"/>
        </w:rPr>
        <w:t>主要经验及做法、存在的问题及原因分析</w:t>
      </w:r>
    </w:p>
    <w:p>
      <w:pPr>
        <w:pStyle w:val="49"/>
        <w:pageBreakBefore w:val="0"/>
        <w:widowControl/>
        <w:numPr>
          <w:ilvl w:val="0"/>
          <w:numId w:val="0"/>
        </w:numPr>
        <w:kinsoku/>
        <w:wordWrap/>
        <w:overflowPunct/>
        <w:topLinePunct w:val="0"/>
        <w:autoSpaceDE/>
        <w:autoSpaceDN/>
        <w:bidi w:val="0"/>
        <w:adjustRightInd/>
        <w:spacing w:line="560" w:lineRule="exact"/>
        <w:ind w:left="0" w:firstLine="643" w:firstLineChars="200"/>
        <w:textAlignment w:val="auto"/>
        <w:rPr>
          <w:rFonts w:hAnsi="Times New Roman"/>
          <w:sz w:val="32"/>
          <w:szCs w:val="32"/>
        </w:rPr>
      </w:pPr>
      <w:r>
        <w:rPr>
          <w:rFonts w:hint="eastAsia" w:hAnsi="Times New Roman" w:eastAsia="宋体"/>
          <w:sz w:val="32"/>
          <w:szCs w:val="32"/>
        </w:rPr>
        <w:t>（一）</w:t>
      </w:r>
      <w:r>
        <w:rPr>
          <w:rFonts w:hAnsi="Times New Roman"/>
          <w:sz w:val="32"/>
          <w:szCs w:val="32"/>
        </w:rPr>
        <w:t>主要经验及做法</w:t>
      </w:r>
    </w:p>
    <w:p>
      <w:pPr>
        <w:pStyle w:val="49"/>
        <w:pageBreakBefore w:val="0"/>
        <w:widowControl/>
        <w:numPr>
          <w:ilvl w:val="0"/>
          <w:numId w:val="0"/>
        </w:numPr>
        <w:kinsoku/>
        <w:wordWrap/>
        <w:overflowPunct/>
        <w:topLinePunct w:val="0"/>
        <w:autoSpaceDE/>
        <w:autoSpaceDN/>
        <w:bidi w:val="0"/>
        <w:adjustRightInd/>
        <w:spacing w:line="560" w:lineRule="exact"/>
        <w:ind w:left="0" w:firstLine="624" w:firstLineChars="200"/>
        <w:textAlignment w:val="auto"/>
        <w:rPr>
          <w:rFonts w:hAnsi="Times New Roman"/>
          <w:b w:val="0"/>
          <w:sz w:val="32"/>
          <w:szCs w:val="32"/>
        </w:rPr>
      </w:pPr>
      <w:r>
        <w:rPr>
          <w:rFonts w:hAnsi="仿宋" w:eastAsia="仿宋_GB2312"/>
          <w:b w:val="0"/>
          <w:bCs/>
          <w:color w:val="000000"/>
          <w:spacing w:val="-4"/>
          <w:sz w:val="32"/>
          <w:szCs w:val="21"/>
        </w:rPr>
        <w:t>本项目实施效果较好的原因主要是管理制度完善、责任落实到位，跟踪考核机制完善且运行有效，在项目实施过程中创新管理办法，</w:t>
      </w:r>
      <w:r>
        <w:rPr>
          <w:rFonts w:hint="eastAsia" w:hAnsi="仿宋" w:eastAsia="仿宋_GB2312"/>
          <w:b w:val="0"/>
          <w:bCs/>
          <w:color w:val="000000"/>
          <w:spacing w:val="-4"/>
          <w:sz w:val="32"/>
          <w:szCs w:val="21"/>
        </w:rPr>
        <w:t>建立安居房项目建设领导小组，实行分工负责制，项目资金报账实行国库集中制，专款专用，各项资金支付严格按照规章制度，尽一切努力，保证各阶段资金到位，使叶城县恰斯米其特乡乡村安居房建设</w:t>
      </w:r>
      <w:r>
        <w:rPr>
          <w:rFonts w:hAnsi="仿宋" w:eastAsia="仿宋_GB2312"/>
          <w:b w:val="0"/>
          <w:bCs/>
          <w:color w:val="000000"/>
          <w:spacing w:val="-4"/>
          <w:sz w:val="32"/>
          <w:szCs w:val="21"/>
        </w:rPr>
        <w:t>项目取得了良好的效果</w:t>
      </w:r>
    </w:p>
    <w:p>
      <w:pPr>
        <w:pStyle w:val="49"/>
        <w:pageBreakBefore w:val="0"/>
        <w:widowControl/>
        <w:numPr>
          <w:ilvl w:val="0"/>
          <w:numId w:val="0"/>
        </w:numPr>
        <w:kinsoku/>
        <w:wordWrap/>
        <w:overflowPunct/>
        <w:topLinePunct w:val="0"/>
        <w:autoSpaceDE/>
        <w:autoSpaceDN/>
        <w:bidi w:val="0"/>
        <w:adjustRightInd/>
        <w:spacing w:line="560" w:lineRule="exact"/>
        <w:ind w:left="0" w:firstLine="640" w:firstLineChars="200"/>
        <w:textAlignment w:val="auto"/>
        <w:rPr>
          <w:rFonts w:hAnsi="Times New Roman"/>
          <w:sz w:val="32"/>
          <w:szCs w:val="32"/>
        </w:rPr>
      </w:pPr>
      <w:r>
        <w:rPr>
          <w:rFonts w:hint="eastAsia" w:hAnsi="Times New Roman"/>
          <w:sz w:val="32"/>
          <w:szCs w:val="32"/>
        </w:rPr>
        <w:t>（二）</w:t>
      </w:r>
      <w:r>
        <w:rPr>
          <w:rFonts w:hAnsi="Times New Roman"/>
          <w:sz w:val="32"/>
          <w:szCs w:val="32"/>
        </w:rPr>
        <w:t>存在的问题及原因分析</w:t>
      </w:r>
    </w:p>
    <w:p>
      <w:pPr>
        <w:pStyle w:val="49"/>
        <w:pageBreakBefore w:val="0"/>
        <w:widowControl/>
        <w:numPr>
          <w:ilvl w:val="0"/>
          <w:numId w:val="0"/>
        </w:numPr>
        <w:kinsoku/>
        <w:wordWrap/>
        <w:overflowPunct/>
        <w:topLinePunct w:val="0"/>
        <w:autoSpaceDE/>
        <w:autoSpaceDN/>
        <w:bidi w:val="0"/>
        <w:adjustRightInd/>
        <w:spacing w:line="560" w:lineRule="exact"/>
        <w:ind w:left="0" w:firstLine="624" w:firstLineChars="200"/>
        <w:textAlignment w:val="auto"/>
        <w:rPr>
          <w:rFonts w:hAnsi="Times New Roman"/>
          <w:b w:val="0"/>
          <w:sz w:val="32"/>
          <w:szCs w:val="32"/>
        </w:rPr>
      </w:pPr>
      <w:r>
        <w:rPr>
          <w:rFonts w:hint="eastAsia" w:hAnsi="仿宋" w:eastAsia="仿宋_GB2312"/>
          <w:b w:val="0"/>
          <w:bCs/>
          <w:color w:val="000000"/>
          <w:spacing w:val="-4"/>
          <w:sz w:val="32"/>
          <w:szCs w:val="21"/>
        </w:rPr>
        <w:t>在该项目支出中存在的问题主要是存在个别财务人员不能按时上报和请领经费，造成报账不及时。</w:t>
      </w:r>
    </w:p>
    <w:p>
      <w:pPr>
        <w:pStyle w:val="47"/>
        <w:pageBreakBefore w:val="0"/>
        <w:widowControl/>
        <w:kinsoku/>
        <w:wordWrap/>
        <w:overflowPunct/>
        <w:topLinePunct w:val="0"/>
        <w:autoSpaceDE/>
        <w:autoSpaceDN/>
        <w:bidi w:val="0"/>
        <w:adjustRightInd/>
        <w:spacing w:line="560" w:lineRule="exact"/>
        <w:ind w:left="0" w:firstLine="643" w:firstLineChars="200"/>
        <w:textAlignment w:val="auto"/>
        <w:rPr>
          <w:rFonts w:ascii="黑体" w:hAnsi="黑体" w:eastAsia="黑体"/>
        </w:rPr>
      </w:pPr>
      <w:r>
        <w:rPr>
          <w:rFonts w:hint="eastAsia" w:ascii="黑体" w:hAnsi="黑体" w:eastAsia="黑体"/>
        </w:rPr>
        <w:t>六、</w:t>
      </w:r>
      <w:r>
        <w:rPr>
          <w:rFonts w:ascii="黑体" w:hAnsi="黑体" w:eastAsia="黑体"/>
        </w:rPr>
        <w:t>有关建议</w:t>
      </w:r>
    </w:p>
    <w:p>
      <w:pPr>
        <w:pageBreakBefore w:val="0"/>
        <w:widowControl/>
        <w:kinsoku/>
        <w:wordWrap/>
        <w:overflowPunct/>
        <w:topLinePunct w:val="0"/>
        <w:autoSpaceDE/>
        <w:autoSpaceDN/>
        <w:bidi w:val="0"/>
        <w:adjustRightInd/>
        <w:snapToGrid w:val="0"/>
        <w:spacing w:line="560" w:lineRule="exact"/>
        <w:ind w:left="0" w:firstLine="624" w:firstLineChars="200"/>
        <w:textAlignment w:val="auto"/>
        <w:rPr>
          <w:rFonts w:ascii="黑体" w:hAnsi="黑体" w:eastAsia="黑体"/>
          <w:sz w:val="32"/>
          <w:szCs w:val="32"/>
        </w:rPr>
      </w:pPr>
      <w:r>
        <w:rPr>
          <w:rFonts w:hint="eastAsia" w:ascii="仿宋_GB2312" w:hAnsi="仿宋" w:eastAsia="仿宋_GB2312"/>
          <w:color w:val="000000"/>
          <w:spacing w:val="-4"/>
          <w:sz w:val="32"/>
        </w:rPr>
        <w:t>加强财务人员业务培训，提高工作效率；单位加强财务管理制度的完善，不断提高单位财务管理规范、高效。</w:t>
      </w:r>
    </w:p>
    <w:p>
      <w:pPr>
        <w:pStyle w:val="47"/>
        <w:pageBreakBefore w:val="0"/>
        <w:widowControl/>
        <w:kinsoku/>
        <w:wordWrap/>
        <w:overflowPunct/>
        <w:topLinePunct w:val="0"/>
        <w:autoSpaceDE/>
        <w:autoSpaceDN/>
        <w:bidi w:val="0"/>
        <w:adjustRightInd/>
        <w:spacing w:line="560" w:lineRule="exact"/>
        <w:ind w:left="0" w:firstLine="643" w:firstLineChars="200"/>
        <w:textAlignment w:val="auto"/>
        <w:rPr>
          <w:rFonts w:ascii="黑体" w:hAnsi="黑体" w:eastAsia="黑体"/>
        </w:rPr>
      </w:pPr>
      <w:r>
        <w:rPr>
          <w:rFonts w:hint="eastAsia" w:ascii="黑体" w:hAnsi="黑体" w:eastAsia="黑体"/>
        </w:rPr>
        <w:t>七、</w:t>
      </w:r>
      <w:r>
        <w:rPr>
          <w:rFonts w:ascii="黑体" w:hAnsi="黑体" w:eastAsia="黑体"/>
        </w:rPr>
        <w:t>其他需要说明的问题</w:t>
      </w:r>
    </w:p>
    <w:p>
      <w:pPr>
        <w:pageBreakBefore w:val="0"/>
        <w:widowControl/>
        <w:kinsoku/>
        <w:wordWrap/>
        <w:overflowPunct/>
        <w:topLinePunct w:val="0"/>
        <w:autoSpaceDE/>
        <w:autoSpaceDN/>
        <w:bidi w:val="0"/>
        <w:adjustRightInd/>
        <w:snapToGrid w:val="0"/>
        <w:spacing w:line="560" w:lineRule="exact"/>
        <w:ind w:left="0" w:firstLine="624" w:firstLineChars="200"/>
        <w:textAlignment w:val="auto"/>
        <w:rPr>
          <w:rFonts w:ascii="仿宋_GB2312" w:hAnsi="仿宋" w:eastAsia="仿宋_GB2312"/>
          <w:color w:val="000000"/>
          <w:spacing w:val="-4"/>
          <w:sz w:val="32"/>
        </w:rPr>
      </w:pPr>
      <w:r>
        <w:rPr>
          <w:rFonts w:hint="eastAsia" w:ascii="仿宋_GB2312" w:hAnsi="仿宋" w:eastAsia="仿宋_GB2312"/>
          <w:color w:val="000000"/>
          <w:spacing w:val="-4"/>
          <w:sz w:val="32"/>
        </w:rPr>
        <w:t>今后工作中，将继续按照资金使用办法，做到专款专用。同时，认真制定项目资金绩效申报，项目实施过程中严格按照年度绩效申报各项指标值逐项落实。</w:t>
      </w:r>
    </w:p>
    <w:p>
      <w:pPr>
        <w:pStyle w:val="2"/>
        <w:pageBreakBefore w:val="0"/>
        <w:widowControl/>
        <w:kinsoku/>
        <w:wordWrap/>
        <w:overflowPunct/>
        <w:topLinePunct w:val="0"/>
        <w:autoSpaceDE/>
        <w:autoSpaceDN/>
        <w:bidi w:val="0"/>
        <w:adjustRightInd/>
        <w:spacing w:line="560" w:lineRule="exact"/>
        <w:ind w:firstLine="560" w:firstLineChars="200"/>
        <w:textAlignment w:val="auto"/>
      </w:pPr>
    </w:p>
    <w:p>
      <w:pPr>
        <w:pageBreakBefore w:val="0"/>
        <w:widowControl/>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附件1：喀什地区叶城县恰斯米其特乡</w:t>
      </w:r>
      <w:r>
        <w:rPr>
          <w:rFonts w:ascii="Calibri" w:hAnsi="仿宋_GB2312" w:eastAsia="仿宋_GB2312"/>
          <w:sz w:val="32"/>
          <w:szCs w:val="32"/>
        </w:rPr>
        <w:t>乡村安居房建设</w:t>
      </w:r>
      <w:r>
        <w:rPr>
          <w:rFonts w:hint="eastAsia" w:ascii="仿宋_GB2312" w:hAnsi="仿宋_GB2312" w:eastAsia="仿宋_GB2312" w:cs="仿宋_GB2312"/>
          <w:sz w:val="32"/>
          <w:szCs w:val="32"/>
        </w:rPr>
        <w:t>项目支出绩效目标申报表</w:t>
      </w:r>
    </w:p>
    <w:p>
      <w:pPr>
        <w:pageBreakBefore w:val="0"/>
        <w:widowControl/>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附件2：喀什地区叶城县恰斯米其特乡</w:t>
      </w:r>
      <w:r>
        <w:rPr>
          <w:rFonts w:ascii="Calibri" w:hAnsi="仿宋_GB2312" w:eastAsia="仿宋_GB2312"/>
          <w:sz w:val="32"/>
          <w:szCs w:val="32"/>
        </w:rPr>
        <w:t>乡村安居房建设</w:t>
      </w:r>
      <w:r>
        <w:rPr>
          <w:rFonts w:hint="eastAsia" w:ascii="仿宋_GB2312" w:hAnsi="仿宋_GB2312" w:eastAsia="仿宋_GB2312" w:cs="仿宋_GB2312"/>
          <w:sz w:val="32"/>
          <w:szCs w:val="32"/>
        </w:rPr>
        <w:t>项目支出绩效自评表</w:t>
      </w:r>
    </w:p>
    <w:p>
      <w:pPr>
        <w:pageBreakBefore w:val="0"/>
        <w:widowControl/>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附件3：喀什地区叶城县恰斯米其特乡</w:t>
      </w:r>
      <w:r>
        <w:rPr>
          <w:rFonts w:ascii="Calibri" w:hAnsi="仿宋_GB2312" w:eastAsia="仿宋_GB2312"/>
          <w:sz w:val="32"/>
          <w:szCs w:val="32"/>
        </w:rPr>
        <w:t>乡村安居房建设</w:t>
      </w:r>
      <w:r>
        <w:rPr>
          <w:rFonts w:hint="eastAsia" w:ascii="仿宋_GB2312" w:hAnsi="仿宋_GB2312" w:eastAsia="仿宋_GB2312" w:cs="仿宋_GB2312"/>
          <w:sz w:val="32"/>
          <w:szCs w:val="32"/>
        </w:rPr>
        <w:t>项目支出绩效评价指标体系</w:t>
      </w:r>
    </w:p>
    <w:p>
      <w:pPr>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附件4：喀什地区部门支出绩效评价评分表</w:t>
      </w:r>
    </w:p>
    <w:sectPr>
      <w:footerReference r:id="rId3" w:type="default"/>
      <w:pgSz w:w="11906" w:h="16838"/>
      <w:pgMar w:top="1440" w:right="1797" w:bottom="1440" w:left="1797"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napToGrid w:val="0"/>
      <w:spacing w:after="160"/>
      <w:jc w:val="center"/>
    </w:pPr>
  </w:p>
  <w:p>
    <w:pPr>
      <w:pStyle w:val="17"/>
      <w:snapToGrid w:val="0"/>
      <w:spacing w:after="160"/>
      <w:jc w:val="lef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00004"/>
    <w:multiLevelType w:val="multilevel"/>
    <w:tmpl w:val="2F000004"/>
    <w:lvl w:ilvl="0" w:tentative="0">
      <w:start w:val="1"/>
      <w:numFmt w:val="japaneseCounting"/>
      <w:pStyle w:val="49"/>
      <w:lvlText w:val="(%1)"/>
      <w:lvlJc w:val="left"/>
      <w:pPr>
        <w:ind w:left="988" w:hanging="420"/>
        <w:jc w:val="both"/>
      </w:pPr>
      <w:rPr>
        <w:w w:val="100"/>
        <w:sz w:val="20"/>
        <w:szCs w:val="20"/>
        <w:shd w:val="clear" w:color="auto" w:fill="auto"/>
      </w:rPr>
    </w:lvl>
    <w:lvl w:ilvl="1" w:tentative="0">
      <w:start w:val="1"/>
      <w:numFmt w:val="lowerLetter"/>
      <w:lvlText w:val="%2)"/>
      <w:lvlJc w:val="left"/>
      <w:pPr>
        <w:ind w:left="840" w:hanging="420"/>
        <w:jc w:val="both"/>
      </w:pPr>
    </w:lvl>
    <w:lvl w:ilvl="2" w:tentative="0">
      <w:start w:val="1"/>
      <w:numFmt w:val="lowerRoman"/>
      <w:lvlText w:val="%3."/>
      <w:lvlJc w:val="right"/>
      <w:pPr>
        <w:ind w:left="1260" w:hanging="420"/>
        <w:jc w:val="both"/>
      </w:pPr>
    </w:lvl>
    <w:lvl w:ilvl="3" w:tentative="0">
      <w:start w:val="1"/>
      <w:numFmt w:val="decimal"/>
      <w:lvlText w:val="%4."/>
      <w:lvlJc w:val="left"/>
      <w:pPr>
        <w:ind w:left="1680" w:hanging="420"/>
        <w:jc w:val="both"/>
      </w:pPr>
    </w:lvl>
    <w:lvl w:ilvl="4" w:tentative="0">
      <w:start w:val="1"/>
      <w:numFmt w:val="lowerLetter"/>
      <w:lvlText w:val="%5)"/>
      <w:lvlJc w:val="left"/>
      <w:pPr>
        <w:ind w:left="2100" w:hanging="420"/>
        <w:jc w:val="both"/>
      </w:pPr>
    </w:lvl>
    <w:lvl w:ilvl="5" w:tentative="0">
      <w:start w:val="1"/>
      <w:numFmt w:val="lowerRoman"/>
      <w:lvlText w:val="%6."/>
      <w:lvlJc w:val="right"/>
      <w:pPr>
        <w:ind w:left="2520" w:hanging="420"/>
        <w:jc w:val="both"/>
      </w:pPr>
    </w:lvl>
    <w:lvl w:ilvl="6" w:tentative="0">
      <w:start w:val="1"/>
      <w:numFmt w:val="decimal"/>
      <w:lvlText w:val="%7."/>
      <w:lvlJc w:val="left"/>
      <w:pPr>
        <w:ind w:left="2940" w:hanging="420"/>
        <w:jc w:val="both"/>
      </w:pPr>
    </w:lvl>
    <w:lvl w:ilvl="7" w:tentative="0">
      <w:start w:val="1"/>
      <w:numFmt w:val="lowerLetter"/>
      <w:lvlText w:val="%8)"/>
      <w:lvlJc w:val="left"/>
      <w:pPr>
        <w:ind w:left="3360" w:hanging="420"/>
        <w:jc w:val="both"/>
      </w:pPr>
    </w:lvl>
    <w:lvl w:ilvl="8" w:tentative="0">
      <w:start w:val="1"/>
      <w:numFmt w:val="lowerRoman"/>
      <w:lvlText w:val="%9."/>
      <w:lvlJc w:val="right"/>
      <w:pPr>
        <w:ind w:left="3780" w:hanging="420"/>
        <w:jc w:val="both"/>
      </w:pPr>
    </w:lvl>
  </w:abstractNum>
  <w:abstractNum w:abstractNumId="1">
    <w:nsid w:val="5E934387"/>
    <w:multiLevelType w:val="singleLevel"/>
    <w:tmpl w:val="5E934387"/>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isplayHorizontalDrawingGridEvery w:val="1"/>
  <w:displayVerticalDrawingGridEvery w:val="1"/>
  <w:noPunctuationKerning w:val="1"/>
  <w:characterSpacingControl w:val="compressPunctuation"/>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05198"/>
    <w:rsid w:val="00005198"/>
    <w:rsid w:val="00060043"/>
    <w:rsid w:val="00457868"/>
    <w:rsid w:val="00D04F39"/>
    <w:rsid w:val="00E76639"/>
    <w:rsid w:val="05EC5DF6"/>
    <w:rsid w:val="086C334F"/>
    <w:rsid w:val="0E3D3469"/>
    <w:rsid w:val="1CD43682"/>
    <w:rsid w:val="26281E19"/>
    <w:rsid w:val="3B3B54D8"/>
    <w:rsid w:val="3BF86B7B"/>
    <w:rsid w:val="436A0F11"/>
    <w:rsid w:val="45464B66"/>
    <w:rsid w:val="498408B1"/>
    <w:rsid w:val="4B935BB6"/>
    <w:rsid w:val="526D27D9"/>
    <w:rsid w:val="5A440589"/>
    <w:rsid w:val="5D842BD2"/>
    <w:rsid w:val="613B316F"/>
    <w:rsid w:val="6343304A"/>
    <w:rsid w:val="6E2D4F92"/>
  </w:rsids>
  <m:mathPr>
    <m:mathFont m:val="Cambria Math"/>
    <m:brkBin m:val="before"/>
    <m:brkBinSub m:val="--"/>
    <m:smallFrac m:val="1"/>
    <m:dispDef/>
    <m:lMargin m:val="1440"/>
    <m:rMargin m:val="144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8" w:semiHidden="0" w:name="heading 2"/>
    <w:lsdException w:qFormat="1" w:uiPriority="9"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28" w:semiHidden="0" w:name="toc 1"/>
    <w:lsdException w:qFormat="1" w:uiPriority="29" w:semiHidden="0" w:name="toc 2"/>
    <w:lsdException w:qFormat="1" w:uiPriority="3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nhideWhenUsed="0" w:uiPriority="0" w:semiHidden="0" w:name="Normal Indent"/>
    <w:lsdException w:unhideWhenUsed="0" w:uiPriority="0" w:semiHidden="0" w:name="footnote text"/>
    <w:lsdException w:qFormat="1" w:uiPriority="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6"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20" w:semiHidden="0" w:name="Strong"/>
    <w:lsdException w:qFormat="1" w:unhideWhenUsed="0" w:uiPriority="18"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name="Balloon Text"/>
    <w:lsdException w:qFormat="1" w:unhideWhenUsed="0" w:uiPriority="38"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jc w:val="both"/>
    </w:pPr>
    <w:rPr>
      <w:rFonts w:ascii="等线" w:hAnsi="等线" w:eastAsia="等线" w:cs="Times New Roman"/>
      <w:sz w:val="21"/>
      <w:szCs w:val="21"/>
      <w:lang w:val="en-US" w:eastAsia="zh-CN" w:bidi="ar-SA"/>
    </w:rPr>
  </w:style>
  <w:style w:type="paragraph" w:styleId="2">
    <w:name w:val="heading 1"/>
    <w:basedOn w:val="1"/>
    <w:next w:val="1"/>
    <w:link w:val="43"/>
    <w:qFormat/>
    <w:uiPriority w:val="7"/>
    <w:pPr>
      <w:keepNext/>
      <w:keepLines/>
      <w:outlineLvl w:val="0"/>
    </w:pPr>
    <w:rPr>
      <w:rFonts w:ascii="Times New Roman" w:hAnsi="Times New Roman" w:eastAsia="Arial"/>
      <w:b/>
      <w:sz w:val="28"/>
      <w:szCs w:val="28"/>
    </w:rPr>
  </w:style>
  <w:style w:type="paragraph" w:styleId="3">
    <w:name w:val="heading 2"/>
    <w:basedOn w:val="1"/>
    <w:next w:val="1"/>
    <w:link w:val="48"/>
    <w:unhideWhenUsed/>
    <w:qFormat/>
    <w:uiPriority w:val="8"/>
    <w:pPr>
      <w:keepNext/>
      <w:keepLines/>
      <w:outlineLvl w:val="1"/>
    </w:pPr>
    <w:rPr>
      <w:rFonts w:ascii="等线 Light" w:hAnsi="等线 Light" w:eastAsia="等线 Light"/>
      <w:b/>
      <w:sz w:val="32"/>
      <w:szCs w:val="32"/>
    </w:rPr>
  </w:style>
  <w:style w:type="paragraph" w:styleId="4">
    <w:name w:val="heading 3"/>
    <w:basedOn w:val="1"/>
    <w:next w:val="1"/>
    <w:link w:val="58"/>
    <w:semiHidden/>
    <w:unhideWhenUsed/>
    <w:qFormat/>
    <w:uiPriority w:val="9"/>
    <w:pPr>
      <w:keepNext/>
      <w:keepLines/>
      <w:outlineLvl w:val="2"/>
    </w:pPr>
    <w:rPr>
      <w:b/>
      <w:sz w:val="32"/>
      <w:szCs w:val="32"/>
    </w:rPr>
  </w:style>
  <w:style w:type="paragraph" w:styleId="5">
    <w:name w:val="heading 4"/>
    <w:next w:val="1"/>
    <w:qFormat/>
    <w:uiPriority w:val="10"/>
    <w:pPr>
      <w:ind w:left="1200" w:hanging="400"/>
      <w:jc w:val="both"/>
      <w:outlineLvl w:val="3"/>
    </w:pPr>
    <w:rPr>
      <w:rFonts w:ascii="Times New Roman" w:hAnsi="Times New Roman" w:eastAsia="Times New Roman" w:cs="Times New Roman"/>
      <w:b/>
      <w:sz w:val="21"/>
      <w:szCs w:val="21"/>
      <w:lang w:val="en-US" w:eastAsia="zh-CN" w:bidi="ar-SA"/>
    </w:rPr>
  </w:style>
  <w:style w:type="paragraph" w:styleId="6">
    <w:name w:val="heading 5"/>
    <w:next w:val="1"/>
    <w:qFormat/>
    <w:uiPriority w:val="11"/>
    <w:pPr>
      <w:ind w:left="1400" w:hanging="400"/>
      <w:jc w:val="both"/>
      <w:outlineLvl w:val="4"/>
    </w:pPr>
    <w:rPr>
      <w:rFonts w:ascii="Times New Roman" w:hAnsi="Times New Roman" w:eastAsia="Times New Roman" w:cs="Times New Roman"/>
      <w:sz w:val="21"/>
      <w:szCs w:val="21"/>
      <w:lang w:val="en-US" w:eastAsia="zh-CN" w:bidi="ar-SA"/>
    </w:rPr>
  </w:style>
  <w:style w:type="paragraph" w:styleId="7">
    <w:name w:val="heading 6"/>
    <w:next w:val="1"/>
    <w:qFormat/>
    <w:uiPriority w:val="12"/>
    <w:pPr>
      <w:ind w:left="1600" w:hanging="400"/>
      <w:jc w:val="both"/>
      <w:outlineLvl w:val="5"/>
    </w:pPr>
    <w:rPr>
      <w:rFonts w:ascii="Times New Roman" w:hAnsi="Times New Roman" w:eastAsia="Times New Roman" w:cs="Times New Roman"/>
      <w:b/>
      <w:sz w:val="21"/>
      <w:szCs w:val="21"/>
      <w:lang w:val="en-US" w:eastAsia="zh-CN" w:bidi="ar-SA"/>
    </w:rPr>
  </w:style>
  <w:style w:type="paragraph" w:styleId="8">
    <w:name w:val="heading 7"/>
    <w:next w:val="1"/>
    <w:qFormat/>
    <w:uiPriority w:val="13"/>
    <w:pPr>
      <w:ind w:left="1800" w:hanging="400"/>
      <w:jc w:val="both"/>
      <w:outlineLvl w:val="6"/>
    </w:pPr>
    <w:rPr>
      <w:rFonts w:ascii="Times New Roman" w:hAnsi="Times New Roman" w:eastAsia="Times New Roman" w:cs="Times New Roman"/>
      <w:sz w:val="21"/>
      <w:szCs w:val="21"/>
      <w:lang w:val="en-US" w:eastAsia="zh-CN" w:bidi="ar-SA"/>
    </w:rPr>
  </w:style>
  <w:style w:type="paragraph" w:styleId="9">
    <w:name w:val="heading 8"/>
    <w:next w:val="1"/>
    <w:qFormat/>
    <w:uiPriority w:val="14"/>
    <w:pPr>
      <w:ind w:left="2000" w:hanging="400"/>
      <w:jc w:val="both"/>
      <w:outlineLvl w:val="7"/>
    </w:pPr>
    <w:rPr>
      <w:rFonts w:ascii="Times New Roman" w:hAnsi="Times New Roman" w:eastAsia="Times New Roman" w:cs="Times New Roman"/>
      <w:sz w:val="21"/>
      <w:szCs w:val="21"/>
      <w:lang w:val="en-US" w:eastAsia="zh-CN" w:bidi="ar-SA"/>
    </w:rPr>
  </w:style>
  <w:style w:type="paragraph" w:styleId="10">
    <w:name w:val="heading 9"/>
    <w:next w:val="1"/>
    <w:qFormat/>
    <w:uiPriority w:val="15"/>
    <w:pPr>
      <w:ind w:left="2200" w:hanging="400"/>
      <w:jc w:val="both"/>
      <w:outlineLvl w:val="8"/>
    </w:pPr>
    <w:rPr>
      <w:rFonts w:ascii="Times New Roman" w:hAnsi="Times New Roman" w:eastAsia="Times New Roman" w:cs="Times New Roman"/>
      <w:sz w:val="21"/>
      <w:szCs w:val="21"/>
      <w:lang w:val="en-US" w:eastAsia="zh-CN" w:bidi="ar-SA"/>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Times New Roman" w:hAnsi="Times New Roman" w:eastAsia="Times New Roman" w:cs="Times New Roman"/>
      <w:sz w:val="21"/>
      <w:szCs w:val="21"/>
      <w:lang w:val="en-US" w:eastAsia="zh-CN" w:bidi="ar-SA"/>
    </w:rPr>
  </w:style>
  <w:style w:type="paragraph" w:styleId="12">
    <w:name w:val="annotation text"/>
    <w:basedOn w:val="1"/>
    <w:semiHidden/>
    <w:unhideWhenUsed/>
    <w:qFormat/>
    <w:uiPriority w:val="0"/>
  </w:style>
  <w:style w:type="paragraph" w:styleId="13">
    <w:name w:val="toc 5"/>
    <w:next w:val="1"/>
    <w:unhideWhenUsed/>
    <w:qFormat/>
    <w:uiPriority w:val="32"/>
    <w:pPr>
      <w:ind w:left="1700"/>
      <w:jc w:val="both"/>
    </w:pPr>
    <w:rPr>
      <w:rFonts w:ascii="Times New Roman" w:hAnsi="Times New Roman" w:eastAsia="Times New Roman" w:cs="Times New Roman"/>
      <w:sz w:val="21"/>
      <w:szCs w:val="21"/>
      <w:lang w:val="en-US" w:eastAsia="zh-CN" w:bidi="ar-SA"/>
    </w:rPr>
  </w:style>
  <w:style w:type="paragraph" w:styleId="14">
    <w:name w:val="toc 3"/>
    <w:basedOn w:val="1"/>
    <w:next w:val="1"/>
    <w:semiHidden/>
    <w:unhideWhenUsed/>
    <w:qFormat/>
    <w:uiPriority w:val="30"/>
    <w:rPr>
      <w:rFonts w:ascii="宋体" w:hAnsi="宋体" w:eastAsia="仿宋_GB2312"/>
      <w:sz w:val="28"/>
      <w:szCs w:val="28"/>
    </w:rPr>
  </w:style>
  <w:style w:type="paragraph" w:styleId="15">
    <w:name w:val="toc 8"/>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16">
    <w:name w:val="Balloon Text"/>
    <w:basedOn w:val="1"/>
    <w:link w:val="46"/>
    <w:semiHidden/>
    <w:unhideWhenUsed/>
    <w:qFormat/>
    <w:uiPriority w:val="0"/>
    <w:rPr>
      <w:sz w:val="18"/>
      <w:szCs w:val="18"/>
    </w:rPr>
  </w:style>
  <w:style w:type="paragraph" w:styleId="17">
    <w:name w:val="footer"/>
    <w:basedOn w:val="1"/>
    <w:link w:val="45"/>
    <w:unhideWhenUsed/>
    <w:qFormat/>
    <w:uiPriority w:val="0"/>
    <w:pPr>
      <w:tabs>
        <w:tab w:val="center" w:pos="4153"/>
        <w:tab w:val="right" w:pos="8306"/>
      </w:tabs>
    </w:pPr>
    <w:rPr>
      <w:sz w:val="18"/>
      <w:szCs w:val="18"/>
    </w:rPr>
  </w:style>
  <w:style w:type="paragraph" w:styleId="18">
    <w:name w:val="header"/>
    <w:basedOn w:val="1"/>
    <w:link w:val="44"/>
    <w:unhideWhenUsed/>
    <w:qFormat/>
    <w:uiPriority w:val="0"/>
    <w:pPr>
      <w:tabs>
        <w:tab w:val="center" w:pos="4153"/>
        <w:tab w:val="right" w:pos="8306"/>
      </w:tabs>
      <w:jc w:val="center"/>
    </w:pPr>
    <w:rPr>
      <w:sz w:val="18"/>
      <w:szCs w:val="18"/>
    </w:rPr>
  </w:style>
  <w:style w:type="paragraph" w:styleId="19">
    <w:name w:val="toc 1"/>
    <w:basedOn w:val="1"/>
    <w:next w:val="1"/>
    <w:unhideWhenUsed/>
    <w:qFormat/>
    <w:uiPriority w:val="28"/>
    <w:rPr>
      <w:rFonts w:ascii="宋体" w:hAnsi="宋体" w:eastAsia="仿宋_GB2312"/>
      <w:sz w:val="28"/>
      <w:szCs w:val="28"/>
    </w:rPr>
  </w:style>
  <w:style w:type="paragraph" w:styleId="20">
    <w:name w:val="toc 4"/>
    <w:next w:val="1"/>
    <w:unhideWhenUsed/>
    <w:qFormat/>
    <w:uiPriority w:val="31"/>
    <w:pPr>
      <w:ind w:left="1275"/>
      <w:jc w:val="both"/>
    </w:pPr>
    <w:rPr>
      <w:rFonts w:ascii="Times New Roman" w:hAnsi="Times New Roman" w:eastAsia="Times New Roman" w:cs="Times New Roman"/>
      <w:sz w:val="21"/>
      <w:szCs w:val="21"/>
      <w:lang w:val="en-US" w:eastAsia="zh-CN" w:bidi="ar-SA"/>
    </w:rPr>
  </w:style>
  <w:style w:type="paragraph" w:styleId="21">
    <w:name w:val="Subtitle"/>
    <w:qFormat/>
    <w:uiPriority w:val="16"/>
    <w:pPr>
      <w:jc w:val="center"/>
    </w:pPr>
    <w:rPr>
      <w:rFonts w:ascii="Times New Roman" w:hAnsi="Times New Roman" w:eastAsia="Times New Roman" w:cs="Times New Roman"/>
      <w:sz w:val="24"/>
      <w:szCs w:val="24"/>
      <w:lang w:val="en-US" w:eastAsia="zh-CN" w:bidi="ar-SA"/>
    </w:rPr>
  </w:style>
  <w:style w:type="paragraph" w:styleId="22">
    <w:name w:val="toc 6"/>
    <w:next w:val="1"/>
    <w:unhideWhenUsed/>
    <w:qFormat/>
    <w:uiPriority w:val="33"/>
    <w:pPr>
      <w:ind w:left="2125"/>
      <w:jc w:val="both"/>
    </w:pPr>
    <w:rPr>
      <w:rFonts w:ascii="Times New Roman" w:hAnsi="Times New Roman" w:eastAsia="Times New Roman" w:cs="Times New Roman"/>
      <w:sz w:val="21"/>
      <w:szCs w:val="21"/>
      <w:lang w:val="en-US" w:eastAsia="zh-CN" w:bidi="ar-SA"/>
    </w:rPr>
  </w:style>
  <w:style w:type="paragraph" w:styleId="23">
    <w:name w:val="toc 2"/>
    <w:basedOn w:val="1"/>
    <w:next w:val="1"/>
    <w:unhideWhenUsed/>
    <w:qFormat/>
    <w:uiPriority w:val="29"/>
    <w:rPr>
      <w:rFonts w:ascii="宋体" w:hAnsi="宋体" w:eastAsia="仿宋_GB2312"/>
      <w:sz w:val="28"/>
      <w:szCs w:val="28"/>
    </w:rPr>
  </w:style>
  <w:style w:type="paragraph" w:styleId="24">
    <w:name w:val="toc 9"/>
    <w:next w:val="1"/>
    <w:unhideWhenUsed/>
    <w:qFormat/>
    <w:uiPriority w:val="36"/>
    <w:pPr>
      <w:ind w:left="3400"/>
      <w:jc w:val="both"/>
    </w:pPr>
    <w:rPr>
      <w:rFonts w:ascii="Times New Roman" w:hAnsi="Times New Roman" w:eastAsia="Times New Roman" w:cs="Times New Roman"/>
      <w:sz w:val="21"/>
      <w:szCs w:val="21"/>
      <w:lang w:val="en-US" w:eastAsia="zh-CN" w:bidi="ar-SA"/>
    </w:rPr>
  </w:style>
  <w:style w:type="paragraph" w:styleId="25">
    <w:name w:val="Normal (Web)"/>
    <w:basedOn w:val="1"/>
    <w:unhideWhenUsed/>
    <w:qFormat/>
    <w:uiPriority w:val="0"/>
    <w:rPr>
      <w:rFonts w:ascii="宋体" w:hAnsi="宋体" w:eastAsia="宋体"/>
      <w:sz w:val="24"/>
      <w:szCs w:val="24"/>
    </w:rPr>
  </w:style>
  <w:style w:type="paragraph" w:styleId="26">
    <w:name w:val="Title"/>
    <w:qFormat/>
    <w:uiPriority w:val="6"/>
    <w:pPr>
      <w:jc w:val="center"/>
    </w:pPr>
    <w:rPr>
      <w:rFonts w:ascii="Times New Roman" w:hAnsi="Times New Roman" w:eastAsia="Times New Roman" w:cs="Times New Roman"/>
      <w:b/>
      <w:sz w:val="32"/>
      <w:szCs w:val="32"/>
      <w:lang w:val="en-US" w:eastAsia="zh-CN" w:bidi="ar-SA"/>
    </w:rPr>
  </w:style>
  <w:style w:type="table" w:styleId="28">
    <w:name w:val="Table Grid"/>
    <w:basedOn w:val="27"/>
    <w:qFormat/>
    <w:uiPriority w:val="3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0"/>
    <w:rPr>
      <w:b/>
      <w:w w:val="100"/>
      <w:sz w:val="21"/>
      <w:szCs w:val="21"/>
      <w:shd w:val="clear" w:color="auto" w:fill="auto"/>
    </w:rPr>
  </w:style>
  <w:style w:type="character" w:styleId="31">
    <w:name w:val="Emphasis"/>
    <w:qFormat/>
    <w:uiPriority w:val="18"/>
    <w:rPr>
      <w:i/>
      <w:w w:val="100"/>
      <w:sz w:val="21"/>
      <w:szCs w:val="21"/>
      <w:shd w:val="clear" w:color="auto" w:fill="auto"/>
    </w:rPr>
  </w:style>
  <w:style w:type="character" w:styleId="32">
    <w:name w:val="Hyperlink"/>
    <w:basedOn w:val="29"/>
    <w:unhideWhenUsed/>
    <w:qFormat/>
    <w:uiPriority w:val="0"/>
    <w:rPr>
      <w:color w:val="0563C1" w:themeColor="hyperlink"/>
      <w:w w:val="100"/>
      <w:sz w:val="20"/>
      <w:szCs w:val="20"/>
      <w:u w:val="single"/>
      <w:shd w:val="clear" w:color="auto" w:fill="auto"/>
    </w:rPr>
  </w:style>
  <w:style w:type="paragraph" w:styleId="33">
    <w:name w:val="No Spacing"/>
    <w:qFormat/>
    <w:uiPriority w:val="5"/>
    <w:pPr>
      <w:jc w:val="both"/>
    </w:pPr>
    <w:rPr>
      <w:rFonts w:ascii="Times New Roman" w:hAnsi="Times New Roman" w:eastAsia="Times New Roman" w:cs="Times New Roman"/>
      <w:sz w:val="21"/>
      <w:szCs w:val="21"/>
      <w:lang w:val="en-US" w:eastAsia="zh-CN" w:bidi="ar-SA"/>
    </w:rPr>
  </w:style>
  <w:style w:type="character" w:customStyle="1" w:styleId="34">
    <w:name w:val="不明显强调1"/>
    <w:qFormat/>
    <w:uiPriority w:val="17"/>
    <w:rPr>
      <w:i/>
      <w:color w:val="404040"/>
      <w:w w:val="100"/>
      <w:sz w:val="21"/>
      <w:szCs w:val="21"/>
      <w:shd w:val="clear" w:color="auto" w:fill="auto"/>
    </w:rPr>
  </w:style>
  <w:style w:type="character" w:customStyle="1" w:styleId="35">
    <w:name w:val="明显强调1"/>
    <w:qFormat/>
    <w:uiPriority w:val="19"/>
    <w:rPr>
      <w:i/>
      <w:color w:val="5B9BD5"/>
      <w:w w:val="100"/>
      <w:sz w:val="21"/>
      <w:szCs w:val="21"/>
      <w:shd w:val="clear" w:color="auto" w:fill="auto"/>
    </w:rPr>
  </w:style>
  <w:style w:type="paragraph" w:styleId="36">
    <w:name w:val="Quote"/>
    <w:qFormat/>
    <w:uiPriority w:val="21"/>
    <w:pPr>
      <w:ind w:left="864" w:right="864"/>
      <w:jc w:val="center"/>
    </w:pPr>
    <w:rPr>
      <w:rFonts w:ascii="Times New Roman" w:hAnsi="Times New Roman" w:eastAsia="Times New Roman" w:cs="Times New Roman"/>
      <w:i/>
      <w:color w:val="404040"/>
      <w:sz w:val="21"/>
      <w:szCs w:val="21"/>
      <w:lang w:val="en-US" w:eastAsia="zh-CN" w:bidi="ar-SA"/>
    </w:rPr>
  </w:style>
  <w:style w:type="paragraph" w:styleId="37">
    <w:name w:val="Intense Quote"/>
    <w:qFormat/>
    <w:uiPriority w:val="22"/>
    <w:pPr>
      <w:ind w:left="950" w:right="950"/>
      <w:jc w:val="center"/>
    </w:pPr>
    <w:rPr>
      <w:rFonts w:ascii="Times New Roman" w:hAnsi="Times New Roman" w:eastAsia="Times New Roman" w:cs="Times New Roman"/>
      <w:i/>
      <w:color w:val="5B9BD5"/>
      <w:sz w:val="21"/>
      <w:szCs w:val="21"/>
      <w:lang w:val="en-US" w:eastAsia="zh-CN" w:bidi="ar-SA"/>
    </w:rPr>
  </w:style>
  <w:style w:type="character" w:customStyle="1" w:styleId="38">
    <w:name w:val="不明显参考1"/>
    <w:qFormat/>
    <w:uiPriority w:val="23"/>
    <w:rPr>
      <w:smallCaps/>
      <w:color w:val="5A5A5A"/>
      <w:w w:val="100"/>
      <w:sz w:val="21"/>
      <w:szCs w:val="21"/>
      <w:shd w:val="clear" w:color="auto" w:fill="auto"/>
    </w:rPr>
  </w:style>
  <w:style w:type="character" w:customStyle="1" w:styleId="39">
    <w:name w:val="明显参考1"/>
    <w:qFormat/>
    <w:uiPriority w:val="24"/>
    <w:rPr>
      <w:b/>
      <w:smallCaps/>
      <w:color w:val="5B9BD5"/>
      <w:w w:val="100"/>
      <w:sz w:val="21"/>
      <w:szCs w:val="21"/>
      <w:shd w:val="clear" w:color="auto" w:fill="auto"/>
    </w:rPr>
  </w:style>
  <w:style w:type="character" w:customStyle="1" w:styleId="40">
    <w:name w:val="书籍标题1"/>
    <w:qFormat/>
    <w:uiPriority w:val="25"/>
    <w:rPr>
      <w:b/>
      <w:i/>
      <w:w w:val="100"/>
      <w:sz w:val="21"/>
      <w:szCs w:val="21"/>
      <w:shd w:val="clear" w:color="auto" w:fill="auto"/>
    </w:rPr>
  </w:style>
  <w:style w:type="paragraph" w:styleId="41">
    <w:name w:val="List Paragraph"/>
    <w:basedOn w:val="1"/>
    <w:qFormat/>
    <w:uiPriority w:val="26"/>
    <w:pPr>
      <w:ind w:firstLine="420"/>
    </w:pPr>
  </w:style>
  <w:style w:type="paragraph" w:customStyle="1" w:styleId="42">
    <w:name w:val="TOC 标题1"/>
    <w:unhideWhenUsed/>
    <w:qFormat/>
    <w:uiPriority w:val="27"/>
    <w:rPr>
      <w:rFonts w:ascii="Times New Roman" w:hAnsi="Times New Roman" w:eastAsia="Times New Roman" w:cs="Times New Roman"/>
      <w:color w:val="2E74B5"/>
      <w:sz w:val="32"/>
      <w:szCs w:val="32"/>
      <w:lang w:val="en-US" w:eastAsia="zh-CN" w:bidi="ar-SA"/>
    </w:rPr>
  </w:style>
  <w:style w:type="character" w:customStyle="1" w:styleId="43">
    <w:name w:val="标题 1 Char"/>
    <w:basedOn w:val="29"/>
    <w:link w:val="2"/>
    <w:qFormat/>
    <w:uiPriority w:val="0"/>
    <w:rPr>
      <w:rFonts w:ascii="Times New Roman" w:hAnsi="Times New Roman" w:eastAsia="Arial"/>
      <w:b/>
      <w:w w:val="100"/>
      <w:sz w:val="28"/>
      <w:szCs w:val="28"/>
      <w:shd w:val="clear" w:color="auto" w:fill="auto"/>
    </w:rPr>
  </w:style>
  <w:style w:type="character" w:customStyle="1" w:styleId="44">
    <w:name w:val="页眉 Char"/>
    <w:basedOn w:val="29"/>
    <w:link w:val="18"/>
    <w:qFormat/>
    <w:uiPriority w:val="0"/>
    <w:rPr>
      <w:w w:val="100"/>
      <w:sz w:val="18"/>
      <w:szCs w:val="18"/>
      <w:shd w:val="clear" w:color="auto" w:fill="auto"/>
    </w:rPr>
  </w:style>
  <w:style w:type="character" w:customStyle="1" w:styleId="45">
    <w:name w:val="页脚 Char"/>
    <w:basedOn w:val="29"/>
    <w:link w:val="17"/>
    <w:qFormat/>
    <w:uiPriority w:val="0"/>
    <w:rPr>
      <w:w w:val="100"/>
      <w:sz w:val="18"/>
      <w:szCs w:val="18"/>
      <w:shd w:val="clear" w:color="auto" w:fill="auto"/>
    </w:rPr>
  </w:style>
  <w:style w:type="character" w:customStyle="1" w:styleId="46">
    <w:name w:val="批注框文本 Char"/>
    <w:basedOn w:val="29"/>
    <w:link w:val="16"/>
    <w:semiHidden/>
    <w:qFormat/>
    <w:uiPriority w:val="0"/>
    <w:rPr>
      <w:w w:val="100"/>
      <w:sz w:val="18"/>
      <w:szCs w:val="18"/>
      <w:shd w:val="clear" w:color="auto" w:fill="auto"/>
    </w:rPr>
  </w:style>
  <w:style w:type="paragraph" w:customStyle="1" w:styleId="47">
    <w:name w:val="标题1"/>
    <w:basedOn w:val="2"/>
    <w:qFormat/>
    <w:uiPriority w:val="0"/>
    <w:pPr>
      <w:ind w:firstLine="200"/>
    </w:pPr>
    <w:rPr>
      <w:rFonts w:ascii="宋体" w:hAnsi="宋体" w:eastAsia="Times New Roman"/>
      <w:sz w:val="32"/>
      <w:szCs w:val="32"/>
    </w:rPr>
  </w:style>
  <w:style w:type="character" w:customStyle="1" w:styleId="48">
    <w:name w:val="标题 2 Char"/>
    <w:basedOn w:val="29"/>
    <w:link w:val="3"/>
    <w:qFormat/>
    <w:uiPriority w:val="0"/>
    <w:rPr>
      <w:rFonts w:ascii="等线 Light" w:hAnsi="等线 Light" w:eastAsia="等线 Light"/>
      <w:b/>
      <w:w w:val="100"/>
      <w:sz w:val="32"/>
      <w:szCs w:val="32"/>
      <w:shd w:val="clear" w:color="auto" w:fill="auto"/>
    </w:rPr>
  </w:style>
  <w:style w:type="paragraph" w:customStyle="1" w:styleId="49">
    <w:name w:val="标题2"/>
    <w:basedOn w:val="3"/>
    <w:qFormat/>
    <w:uiPriority w:val="0"/>
    <w:pPr>
      <w:numPr>
        <w:ilvl w:val="0"/>
        <w:numId w:val="1"/>
      </w:numPr>
    </w:pPr>
    <w:rPr>
      <w:rFonts w:ascii="仿宋_GB2312" w:hAnsi="仿宋_GB2312" w:eastAsia="Times New Roman"/>
      <w:sz w:val="20"/>
      <w:szCs w:val="20"/>
    </w:rPr>
  </w:style>
  <w:style w:type="paragraph" w:customStyle="1" w:styleId="50">
    <w:name w:val="TOC 标题11"/>
    <w:basedOn w:val="2"/>
    <w:next w:val="1"/>
    <w:unhideWhenUsed/>
    <w:qFormat/>
    <w:uiPriority w:val="0"/>
    <w:rPr>
      <w:rFonts w:ascii="等线 Light" w:hAnsi="等线 Light" w:eastAsia="等线 Light"/>
      <w:b w:val="0"/>
      <w:color w:val="2F5496" w:themeColor="accent1" w:themeShade="BF"/>
      <w:sz w:val="32"/>
      <w:szCs w:val="32"/>
    </w:rPr>
  </w:style>
  <w:style w:type="character" w:customStyle="1" w:styleId="51">
    <w:name w:val="闻政正文 Char"/>
    <w:link w:val="52"/>
    <w:qFormat/>
    <w:uiPriority w:val="0"/>
    <w:rPr>
      <w:rFonts w:ascii="Times New Roman" w:hAnsi="Times New Roman" w:eastAsia="Times New Roman"/>
      <w:w w:val="100"/>
      <w:sz w:val="28"/>
      <w:szCs w:val="28"/>
      <w:shd w:val="clear" w:color="auto" w:fill="auto"/>
    </w:rPr>
  </w:style>
  <w:style w:type="paragraph" w:customStyle="1" w:styleId="52">
    <w:name w:val="闻政正文"/>
    <w:basedOn w:val="1"/>
    <w:link w:val="51"/>
    <w:qFormat/>
    <w:uiPriority w:val="0"/>
    <w:pPr>
      <w:ind w:firstLine="560"/>
    </w:pPr>
    <w:rPr>
      <w:rFonts w:ascii="Times New Roman" w:hAnsi="Times New Roman" w:eastAsia="Times New Roman"/>
      <w:sz w:val="28"/>
      <w:szCs w:val="28"/>
    </w:rPr>
  </w:style>
  <w:style w:type="character" w:customStyle="1" w:styleId="53">
    <w:name w:val="闻政表 Char"/>
    <w:link w:val="54"/>
    <w:qFormat/>
    <w:uiPriority w:val="0"/>
    <w:rPr>
      <w:rFonts w:ascii="Times New Roman" w:hAnsi="Times New Roman" w:eastAsia="Times New Roman"/>
      <w:b/>
      <w:w w:val="100"/>
      <w:sz w:val="24"/>
      <w:szCs w:val="24"/>
      <w:shd w:val="clear" w:color="auto" w:fill="auto"/>
    </w:rPr>
  </w:style>
  <w:style w:type="paragraph" w:customStyle="1" w:styleId="54">
    <w:name w:val="闻政表"/>
    <w:basedOn w:val="1"/>
    <w:link w:val="53"/>
    <w:qFormat/>
    <w:uiPriority w:val="0"/>
    <w:pPr>
      <w:jc w:val="center"/>
    </w:pPr>
    <w:rPr>
      <w:rFonts w:ascii="Times New Roman" w:hAnsi="Times New Roman" w:eastAsia="Times New Roman"/>
      <w:b/>
      <w:sz w:val="24"/>
      <w:szCs w:val="24"/>
    </w:rPr>
  </w:style>
  <w:style w:type="paragraph" w:customStyle="1" w:styleId="55">
    <w:name w:val="Char"/>
    <w:basedOn w:val="1"/>
    <w:qFormat/>
    <w:uiPriority w:val="0"/>
    <w:rPr>
      <w:rFonts w:ascii="Times New Roman" w:hAnsi="Times New Roman" w:eastAsia="Times New Roman"/>
      <w:sz w:val="20"/>
      <w:szCs w:val="20"/>
    </w:rPr>
  </w:style>
  <w:style w:type="character" w:customStyle="1" w:styleId="56">
    <w:name w:val="闻政标题3 Char"/>
    <w:link w:val="57"/>
    <w:qFormat/>
    <w:uiPriority w:val="0"/>
    <w:rPr>
      <w:rFonts w:ascii="黑体" w:hAnsi="黑体" w:eastAsia="Times New Roman"/>
      <w:w w:val="100"/>
      <w:sz w:val="32"/>
      <w:szCs w:val="32"/>
      <w:shd w:val="clear" w:color="auto" w:fill="auto"/>
    </w:rPr>
  </w:style>
  <w:style w:type="paragraph" w:customStyle="1" w:styleId="57">
    <w:name w:val="闻政标题3"/>
    <w:basedOn w:val="4"/>
    <w:link w:val="56"/>
    <w:qFormat/>
    <w:uiPriority w:val="0"/>
    <w:rPr>
      <w:rFonts w:ascii="黑体" w:hAnsi="黑体" w:eastAsia="Times New Roman"/>
      <w:b w:val="0"/>
      <w:sz w:val="20"/>
      <w:szCs w:val="20"/>
    </w:rPr>
  </w:style>
  <w:style w:type="character" w:customStyle="1" w:styleId="58">
    <w:name w:val="标题 3 Char"/>
    <w:basedOn w:val="29"/>
    <w:link w:val="4"/>
    <w:semiHidden/>
    <w:qFormat/>
    <w:uiPriority w:val="0"/>
    <w:rPr>
      <w:b/>
      <w:w w:val="100"/>
      <w:sz w:val="32"/>
      <w:szCs w:val="32"/>
      <w:shd w:val="clear" w:color="auto" w:fill="auto"/>
    </w:rPr>
  </w:style>
  <w:style w:type="paragraph" w:customStyle="1" w:styleId="59">
    <w:name w:val="Body text|1"/>
    <w:basedOn w:val="1"/>
    <w:link w:val="60"/>
    <w:qFormat/>
    <w:uiPriority w:val="0"/>
    <w:rPr>
      <w:rFonts w:ascii="MingLiU" w:hAnsi="MingLiU" w:eastAsia="MingLiU"/>
      <w:sz w:val="20"/>
      <w:szCs w:val="20"/>
    </w:rPr>
  </w:style>
  <w:style w:type="character" w:customStyle="1" w:styleId="60">
    <w:name w:val="Body text|1_"/>
    <w:basedOn w:val="29"/>
    <w:link w:val="59"/>
    <w:unhideWhenUsed/>
    <w:qFormat/>
    <w:uiPriority w:val="0"/>
    <w:rPr>
      <w:rFonts w:ascii="MingLiU" w:hAnsi="MingLiU" w:eastAsia="MingLiU"/>
      <w:w w:val="100"/>
      <w:sz w:val="20"/>
      <w:szCs w:val="20"/>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4818</Words>
  <Characters>323</Characters>
  <Lines>2</Lines>
  <Paragraphs>10</Paragraphs>
  <TotalTime>0</TotalTime>
  <ScaleCrop>false</ScaleCrop>
  <LinksUpToDate>false</LinksUpToDate>
  <CharactersWithSpaces>5131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2020-04-29T08:04:00Z</dcterms:created>
  <dc:creator>ThinkPad</dc:creator>
  <cp:lastModifiedBy>Administrator</cp:lastModifiedBy>
  <dcterms:modified xsi:type="dcterms:W3CDTF">2025-02-26T09:15:33Z</dcterms:modified>
  <dc:title>新疆普天鹏华商务信息咨询有限公司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