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jc w:val="center"/>
        <w:rPr>
          <w:rFonts w:ascii="方正小标宋简体" w:eastAsia="方正小标宋简体"/>
          <w:sz w:val="44"/>
          <w:szCs w:val="44"/>
        </w:rPr>
      </w:pPr>
    </w:p>
    <w:p>
      <w:pPr>
        <w:spacing w:beforeLines="50"/>
        <w:jc w:val="center"/>
        <w:rPr>
          <w:rFonts w:ascii="方正小标宋简体" w:eastAsia="方正小标宋简体"/>
          <w:sz w:val="44"/>
          <w:szCs w:val="44"/>
        </w:rPr>
      </w:pPr>
    </w:p>
    <w:p>
      <w:pPr>
        <w:spacing w:beforeLines="50"/>
        <w:jc w:val="center"/>
        <w:rPr>
          <w:rFonts w:ascii="方正小标宋简体" w:eastAsia="方正小标宋简体"/>
          <w:sz w:val="44"/>
          <w:szCs w:val="44"/>
        </w:rPr>
      </w:pPr>
    </w:p>
    <w:p>
      <w:pPr>
        <w:spacing w:beforeLines="50"/>
        <w:jc w:val="center"/>
        <w:rPr>
          <w:rFonts w:ascii="方正小标宋简体" w:eastAsia="方正小标宋简体"/>
          <w:sz w:val="44"/>
          <w:szCs w:val="44"/>
        </w:rPr>
      </w:pPr>
      <w:r>
        <w:rPr>
          <w:rFonts w:hint="eastAsia" w:ascii="方正小标宋简体" w:eastAsia="方正小标宋简体"/>
          <w:sz w:val="44"/>
          <w:szCs w:val="44"/>
        </w:rPr>
        <w:t>喀什地区叶城县</w:t>
      </w:r>
      <w:r>
        <w:rPr>
          <w:rFonts w:hint="eastAsia" w:ascii="方正小标宋简体" w:eastAsia="方正小标宋简体"/>
          <w:sz w:val="44"/>
          <w:szCs w:val="44"/>
          <w:lang w:eastAsia="zh-CN"/>
        </w:rPr>
        <w:t>棋盘乡</w:t>
      </w:r>
      <w:r>
        <w:rPr>
          <w:rFonts w:hint="eastAsia" w:ascii="方正小标宋简体" w:eastAsia="方正小标宋简体"/>
          <w:sz w:val="44"/>
          <w:szCs w:val="44"/>
        </w:rPr>
        <w:t>村容村貌项目支出绩效评价报告</w:t>
      </w: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项目名称：</w:t>
      </w:r>
      <w:r>
        <w:rPr>
          <w:rFonts w:hint="eastAsia" w:ascii="仿宋_GB2312" w:hAnsi="仿宋" w:eastAsia="仿宋_GB2312" w:cs="Times New Roman"/>
          <w:spacing w:val="-2"/>
          <w:sz w:val="36"/>
          <w:szCs w:val="36"/>
          <w:lang w:val="en-US" w:eastAsia="zh-CN"/>
        </w:rPr>
        <w:t>棋盘乡</w:t>
      </w:r>
      <w:r>
        <w:rPr>
          <w:rFonts w:hint="eastAsia" w:ascii="仿宋_GB2312" w:hAnsi="仿宋" w:eastAsia="仿宋_GB2312" w:cs="Times New Roman"/>
          <w:spacing w:val="-2"/>
          <w:sz w:val="36"/>
          <w:szCs w:val="36"/>
        </w:rPr>
        <w:t>村容村貌项目</w:t>
      </w: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实施单位：叶城县</w:t>
      </w:r>
      <w:r>
        <w:rPr>
          <w:rFonts w:hint="eastAsia" w:ascii="仿宋_GB2312" w:hAnsi="仿宋" w:eastAsia="仿宋_GB2312" w:cs="Times New Roman"/>
          <w:spacing w:val="-2"/>
          <w:sz w:val="36"/>
          <w:szCs w:val="36"/>
          <w:lang w:eastAsia="zh-CN"/>
        </w:rPr>
        <w:t>棋盘乡</w:t>
      </w:r>
      <w:r>
        <w:rPr>
          <w:rFonts w:hint="eastAsia" w:ascii="仿宋_GB2312" w:hAnsi="仿宋" w:eastAsia="仿宋_GB2312" w:cs="Times New Roman"/>
          <w:spacing w:val="-2"/>
          <w:sz w:val="36"/>
          <w:szCs w:val="36"/>
        </w:rPr>
        <w:t>人民政府</w:t>
      </w: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评价部门：叶城县</w:t>
      </w:r>
      <w:r>
        <w:rPr>
          <w:rFonts w:hint="eastAsia" w:ascii="仿宋_GB2312" w:hAnsi="仿宋" w:eastAsia="仿宋_GB2312" w:cs="Times New Roman"/>
          <w:spacing w:val="-2"/>
          <w:sz w:val="36"/>
          <w:szCs w:val="36"/>
          <w:lang w:eastAsia="zh-CN"/>
        </w:rPr>
        <w:t>棋盘乡</w:t>
      </w:r>
      <w:r>
        <w:rPr>
          <w:rFonts w:hint="eastAsia" w:ascii="仿宋_GB2312" w:hAnsi="仿宋" w:eastAsia="仿宋_GB2312" w:cs="Times New Roman"/>
          <w:spacing w:val="-2"/>
          <w:sz w:val="36"/>
          <w:szCs w:val="36"/>
        </w:rPr>
        <w:t>人民政府</w:t>
      </w: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2136" w:firstLineChars="600"/>
        <w:rPr>
          <w:rFonts w:ascii="仿宋_GB2312" w:hAnsi="仿宋" w:eastAsia="仿宋_GB2312" w:cs="Times New Roman"/>
          <w:spacing w:val="-2"/>
          <w:sz w:val="36"/>
          <w:szCs w:val="36"/>
        </w:rPr>
      </w:pPr>
    </w:p>
    <w:p>
      <w:pPr>
        <w:autoSpaceDE w:val="0"/>
        <w:autoSpaceDN w:val="0"/>
        <w:spacing w:line="540" w:lineRule="exact"/>
        <w:ind w:firstLine="2848" w:firstLineChars="8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二零二零年四月</w:t>
      </w:r>
    </w:p>
    <w:p>
      <w:pPr>
        <w:spacing w:beforeLines="50" w:line="0" w:lineRule="atLeast"/>
        <w:jc w:val="left"/>
        <w:rPr>
          <w:sz w:val="28"/>
          <w:szCs w:val="28"/>
        </w:rPr>
      </w:pPr>
    </w:p>
    <w:p>
      <w:pPr>
        <w:spacing w:beforeLines="50" w:afterLines="50" w:line="600" w:lineRule="exact"/>
        <w:jc w:val="center"/>
        <w:rPr>
          <w:rFonts w:ascii="方正小标宋简体" w:hAnsi="仿宋_GB2312" w:eastAsia="方正小标宋简体" w:cs="仿宋_GB2312"/>
          <w:kern w:val="0"/>
          <w:sz w:val="44"/>
          <w:szCs w:val="44"/>
          <w:shd w:val="clear" w:color="auto" w:fill="FFFFFF"/>
        </w:rPr>
      </w:pPr>
    </w:p>
    <w:p>
      <w:pPr>
        <w:spacing w:beforeLines="50" w:afterLines="50" w:line="600" w:lineRule="exact"/>
        <w:jc w:val="center"/>
        <w:rPr>
          <w:rFonts w:ascii="方正小标宋简体" w:hAnsi="仿宋_GB2312" w:eastAsia="方正小标宋简体" w:cs="仿宋_GB2312"/>
          <w:kern w:val="0"/>
          <w:sz w:val="44"/>
          <w:szCs w:val="44"/>
          <w:shd w:val="clear" w:color="auto" w:fill="FFFFFF"/>
        </w:rPr>
      </w:pPr>
    </w:p>
    <w:p>
      <w:pPr>
        <w:spacing w:beforeLines="50" w:afterLines="50" w:line="600" w:lineRule="exact"/>
        <w:jc w:val="center"/>
        <w:rPr>
          <w:rFonts w:ascii="方正小标宋简体" w:hAnsi="仿宋_GB2312" w:eastAsia="方正小标宋简体" w:cs="仿宋_GB2312"/>
          <w:kern w:val="0"/>
          <w:sz w:val="44"/>
          <w:szCs w:val="44"/>
          <w:shd w:val="clear" w:color="auto" w:fill="FFFFFF"/>
        </w:rPr>
      </w:pPr>
    </w:p>
    <w:p>
      <w:pPr>
        <w:pStyle w:val="24"/>
        <w:pageBreakBefore w:val="0"/>
        <w:widowControl w:val="0"/>
        <w:numPr>
          <w:ilvl w:val="0"/>
          <w:numId w:val="2"/>
        </w:numPr>
        <w:kinsoku/>
        <w:wordWrap/>
        <w:overflowPunct/>
        <w:topLinePunct w:val="0"/>
        <w:autoSpaceDE/>
        <w:autoSpaceDN/>
        <w:bidi w:val="0"/>
        <w:adjustRightInd/>
        <w:snapToGrid/>
        <w:spacing w:before="0" w:after="0" w:line="560" w:lineRule="exact"/>
        <w:ind w:left="0" w:firstLine="643" w:firstLineChars="200"/>
        <w:textAlignment w:val="auto"/>
      </w:pPr>
      <w:r>
        <w:rPr>
          <w:rFonts w:hint="eastAsia"/>
        </w:rPr>
        <w:t>基本情况</w:t>
      </w:r>
    </w:p>
    <w:p>
      <w:pPr>
        <w:pStyle w:val="26"/>
        <w:pageBreakBefore w:val="0"/>
        <w:widowControl w:val="0"/>
        <w:kinsoku/>
        <w:wordWrap/>
        <w:overflowPunct/>
        <w:topLinePunct w:val="0"/>
        <w:autoSpaceDE/>
        <w:autoSpaceDN/>
        <w:bidi w:val="0"/>
        <w:adjustRightInd/>
        <w:snapToGrid/>
        <w:spacing w:before="0" w:after="0" w:line="560" w:lineRule="exact"/>
        <w:ind w:left="0" w:firstLine="643" w:firstLineChars="200"/>
        <w:textAlignment w:val="auto"/>
      </w:pPr>
      <w:bookmarkStart w:id="0" w:name="_Toc26401549"/>
      <w:r>
        <w:rPr>
          <w:rFonts w:hint="eastAsia"/>
        </w:rPr>
        <w:t>项目概况</w:t>
      </w:r>
      <w:bookmarkEnd w:id="0"/>
    </w:p>
    <w:p>
      <w:pPr>
        <w:pStyle w:val="20"/>
        <w:pageBreakBefore w:val="0"/>
        <w:widowControl w:val="0"/>
        <w:numPr>
          <w:ilvl w:val="0"/>
          <w:numId w:val="3"/>
        </w:numPr>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项目背景及立项依据</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本项目根据</w:t>
      </w:r>
      <w:r>
        <w:rPr>
          <w:rFonts w:hint="eastAsia" w:ascii="仿宋_GB2312" w:hAnsi="仿宋" w:eastAsia="仿宋_GB2312"/>
          <w:bCs/>
          <w:spacing w:val="-4"/>
          <w:sz w:val="32"/>
          <w:szCs w:val="32"/>
          <w:lang w:eastAsia="zh-CN"/>
        </w:rPr>
        <w:t>新财扶［2018］58号、喀地财扶［2018］62</w:t>
      </w:r>
      <w:r>
        <w:rPr>
          <w:rFonts w:hint="eastAsia" w:ascii="仿宋_GB2312" w:hAnsi="仿宋" w:eastAsia="仿宋_GB2312"/>
          <w:bCs/>
          <w:spacing w:val="-4"/>
          <w:sz w:val="32"/>
          <w:szCs w:val="32"/>
        </w:rPr>
        <w:t>号</w:t>
      </w:r>
      <w:r>
        <w:rPr>
          <w:rFonts w:hint="eastAsia" w:ascii="仿宋_GB2312" w:hAnsi="仿宋" w:eastAsia="仿宋_GB2312" w:cs="宋体"/>
          <w:sz w:val="32"/>
          <w:szCs w:val="32"/>
        </w:rPr>
        <w:t>文件</w:t>
      </w:r>
      <w:r>
        <w:rPr>
          <w:rFonts w:hint="eastAsia" w:ascii="仿宋_GB2312" w:hAnsi="仿宋" w:eastAsia="仿宋_GB2312" w:cs="宋体"/>
          <w:sz w:val="32"/>
          <w:szCs w:val="32"/>
          <w:lang w:val="en-US" w:eastAsia="zh-CN"/>
        </w:rPr>
        <w:t>及新财预［2019］105号、喀地财预［2019］73号</w:t>
      </w:r>
      <w:r>
        <w:rPr>
          <w:rFonts w:hint="eastAsia" w:ascii="仿宋_GB2312" w:hAnsi="仿宋" w:eastAsia="仿宋_GB2312" w:cs="宋体"/>
          <w:sz w:val="32"/>
          <w:szCs w:val="32"/>
        </w:rPr>
        <w:t>实施，旨在</w:t>
      </w:r>
      <w:r>
        <w:rPr>
          <w:rFonts w:hint="eastAsia" w:ascii="仿宋_GB2312" w:hAnsi="仿宋" w:eastAsia="仿宋_GB2312"/>
          <w:sz w:val="32"/>
          <w:szCs w:val="32"/>
        </w:rPr>
        <w:t>保证村容村貌项目稳步提升，扶贫经费用在实处，达到专款专用的效果，并且严格按照会计制度的要求支出，规范化使用工作设备款，将每一分钱花在刀刃上，保证日常各项工作正常运转，提高为民办实事的效率</w:t>
      </w:r>
      <w:r>
        <w:rPr>
          <w:rFonts w:hint="eastAsia" w:ascii="仿宋_GB2312" w:hAnsi="仿宋" w:eastAsia="仿宋_GB2312" w:cs="宋体"/>
          <w:sz w:val="32"/>
          <w:szCs w:val="32"/>
        </w:rPr>
        <w:t>。</w:t>
      </w:r>
    </w:p>
    <w:p>
      <w:pPr>
        <w:pStyle w:val="20"/>
        <w:pageBreakBefore w:val="0"/>
        <w:widowControl w:val="0"/>
        <w:numPr>
          <w:ilvl w:val="0"/>
          <w:numId w:val="3"/>
        </w:numPr>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项目主要内容及实施情况</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highlight w:val="none"/>
        </w:rPr>
      </w:pPr>
      <w:r>
        <w:rPr>
          <w:rFonts w:hint="eastAsia" w:ascii="仿宋_GB2312" w:hAnsi="仿宋" w:eastAsia="仿宋_GB2312" w:cs="宋体"/>
          <w:sz w:val="32"/>
          <w:szCs w:val="32"/>
          <w:highlight w:val="none"/>
        </w:rPr>
        <w:t>项目的主要内容为：</w:t>
      </w:r>
      <w:r>
        <w:rPr>
          <w:rFonts w:hint="eastAsia" w:ascii="仿宋_GB2312" w:hAnsi="仿宋" w:eastAsia="仿宋_GB2312" w:cs="宋体"/>
          <w:sz w:val="32"/>
          <w:szCs w:val="32"/>
          <w:highlight w:val="none"/>
          <w:lang w:val="en-US" w:eastAsia="zh-CN"/>
        </w:rPr>
        <w:t>此项目涉及的村有7个，其中6个贫困村、1个一般村，项目总金额584.01万元。其中：（1）棋盘乡3村村容村貌项目金额85万元，分别为劳务费18.56万元、购买砾石费用26.41万元、购买腻子粉3.26万元、购买乳胶漆1.12万元、购买沙子10.79万元、购买水泥1.47万元、购买太阳能路灯及安装费13万元、购买拖式垃圾箱2.47万元、购买吸粪车6.5万元、购买的休闲座椅费1.38万元。（2）棋盘乡4村村容村貌项目金额95万元，分别为劳务费32.81万元、购买砾石费用21.34万元、安装路沿石费用5.93万元、购买腻子粉14.08万元、购买乳胶漆0.76万元、购买沙子8.89万元、购买水泥0.50万元、购买太阳能路灯及安装费10.66万元。（3）棋盘乡5村村容村貌项目金额85万元，分别为劳务费22.24万元、购买砾石费用23.44万元、安装路沿石费用2.36万元、购买腻子粉5.95万元、购买乳胶漆1.69万元、购买沙子6.74万元、购买水泥2.16万元、购买太阳能路灯及安装费12.22万元、购买拖式垃圾箱1.28万元、购买吸粪车6.5万元、购买的休闲座椅费0.38万元。（4）棋盘乡6村村容村貌项目金额85万元，分别为劳务费20.71万元、购买砾石费用24.02万元、购买腻子粉7万元、安装路沿石费用2.49万元、购买乳胶漆0.79万元、购买沙子5.67万元、购买水泥0.98万元、购买太阳能路灯及安装费13万元、购买拖式垃圾箱2.75万元、购买吸粪车6.5万元、购买的休闲座椅费1.07万元。（5）棋盘乡9村村容村貌项目金额85万元，分别为劳务费17.32万元、购买砾石费用29.81万元、购买腻子粉2.8万元、安装路沿石费用1.02万元、购买乳胶漆3.44万元、购买沙子6.37万元、购买水泥0.08万元、购买太阳能路灯及安装费11.7万元、购买拖式垃圾箱1.48万元、购买吸粪车6.4万元、购买的休闲座椅费1.15万元。（6）棋盘乡10村村容村貌项目金额85万元，分别为劳务费25.38万元、购买砾石费用17.75万元、购买腻子粉8.4万元、购买乳胶漆0.49万元、购买沙子5.25万元、购买水泥5.29万元、购买太阳能路灯及安装费3.38万元、购买拖式垃圾箱6.06万元、购买吸粪车12.9万元、购买的休闲座椅费0.07万元。（7）棋盘乡14村一般村村容村貌项目金额64.01万元，分别为劳务费24.56万元、安装路沿石费用20.10万元、购买腻子乳胶漆14.66万元、购买沙子2.67万元、购买水泥2.01万元。合理使用以上资金改善农村农居建筑风貌，按照整洁有序的标准，全面消除了房屋与环境的安全隐患，加快了建设美丽宜居村落，有效提升了美丽乡村建设目标。</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项目的实施情况：本项目的主管部门为叶城县扶贫开发领导小组办公室</w:t>
      </w:r>
      <w:r>
        <w:rPr>
          <w:rFonts w:ascii="仿宋_GB2312" w:hAnsi="仿宋" w:eastAsia="仿宋_GB2312" w:cs="宋体"/>
          <w:sz w:val="32"/>
          <w:szCs w:val="32"/>
        </w:rPr>
        <w:t>,</w:t>
      </w:r>
      <w:r>
        <w:rPr>
          <w:rFonts w:hint="eastAsia" w:ascii="仿宋_GB2312" w:hAnsi="仿宋" w:eastAsia="仿宋_GB2312" w:cs="宋体"/>
          <w:sz w:val="32"/>
          <w:szCs w:val="32"/>
        </w:rPr>
        <w:t>实施单位为叶城县</w:t>
      </w:r>
      <w:r>
        <w:rPr>
          <w:rFonts w:hint="eastAsia" w:ascii="仿宋_GB2312" w:hAnsi="仿宋" w:eastAsia="仿宋_GB2312" w:cs="宋体"/>
          <w:sz w:val="32"/>
          <w:szCs w:val="32"/>
          <w:lang w:eastAsia="zh-CN"/>
        </w:rPr>
        <w:t>棋盘乡</w:t>
      </w:r>
      <w:r>
        <w:rPr>
          <w:rFonts w:hint="eastAsia" w:ascii="仿宋_GB2312" w:hAnsi="仿宋" w:eastAsia="仿宋_GB2312" w:cs="宋体"/>
          <w:sz w:val="32"/>
          <w:szCs w:val="32"/>
        </w:rPr>
        <w:t>人民政府，主要职责严格按照村容村貌项目的使用范围及审批手续，按照个人申请、村级评议、乡级审核、县级批准、地区备案的审批流程，进一步增加群众积极心，</w:t>
      </w:r>
      <w:r>
        <w:rPr>
          <w:rFonts w:hint="eastAsia" w:ascii="仿宋_GB2312" w:hAnsi="仿宋" w:eastAsia="仿宋_GB2312" w:cs="仿宋"/>
          <w:spacing w:val="-4"/>
          <w:sz w:val="32"/>
          <w:szCs w:val="32"/>
        </w:rPr>
        <w:t>为建设美丽社会主义新农村，提高广大人民群众生活水平。</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_GB2312" w:eastAsia="仿宋_GB2312" w:cs="仿宋_GB2312"/>
          <w:bCs/>
          <w:sz w:val="32"/>
          <w:szCs w:val="32"/>
        </w:rPr>
      </w:pPr>
      <w:r>
        <w:rPr>
          <w:rFonts w:hint="eastAsia" w:ascii="仿宋_GB2312" w:hAnsi="仿宋" w:eastAsia="仿宋_GB2312" w:cs="宋体"/>
          <w:sz w:val="32"/>
          <w:szCs w:val="32"/>
        </w:rPr>
        <w:t>本项目自2019年3月报请县人大批准经财经领导小组会议，确定了项目领导小组，明确了责任分工：由叶城县</w:t>
      </w:r>
      <w:r>
        <w:rPr>
          <w:rFonts w:hint="eastAsia" w:ascii="仿宋_GB2312" w:hAnsi="仿宋" w:eastAsia="仿宋_GB2312" w:cs="宋体"/>
          <w:sz w:val="32"/>
          <w:szCs w:val="32"/>
          <w:lang w:eastAsia="zh-CN"/>
        </w:rPr>
        <w:t>棋盘乡</w:t>
      </w:r>
      <w:r>
        <w:rPr>
          <w:rFonts w:hint="eastAsia" w:ascii="仿宋_GB2312" w:hAnsi="仿宋" w:eastAsia="仿宋_GB2312" w:cs="宋体"/>
          <w:sz w:val="32"/>
          <w:szCs w:val="32"/>
        </w:rPr>
        <w:t>人民政府完成项目初步设计，编制了实施方案，项目采用一事一议方式确定施工单位，项目竣工验收并合格后，交付村级委员会使用，</w:t>
      </w:r>
      <w:r>
        <w:rPr>
          <w:rFonts w:hint="eastAsia" w:ascii="仿宋_GB2312" w:hAnsi="仿宋_GB2312" w:eastAsia="仿宋_GB2312" w:cs="仿宋_GB2312"/>
          <w:bCs/>
          <w:sz w:val="32"/>
          <w:szCs w:val="32"/>
        </w:rPr>
        <w:t>极大提高服务办事效率，加强基层建设。资金使用完毕，村环境得到极大提升。</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ascii="仿宋_GB2312" w:hAnsi="仿宋" w:eastAsia="仿宋_GB2312" w:cs="宋体"/>
          <w:sz w:val="32"/>
          <w:szCs w:val="32"/>
        </w:rPr>
        <w:t xml:space="preserve"> </w:t>
      </w:r>
      <w:r>
        <w:rPr>
          <w:rFonts w:hint="eastAsia" w:ascii="仿宋_GB2312" w:hAnsi="仿宋" w:eastAsia="仿宋_GB2312" w:cs="宋体"/>
          <w:sz w:val="32"/>
          <w:szCs w:val="32"/>
        </w:rPr>
        <w:t>3.项目负责人为</w:t>
      </w:r>
      <w:r>
        <w:rPr>
          <w:rFonts w:hint="eastAsia" w:ascii="仿宋_GB2312" w:hAnsi="仿宋" w:eastAsia="仿宋_GB2312" w:cs="宋体"/>
          <w:sz w:val="32"/>
          <w:szCs w:val="32"/>
          <w:lang w:eastAsia="zh-CN"/>
        </w:rPr>
        <w:t>李智</w:t>
      </w:r>
      <w:r>
        <w:rPr>
          <w:rFonts w:hint="eastAsia" w:ascii="仿宋_GB2312" w:hAnsi="仿宋" w:eastAsia="仿宋_GB2312" w:cs="宋体"/>
          <w:sz w:val="32"/>
          <w:szCs w:val="32"/>
        </w:rPr>
        <w:t>，主要职责为确</w:t>
      </w:r>
      <w:r>
        <w:rPr>
          <w:rFonts w:hint="eastAsia" w:ascii="仿宋_GB2312" w:hAnsi="仿宋_GB2312" w:eastAsia="仿宋_GB2312" w:cs="仿宋_GB2312"/>
          <w:bCs/>
          <w:sz w:val="32"/>
          <w:szCs w:val="32"/>
        </w:rPr>
        <w:t>定村容村貌项目</w:t>
      </w:r>
      <w:r>
        <w:rPr>
          <w:rFonts w:ascii="仿宋_GB2312" w:hAnsi="仿宋_GB2312" w:eastAsia="仿宋_GB2312" w:cs="仿宋_GB2312"/>
          <w:bCs/>
          <w:sz w:val="32"/>
          <w:szCs w:val="32"/>
        </w:rPr>
        <w:t>资金管理办法以及经费的使用方向</w:t>
      </w:r>
      <w:r>
        <w:rPr>
          <w:rFonts w:hint="eastAsia" w:ascii="仿宋_GB2312" w:hAnsi="仿宋_GB2312" w:eastAsia="仿宋_GB2312" w:cs="仿宋_GB2312"/>
          <w:bCs/>
          <w:sz w:val="32"/>
          <w:szCs w:val="32"/>
        </w:rPr>
        <w:t>，确保项目资金按照</w:t>
      </w:r>
      <w:r>
        <w:rPr>
          <w:rFonts w:ascii="仿宋_GB2312" w:hAnsi="仿宋_GB2312" w:eastAsia="仿宋_GB2312" w:cs="仿宋_GB2312"/>
          <w:bCs/>
          <w:sz w:val="32"/>
          <w:szCs w:val="32"/>
        </w:rPr>
        <w:t>财政资金管理制度</w:t>
      </w:r>
      <w:r>
        <w:rPr>
          <w:rFonts w:hint="eastAsia" w:ascii="仿宋_GB2312" w:hAnsi="仿宋_GB2312" w:eastAsia="仿宋_GB2312" w:cs="仿宋_GB2312"/>
          <w:bCs/>
          <w:sz w:val="32"/>
          <w:szCs w:val="32"/>
        </w:rPr>
        <w:t>进行</w:t>
      </w:r>
      <w:r>
        <w:rPr>
          <w:rFonts w:ascii="仿宋_GB2312" w:hAnsi="仿宋_GB2312" w:eastAsia="仿宋_GB2312" w:cs="仿宋_GB2312"/>
          <w:bCs/>
          <w:sz w:val="32"/>
          <w:szCs w:val="32"/>
        </w:rPr>
        <w:t>支付</w:t>
      </w:r>
      <w:r>
        <w:rPr>
          <w:rFonts w:hint="eastAsia" w:ascii="仿宋_GB2312" w:hAnsi="仿宋_GB2312" w:eastAsia="仿宋_GB2312" w:cs="仿宋_GB2312"/>
          <w:bCs/>
          <w:sz w:val="32"/>
          <w:szCs w:val="32"/>
        </w:rPr>
        <w:t>，同时负责项目相关手续</w:t>
      </w:r>
      <w:r>
        <w:rPr>
          <w:rFonts w:ascii="仿宋_GB2312" w:hAnsi="仿宋_GB2312" w:eastAsia="仿宋_GB2312" w:cs="仿宋_GB2312"/>
          <w:bCs/>
          <w:sz w:val="32"/>
          <w:szCs w:val="32"/>
        </w:rPr>
        <w:t>审批审核</w:t>
      </w:r>
      <w:r>
        <w:rPr>
          <w:rFonts w:hint="eastAsia" w:ascii="仿宋_GB2312" w:hAnsi="仿宋_GB2312" w:eastAsia="仿宋_GB2312" w:cs="仿宋_GB2312"/>
          <w:bCs/>
          <w:sz w:val="32"/>
          <w:szCs w:val="32"/>
        </w:rPr>
        <w:t>，确保</w:t>
      </w:r>
      <w:r>
        <w:rPr>
          <w:rFonts w:ascii="仿宋_GB2312" w:hAnsi="仿宋_GB2312" w:eastAsia="仿宋_GB2312" w:cs="仿宋_GB2312"/>
          <w:bCs/>
          <w:sz w:val="32"/>
          <w:szCs w:val="32"/>
        </w:rPr>
        <w:t>资金的支付有完整的审批程序和手续符合制度要求。</w:t>
      </w:r>
    </w:p>
    <w:p>
      <w:pPr>
        <w:pStyle w:val="26"/>
        <w:pageBreakBefore w:val="0"/>
        <w:widowControl w:val="0"/>
        <w:kinsoku/>
        <w:wordWrap/>
        <w:overflowPunct/>
        <w:topLinePunct w:val="0"/>
        <w:autoSpaceDE/>
        <w:autoSpaceDN/>
        <w:bidi w:val="0"/>
        <w:adjustRightInd/>
        <w:snapToGrid/>
        <w:spacing w:before="0" w:after="0" w:line="560" w:lineRule="exact"/>
        <w:ind w:left="0" w:firstLine="643" w:firstLineChars="200"/>
        <w:textAlignment w:val="auto"/>
      </w:pPr>
      <w:bookmarkStart w:id="1" w:name="_Toc26401550"/>
      <w:r>
        <w:rPr>
          <w:rFonts w:hint="eastAsia"/>
        </w:rPr>
        <w:t>资金</w:t>
      </w:r>
      <w:bookmarkEnd w:id="1"/>
      <w:r>
        <w:rPr>
          <w:rFonts w:hint="eastAsia"/>
        </w:rPr>
        <w:t>投入和使用情况</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本项目总投资</w:t>
      </w:r>
      <w:r>
        <w:rPr>
          <w:rFonts w:hint="eastAsia" w:ascii="仿宋_GB2312" w:hAnsi="仿宋" w:eastAsia="仿宋_GB2312" w:cs="宋体"/>
          <w:sz w:val="32"/>
          <w:szCs w:val="32"/>
          <w:lang w:eastAsia="zh-CN"/>
        </w:rPr>
        <w:t>584.01</w:t>
      </w:r>
      <w:r>
        <w:rPr>
          <w:rFonts w:hint="eastAsia" w:ascii="仿宋_GB2312" w:hAnsi="仿宋" w:eastAsia="仿宋_GB2312" w:cs="宋体"/>
          <w:sz w:val="32"/>
          <w:szCs w:val="32"/>
        </w:rPr>
        <w:t>万元，资金来源为自治区专项资金</w:t>
      </w:r>
      <w:r>
        <w:rPr>
          <w:rFonts w:hint="eastAsia" w:ascii="仿宋_GB2312" w:hAnsi="仿宋" w:eastAsia="仿宋_GB2312" w:cs="宋体"/>
          <w:sz w:val="32"/>
          <w:szCs w:val="32"/>
          <w:lang w:eastAsia="zh-CN"/>
        </w:rPr>
        <w:t>584.01</w:t>
      </w:r>
      <w:r>
        <w:rPr>
          <w:rFonts w:hint="eastAsia" w:ascii="仿宋_GB2312" w:hAnsi="仿宋" w:eastAsia="仿宋_GB2312" w:cs="宋体"/>
          <w:sz w:val="32"/>
          <w:szCs w:val="32"/>
        </w:rPr>
        <w:t>万元。此项资金的使用范围：</w:t>
      </w:r>
      <w:r>
        <w:rPr>
          <w:rFonts w:hint="eastAsia" w:ascii="仿宋_GB2312" w:hAnsi="仿宋" w:eastAsia="仿宋_GB2312"/>
          <w:sz w:val="32"/>
          <w:szCs w:val="32"/>
        </w:rPr>
        <w:t>根据</w:t>
      </w:r>
      <w:r>
        <w:rPr>
          <w:rFonts w:hint="eastAsia" w:ascii="仿宋_GB2312" w:hAnsi="仿宋" w:eastAsia="仿宋_GB2312"/>
          <w:sz w:val="32"/>
          <w:szCs w:val="32"/>
          <w:lang w:eastAsia="zh-CN"/>
        </w:rPr>
        <w:t>新财扶［2018］58号、喀地财扶［2018］62</w:t>
      </w:r>
      <w:r>
        <w:rPr>
          <w:rFonts w:hint="eastAsia" w:ascii="仿宋_GB2312" w:hAnsi="仿宋" w:eastAsia="仿宋_GB2312"/>
          <w:sz w:val="32"/>
          <w:szCs w:val="32"/>
        </w:rPr>
        <w:t>号文件</w:t>
      </w:r>
      <w:r>
        <w:rPr>
          <w:rFonts w:hint="eastAsia" w:ascii="仿宋_GB2312" w:hAnsi="仿宋" w:eastAsia="仿宋_GB2312" w:cs="宋体"/>
          <w:sz w:val="32"/>
          <w:szCs w:val="32"/>
          <w:lang w:val="en-US" w:eastAsia="zh-CN"/>
        </w:rPr>
        <w:t>及新财预［2019］105号、喀地财预［2019］73号</w:t>
      </w:r>
      <w:r>
        <w:rPr>
          <w:rFonts w:hint="eastAsia" w:ascii="仿宋_GB2312" w:hAnsi="仿宋" w:eastAsia="仿宋_GB2312"/>
          <w:sz w:val="32"/>
          <w:szCs w:val="32"/>
        </w:rPr>
        <w:t>要求，保证村容村貌项目稳步提升，扶贫经费用在实处，达到专款专用的效果，并且严格按照会计制度的要求支出，为</w:t>
      </w:r>
      <w:r>
        <w:rPr>
          <w:rFonts w:hint="eastAsia" w:ascii="仿宋_GB2312" w:hAnsi="仿宋" w:eastAsia="仿宋_GB2312"/>
          <w:sz w:val="32"/>
          <w:szCs w:val="32"/>
          <w:lang w:eastAsia="zh-CN"/>
        </w:rPr>
        <w:t>棋盘乡</w:t>
      </w:r>
      <w:r>
        <w:rPr>
          <w:rFonts w:hint="eastAsia" w:ascii="仿宋_GB2312" w:hAnsi="仿宋" w:eastAsia="仿宋_GB2312"/>
          <w:sz w:val="32"/>
          <w:szCs w:val="32"/>
        </w:rPr>
        <w:t>2020年如期脱贫提供基础。</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叶城县</w:t>
      </w:r>
      <w:r>
        <w:rPr>
          <w:rFonts w:hint="eastAsia" w:ascii="仿宋_GB2312" w:hAnsi="仿宋" w:eastAsia="仿宋_GB2312" w:cs="宋体"/>
          <w:sz w:val="32"/>
          <w:szCs w:val="32"/>
          <w:lang w:eastAsia="zh-CN"/>
        </w:rPr>
        <w:t>棋盘乡</w:t>
      </w:r>
      <w:r>
        <w:rPr>
          <w:rFonts w:hint="eastAsia" w:ascii="仿宋_GB2312" w:hAnsi="仿宋" w:eastAsia="仿宋_GB2312" w:cs="宋体"/>
          <w:sz w:val="32"/>
          <w:szCs w:val="32"/>
        </w:rPr>
        <w:t>人民政府制定了</w:t>
      </w:r>
      <w:r>
        <w:rPr>
          <w:rFonts w:hint="eastAsia" w:ascii="仿宋_GB2312" w:hAnsi="仿宋" w:eastAsia="仿宋_GB2312"/>
          <w:sz w:val="32"/>
          <w:szCs w:val="32"/>
        </w:rPr>
        <w:t>村容村貌资金项目</w:t>
      </w:r>
      <w:r>
        <w:rPr>
          <w:rFonts w:hint="eastAsia" w:ascii="仿宋_GB2312" w:hAnsi="仿宋" w:eastAsia="仿宋_GB2312" w:cs="宋体"/>
          <w:sz w:val="32"/>
          <w:szCs w:val="32"/>
        </w:rPr>
        <w:t>资金管理办法，按照</w:t>
      </w:r>
      <w:r>
        <w:rPr>
          <w:rFonts w:hint="eastAsia" w:ascii="仿宋_GB2312" w:hAnsi="仿宋" w:eastAsia="仿宋_GB2312"/>
          <w:sz w:val="32"/>
          <w:szCs w:val="32"/>
          <w:lang w:eastAsia="zh-CN"/>
        </w:rPr>
        <w:t>新财扶［2018］58号、喀地财扶［2018］62</w:t>
      </w:r>
      <w:r>
        <w:rPr>
          <w:rFonts w:hint="eastAsia" w:ascii="仿宋_GB2312" w:hAnsi="仿宋" w:eastAsia="仿宋_GB2312"/>
          <w:sz w:val="32"/>
          <w:szCs w:val="32"/>
        </w:rPr>
        <w:t>号</w:t>
      </w:r>
      <w:r>
        <w:rPr>
          <w:rFonts w:hint="eastAsia" w:ascii="仿宋_GB2312" w:hAnsi="仿宋" w:eastAsia="仿宋_GB2312" w:cs="宋体"/>
          <w:sz w:val="32"/>
          <w:szCs w:val="32"/>
          <w:lang w:val="en-US" w:eastAsia="zh-CN"/>
        </w:rPr>
        <w:t>及新财预［2019］105号、喀地财预［2019］73号</w:t>
      </w:r>
      <w:r>
        <w:rPr>
          <w:rFonts w:hint="eastAsia" w:ascii="仿宋_GB2312" w:hAnsi="仿宋" w:eastAsia="仿宋_GB2312" w:cs="宋体"/>
          <w:sz w:val="32"/>
          <w:szCs w:val="32"/>
        </w:rPr>
        <w:t>文件进行使用</w:t>
      </w:r>
      <w:r>
        <w:rPr>
          <w:rFonts w:hint="eastAsia" w:ascii="仿宋_GB2312" w:hAnsi="仿宋" w:eastAsia="仿宋_GB2312" w:cs="宋体"/>
          <w:sz w:val="32"/>
          <w:szCs w:val="32"/>
          <w:lang w:eastAsia="zh-CN"/>
        </w:rPr>
        <w:t>。</w:t>
      </w:r>
    </w:p>
    <w:p>
      <w:pPr>
        <w:pStyle w:val="26"/>
        <w:pageBreakBefore w:val="0"/>
        <w:widowControl w:val="0"/>
        <w:kinsoku/>
        <w:wordWrap/>
        <w:overflowPunct/>
        <w:topLinePunct w:val="0"/>
        <w:autoSpaceDE/>
        <w:autoSpaceDN/>
        <w:bidi w:val="0"/>
        <w:adjustRightInd/>
        <w:snapToGrid/>
        <w:spacing w:before="0" w:after="0" w:line="560" w:lineRule="exact"/>
        <w:ind w:left="0" w:firstLine="643" w:firstLineChars="200"/>
        <w:textAlignment w:val="auto"/>
      </w:pPr>
      <w:bookmarkStart w:id="2" w:name="_Toc26401551"/>
      <w:r>
        <w:rPr>
          <w:rFonts w:hint="eastAsia"/>
        </w:rPr>
        <w:t>绩效目标</w:t>
      </w:r>
      <w:bookmarkEnd w:id="2"/>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总体目标为：</w:t>
      </w:r>
      <w:r>
        <w:rPr>
          <w:rFonts w:hint="eastAsia" w:ascii="仿宋_GB2312" w:hAnsi="仿宋" w:eastAsia="仿宋_GB2312" w:cs="宋体"/>
          <w:sz w:val="32"/>
          <w:szCs w:val="32"/>
          <w:lang w:eastAsia="zh-CN"/>
        </w:rPr>
        <w:t>棋盘乡</w:t>
      </w:r>
      <w:r>
        <w:rPr>
          <w:rFonts w:hint="eastAsia" w:ascii="仿宋_GB2312" w:hAnsi="仿宋" w:eastAsia="仿宋_GB2312" w:cs="宋体"/>
          <w:sz w:val="32"/>
          <w:szCs w:val="32"/>
        </w:rPr>
        <w:t>2019年</w:t>
      </w:r>
      <w:r>
        <w:rPr>
          <w:rFonts w:hint="eastAsia" w:ascii="仿宋_GB2312" w:hAnsi="仿宋" w:eastAsia="仿宋_GB2312"/>
          <w:sz w:val="32"/>
          <w:szCs w:val="32"/>
        </w:rPr>
        <w:t>村容村貌资金项目</w:t>
      </w:r>
      <w:r>
        <w:rPr>
          <w:rFonts w:hint="eastAsia" w:ascii="仿宋_GB2312" w:hAnsi="仿宋" w:eastAsia="仿宋_GB2312" w:cs="宋体"/>
          <w:sz w:val="32"/>
          <w:szCs w:val="32"/>
        </w:rPr>
        <w:t>主要用于</w:t>
      </w:r>
      <w:r>
        <w:rPr>
          <w:rFonts w:hint="eastAsia" w:ascii="仿宋_GB2312" w:hAnsi="仿宋_GB2312" w:eastAsia="仿宋_GB2312" w:cs="仿宋_GB2312"/>
          <w:bCs/>
          <w:sz w:val="32"/>
          <w:szCs w:val="32"/>
        </w:rPr>
        <w:t>加快村级美化及改善人文环境，加强基层组织建设</w:t>
      </w:r>
      <w:r>
        <w:rPr>
          <w:rFonts w:hint="eastAsia" w:ascii="仿宋_GB2312" w:hAnsi="仿宋" w:eastAsia="仿宋_GB2312" w:cs="宋体"/>
          <w:sz w:val="32"/>
          <w:szCs w:val="32"/>
        </w:rPr>
        <w:t>，解决乡村环境脏乱差问题，有效带动群众的积极心，提升群众的获得感与幸福感，</w:t>
      </w:r>
      <w:r>
        <w:rPr>
          <w:rFonts w:hint="eastAsia" w:ascii="仿宋_GB2312" w:hAnsi="仿宋_GB2312" w:eastAsia="仿宋_GB2312" w:cs="仿宋_GB2312"/>
          <w:bCs/>
          <w:sz w:val="32"/>
          <w:szCs w:val="32"/>
        </w:rPr>
        <w:t>极大提高服务办事效率</w:t>
      </w:r>
      <w:r>
        <w:rPr>
          <w:rFonts w:hint="eastAsia" w:ascii="仿宋_GB2312" w:hAnsi="仿宋" w:eastAsia="仿宋_GB2312" w:cs="宋体"/>
          <w:sz w:val="32"/>
          <w:szCs w:val="32"/>
        </w:rPr>
        <w:t>。项目共涉及</w:t>
      </w:r>
      <w:r>
        <w:rPr>
          <w:rFonts w:hint="eastAsia" w:ascii="仿宋_GB2312" w:hAnsi="仿宋" w:eastAsia="仿宋_GB2312" w:cs="宋体"/>
          <w:sz w:val="32"/>
          <w:szCs w:val="32"/>
          <w:lang w:eastAsia="zh-CN"/>
        </w:rPr>
        <w:t>棋盘乡</w:t>
      </w:r>
      <w:r>
        <w:rPr>
          <w:rFonts w:hint="eastAsia" w:ascii="仿宋_GB2312" w:hAnsi="仿宋" w:eastAsia="仿宋_GB2312" w:cs="宋体"/>
          <w:sz w:val="32"/>
          <w:szCs w:val="32"/>
          <w:lang w:val="en-US" w:eastAsia="zh-CN"/>
        </w:rPr>
        <w:t>7</w:t>
      </w:r>
      <w:r>
        <w:rPr>
          <w:rFonts w:hint="eastAsia" w:ascii="仿宋_GB2312" w:hAnsi="仿宋" w:eastAsia="仿宋_GB2312" w:cs="宋体"/>
          <w:sz w:val="32"/>
          <w:szCs w:val="32"/>
        </w:rPr>
        <w:t>个行政村，每村平均</w:t>
      </w:r>
      <w:r>
        <w:rPr>
          <w:rFonts w:hint="eastAsia" w:ascii="仿宋_GB2312" w:hAnsi="仿宋" w:eastAsia="仿宋_GB2312" w:cs="宋体"/>
          <w:sz w:val="32"/>
          <w:szCs w:val="32"/>
          <w:lang w:val="en-US" w:eastAsia="zh-CN"/>
        </w:rPr>
        <w:t>83.43</w:t>
      </w:r>
      <w:r>
        <w:rPr>
          <w:rFonts w:hint="eastAsia" w:ascii="仿宋_GB2312" w:hAnsi="仿宋" w:eastAsia="仿宋_GB2312" w:cs="宋体"/>
          <w:sz w:val="32"/>
          <w:szCs w:val="32"/>
        </w:rPr>
        <w:t>万元的标准，解决群众出行不易、劳动无去处的问题，</w:t>
      </w:r>
      <w:r>
        <w:rPr>
          <w:rFonts w:hint="eastAsia" w:ascii="仿宋_GB2312" w:hAnsi="仿宋" w:eastAsia="仿宋_GB2312" w:cs="仿宋"/>
          <w:spacing w:val="-4"/>
          <w:sz w:val="32"/>
          <w:szCs w:val="32"/>
        </w:rPr>
        <w:t>提高乡镇村级美化环境能力建设</w:t>
      </w:r>
    </w:p>
    <w:p>
      <w:pPr>
        <w:pStyle w:val="24"/>
        <w:pageBreakBefore w:val="0"/>
        <w:widowControl w:val="0"/>
        <w:numPr>
          <w:ilvl w:val="0"/>
          <w:numId w:val="2"/>
        </w:numPr>
        <w:kinsoku/>
        <w:wordWrap/>
        <w:overflowPunct/>
        <w:topLinePunct w:val="0"/>
        <w:autoSpaceDE/>
        <w:autoSpaceDN/>
        <w:bidi w:val="0"/>
        <w:adjustRightInd/>
        <w:snapToGrid/>
        <w:spacing w:before="0" w:after="0" w:line="560" w:lineRule="exact"/>
        <w:ind w:left="0" w:firstLine="643" w:firstLineChars="200"/>
        <w:textAlignment w:val="auto"/>
      </w:pPr>
      <w:bookmarkStart w:id="3" w:name="_Toc26401552"/>
      <w:r>
        <w:rPr>
          <w:rFonts w:hint="eastAsia"/>
        </w:rPr>
        <w:t>评价工作简述</w:t>
      </w:r>
      <w:bookmarkEnd w:id="3"/>
    </w:p>
    <w:p>
      <w:pPr>
        <w:pStyle w:val="26"/>
        <w:pageBreakBefore w:val="0"/>
        <w:widowControl w:val="0"/>
        <w:numPr>
          <w:ilvl w:val="0"/>
          <w:numId w:val="4"/>
        </w:numPr>
        <w:kinsoku/>
        <w:wordWrap/>
        <w:overflowPunct/>
        <w:topLinePunct w:val="0"/>
        <w:autoSpaceDE/>
        <w:autoSpaceDN/>
        <w:bidi w:val="0"/>
        <w:adjustRightInd/>
        <w:snapToGrid/>
        <w:spacing w:before="0" w:after="0" w:line="560" w:lineRule="exact"/>
        <w:ind w:left="0" w:firstLine="643" w:firstLineChars="200"/>
        <w:textAlignment w:val="auto"/>
      </w:pPr>
      <w:bookmarkStart w:id="4" w:name="_Toc26401553"/>
      <w:r>
        <w:rPr>
          <w:rFonts w:hint="eastAsia"/>
        </w:rPr>
        <w:t>评价目的</w:t>
      </w:r>
      <w:bookmarkEnd w:id="4"/>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本次绩效评价遵循财政部《项目</w:t>
      </w:r>
      <w:r>
        <w:rPr>
          <w:rFonts w:ascii="仿宋_GB2312" w:hAnsi="仿宋" w:eastAsia="仿宋_GB2312" w:cs="宋体"/>
          <w:sz w:val="32"/>
          <w:szCs w:val="32"/>
        </w:rPr>
        <w:t>支出绩效评价管理办法》（财预〔2020〕10号）和自治区财政厅</w:t>
      </w:r>
      <w:r>
        <w:rPr>
          <w:rFonts w:hint="eastAsia" w:ascii="仿宋_GB2312" w:hAnsi="仿宋_GB2312" w:eastAsia="仿宋_GB2312" w:cs="仿宋_GB2312"/>
          <w:kern w:val="0"/>
          <w:sz w:val="32"/>
          <w:szCs w:val="32"/>
          <w:shd w:val="clear" w:color="auto" w:fill="FFFFFF"/>
        </w:rPr>
        <w:t>《自治区财政支出绩效评价管理暂行办法》（新财预〔</w:t>
      </w:r>
      <w:r>
        <w:rPr>
          <w:rFonts w:ascii="仿宋_GB2312" w:hAnsi="仿宋_GB2312" w:eastAsia="仿宋_GB2312" w:cs="仿宋_GB2312"/>
          <w:kern w:val="0"/>
          <w:sz w:val="32"/>
          <w:szCs w:val="32"/>
          <w:shd w:val="clear" w:color="auto" w:fill="FFFFFF"/>
        </w:rPr>
        <w:t>2018〕189号</w:t>
      </w:r>
      <w:r>
        <w:rPr>
          <w:rFonts w:hint="eastAsia" w:ascii="仿宋_GB2312" w:hAnsi="仿宋_GB2312" w:eastAsia="仿宋_GB2312" w:cs="仿宋_GB2312"/>
          <w:kern w:val="0"/>
          <w:sz w:val="32"/>
          <w:szCs w:val="32"/>
          <w:shd w:val="clear" w:color="auto" w:fill="FFFFFF"/>
        </w:rPr>
        <w:t>）</w:t>
      </w:r>
      <w:r>
        <w:rPr>
          <w:rFonts w:ascii="仿宋_GB2312" w:hAnsi="仿宋" w:eastAsia="仿宋_GB2312" w:cs="宋体"/>
          <w:sz w:val="32"/>
          <w:szCs w:val="32"/>
        </w:rPr>
        <w:t>等相关政策文件与规定，</w:t>
      </w:r>
      <w:r>
        <w:rPr>
          <w:rFonts w:hint="eastAsia" w:ascii="仿宋_GB2312" w:hAnsi="仿宋" w:eastAsia="仿宋_GB2312" w:cs="宋体"/>
          <w:sz w:val="32"/>
          <w:szCs w:val="32"/>
        </w:rPr>
        <w:t>旨在</w:t>
      </w:r>
      <w:r>
        <w:rPr>
          <w:rFonts w:hint="eastAsia" w:ascii="仿宋_GB2312" w:hAnsi="仿宋" w:eastAsia="仿宋_GB2312"/>
          <w:sz w:val="32"/>
          <w:szCs w:val="32"/>
        </w:rPr>
        <w:t>村容村貌资金项目</w:t>
      </w:r>
      <w:r>
        <w:rPr>
          <w:rFonts w:hint="eastAsia" w:ascii="仿宋_GB2312" w:hAnsi="仿宋" w:eastAsia="仿宋_GB2312" w:cs="宋体"/>
          <w:sz w:val="32"/>
          <w:szCs w:val="32"/>
        </w:rPr>
        <w:t>实施前期、过程及效果，评价财政预算资金使用的效率及效益。</w:t>
      </w:r>
    </w:p>
    <w:p>
      <w:pPr>
        <w:pageBreakBefore w:val="0"/>
        <w:widowControl w:val="0"/>
        <w:numPr>
          <w:ilvl w:val="0"/>
          <w:numId w:val="5"/>
        </w:numPr>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本次评价从</w:t>
      </w:r>
      <w:r>
        <w:rPr>
          <w:rFonts w:hint="eastAsia" w:ascii="仿宋_GB2312" w:hAnsi="仿宋" w:eastAsia="仿宋_GB2312"/>
          <w:sz w:val="32"/>
          <w:szCs w:val="32"/>
        </w:rPr>
        <w:t>村容村貌资金项目</w:t>
      </w:r>
      <w:r>
        <w:rPr>
          <w:rFonts w:hint="eastAsia" w:ascii="仿宋_GB2312" w:hAnsi="仿宋" w:eastAsia="仿宋_GB2312" w:cs="宋体"/>
          <w:sz w:val="32"/>
          <w:szCs w:val="32"/>
        </w:rPr>
        <w:t>产生的效果角度出发,力求从绩效的角度发现2019年度</w:t>
      </w:r>
      <w:r>
        <w:rPr>
          <w:rFonts w:hint="eastAsia" w:ascii="仿宋_GB2312" w:hAnsi="仿宋" w:eastAsia="仿宋_GB2312"/>
          <w:sz w:val="32"/>
          <w:szCs w:val="32"/>
        </w:rPr>
        <w:t>村容村貌资金项目</w:t>
      </w:r>
      <w:r>
        <w:rPr>
          <w:rFonts w:hint="eastAsia" w:ascii="仿宋_GB2312" w:hAnsi="仿宋" w:eastAsia="仿宋_GB2312" w:cs="宋体"/>
          <w:sz w:val="32"/>
          <w:szCs w:val="32"/>
        </w:rPr>
        <w:t>中取得的成绩和产生的问题,优化财政支出管理改革,为下一步实施绩效预算奠定基础。</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1.通过评价,了解2019年度</w:t>
      </w:r>
      <w:r>
        <w:rPr>
          <w:rFonts w:hint="eastAsia" w:ascii="仿宋_GB2312" w:hAnsi="仿宋" w:eastAsia="仿宋_GB2312"/>
          <w:sz w:val="32"/>
          <w:szCs w:val="32"/>
        </w:rPr>
        <w:t>村容村貌资金项目</w:t>
      </w:r>
      <w:r>
        <w:rPr>
          <w:rFonts w:hint="eastAsia" w:ascii="仿宋_GB2312" w:hAnsi="仿宋" w:eastAsia="仿宋_GB2312" w:cs="宋体"/>
          <w:sz w:val="32"/>
          <w:szCs w:val="32"/>
        </w:rPr>
        <w:t>的基本情况对项目背景和目的、项目内容和现状、项目预算做深入调研和分析</w:t>
      </w:r>
      <w:r>
        <w:rPr>
          <w:rFonts w:hint="eastAsia" w:ascii="仿宋_GB2312" w:hAnsi="仿宋" w:eastAsia="仿宋_GB2312" w:cs="宋体"/>
          <w:sz w:val="32"/>
          <w:szCs w:val="32"/>
          <w:lang w:eastAsia="zh-CN"/>
        </w:rPr>
        <w:t>。</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2.通过评价,了解2019年度</w:t>
      </w:r>
      <w:r>
        <w:rPr>
          <w:rFonts w:hint="eastAsia" w:ascii="仿宋_GB2312" w:hAnsi="仿宋" w:eastAsia="仿宋_GB2312"/>
          <w:sz w:val="32"/>
          <w:szCs w:val="32"/>
        </w:rPr>
        <w:t>村容村貌资金项目</w:t>
      </w:r>
      <w:r>
        <w:rPr>
          <w:rFonts w:hint="eastAsia" w:ascii="仿宋_GB2312" w:hAnsi="仿宋" w:eastAsia="仿宋_GB2312" w:cs="宋体"/>
          <w:sz w:val="32"/>
          <w:szCs w:val="32"/>
        </w:rPr>
        <w:t>的产出和效果情况及整体绩效状况</w:t>
      </w:r>
      <w:r>
        <w:rPr>
          <w:rFonts w:hint="eastAsia" w:ascii="仿宋_GB2312" w:hAnsi="仿宋" w:eastAsia="仿宋_GB2312" w:cs="宋体"/>
          <w:sz w:val="32"/>
          <w:szCs w:val="32"/>
          <w:lang w:eastAsia="zh-CN"/>
        </w:rPr>
        <w:t>。</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sz w:val="32"/>
          <w:szCs w:val="32"/>
          <w:highlight w:val="yellow"/>
          <w:lang w:eastAsia="zh-CN"/>
        </w:rPr>
      </w:pPr>
      <w:r>
        <w:rPr>
          <w:rFonts w:hint="eastAsia" w:ascii="仿宋_GB2312" w:hAnsi="仿宋" w:eastAsia="仿宋_GB2312" w:cs="宋体"/>
          <w:sz w:val="32"/>
          <w:szCs w:val="32"/>
        </w:rPr>
        <w:t>3,通过评价,发掘2019年度</w:t>
      </w:r>
      <w:r>
        <w:rPr>
          <w:rFonts w:hint="eastAsia" w:ascii="仿宋_GB2312" w:hAnsi="仿宋" w:eastAsia="仿宋_GB2312"/>
          <w:sz w:val="32"/>
          <w:szCs w:val="32"/>
        </w:rPr>
        <w:t>村容村貌资金项目</w:t>
      </w:r>
      <w:r>
        <w:rPr>
          <w:rFonts w:hint="eastAsia" w:ascii="仿宋_GB2312" w:hAnsi="仿宋" w:eastAsia="仿宋_GB2312" w:cs="宋体"/>
          <w:sz w:val="32"/>
          <w:szCs w:val="32"/>
        </w:rPr>
        <w:t>所产生的</w:t>
      </w:r>
      <w:r>
        <w:rPr>
          <w:rFonts w:hint="eastAsia" w:ascii="仿宋_GB2312" w:hAnsi="仿宋" w:eastAsia="仿宋_GB2312" w:cs="宋体"/>
          <w:sz w:val="32"/>
          <w:szCs w:val="32"/>
          <w:highlight w:val="none"/>
        </w:rPr>
        <w:t>现实意义和实际价值</w:t>
      </w:r>
      <w:r>
        <w:rPr>
          <w:rFonts w:hint="eastAsia" w:ascii="仿宋_GB2312" w:hAnsi="仿宋" w:eastAsia="仿宋_GB2312" w:cs="宋体"/>
          <w:sz w:val="32"/>
          <w:szCs w:val="32"/>
          <w:highlight w:val="none"/>
          <w:lang w:val="en-US" w:eastAsia="zh-CN"/>
        </w:rPr>
        <w:t>以及整洁环境成效。</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4,通过评价,从绩效的角度发现该项目在决策、实施和管理过程中存在的问题,寻求解决方案,为进一步深化项目管理工作提供依据,以促进改</w:t>
      </w:r>
      <w:r>
        <w:rPr>
          <w:rFonts w:hint="eastAsia" w:ascii="仿宋_GB2312" w:hAnsi="仿宋_GB2312" w:eastAsia="仿宋_GB2312" w:cs="仿宋_GB2312"/>
          <w:bCs/>
          <w:sz w:val="32"/>
          <w:szCs w:val="32"/>
        </w:rPr>
        <w:t>善</w:t>
      </w:r>
      <w:r>
        <w:rPr>
          <w:rFonts w:hint="eastAsia" w:ascii="仿宋_GB2312" w:hAnsi="仿宋_GB2312" w:eastAsia="仿宋_GB2312" w:cs="仿宋_GB2312"/>
          <w:bCs/>
          <w:sz w:val="32"/>
          <w:szCs w:val="32"/>
          <w:lang w:eastAsia="zh-CN"/>
        </w:rPr>
        <w:t>棋盘乡</w:t>
      </w:r>
      <w:r>
        <w:rPr>
          <w:rFonts w:hint="eastAsia" w:ascii="仿宋_GB2312" w:hAnsi="仿宋_GB2312" w:eastAsia="仿宋_GB2312" w:cs="仿宋_GB2312"/>
          <w:bCs/>
          <w:sz w:val="32"/>
          <w:szCs w:val="32"/>
        </w:rPr>
        <w:t>村容村貌整体水平，解决出行不易，办事难等问题，项目施工人员全部为当地农民，带动了农村就业难、生活无保障等问题，增加了群众的满意度。</w:t>
      </w:r>
      <w:r>
        <w:rPr>
          <w:rFonts w:ascii="仿宋_GB2312" w:hAnsi="仿宋" w:eastAsia="仿宋_GB2312" w:cs="宋体"/>
          <w:sz w:val="32"/>
          <w:szCs w:val="32"/>
        </w:rPr>
        <w:t xml:space="preserve"> </w:t>
      </w:r>
    </w:p>
    <w:p>
      <w:pPr>
        <w:pStyle w:val="26"/>
        <w:pageBreakBefore w:val="0"/>
        <w:widowControl w:val="0"/>
        <w:numPr>
          <w:ilvl w:val="0"/>
          <w:numId w:val="4"/>
        </w:numPr>
        <w:kinsoku/>
        <w:wordWrap/>
        <w:overflowPunct/>
        <w:topLinePunct w:val="0"/>
        <w:autoSpaceDE/>
        <w:autoSpaceDN/>
        <w:bidi w:val="0"/>
        <w:adjustRightInd/>
        <w:snapToGrid/>
        <w:spacing w:before="0" w:after="0" w:line="560" w:lineRule="exact"/>
        <w:ind w:left="0" w:firstLine="643" w:firstLineChars="200"/>
        <w:textAlignment w:val="auto"/>
      </w:pPr>
      <w:r>
        <w:rPr>
          <w:rFonts w:hint="eastAsia"/>
        </w:rPr>
        <w:t>本次绩效评价的对象及范围</w:t>
      </w:r>
      <w:bookmarkStart w:id="5" w:name="_Toc26401554"/>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ascii="仿宋_GB2312" w:hAnsi="仿宋" w:eastAsia="仿宋_GB2312" w:cs="宋体"/>
          <w:sz w:val="32"/>
          <w:szCs w:val="32"/>
        </w:rPr>
        <w:t>本次评价对象为</w:t>
      </w:r>
      <w:r>
        <w:rPr>
          <w:rFonts w:hint="eastAsia" w:ascii="仿宋_GB2312" w:hAnsi="仿宋" w:eastAsia="仿宋_GB2312"/>
          <w:sz w:val="32"/>
          <w:szCs w:val="32"/>
        </w:rPr>
        <w:t>村容村貌资金项目，</w:t>
      </w:r>
      <w:r>
        <w:rPr>
          <w:rFonts w:ascii="仿宋_GB2312" w:hAnsi="仿宋" w:eastAsia="仿宋_GB2312" w:cs="宋体"/>
          <w:sz w:val="32"/>
          <w:szCs w:val="32"/>
        </w:rPr>
        <w:t>资金为</w:t>
      </w:r>
      <w:r>
        <w:rPr>
          <w:rFonts w:hint="eastAsia" w:ascii="仿宋_GB2312" w:hAnsi="仿宋" w:eastAsia="仿宋_GB2312" w:cs="宋体"/>
          <w:sz w:val="32"/>
          <w:szCs w:val="32"/>
          <w:lang w:eastAsia="zh-CN"/>
        </w:rPr>
        <w:t>584.01</w:t>
      </w:r>
      <w:r>
        <w:rPr>
          <w:rFonts w:hint="eastAsia" w:ascii="仿宋_GB2312" w:hAnsi="仿宋" w:eastAsia="仿宋_GB2312" w:cs="宋体"/>
          <w:sz w:val="32"/>
          <w:szCs w:val="32"/>
        </w:rPr>
        <w:t>万元</w:t>
      </w:r>
      <w:r>
        <w:rPr>
          <w:rFonts w:ascii="仿宋_GB2312" w:hAnsi="仿宋" w:eastAsia="仿宋_GB2312" w:cs="宋体"/>
          <w:sz w:val="32"/>
          <w:szCs w:val="32"/>
        </w:rPr>
        <w:t>，评价范围包括专项资</w:t>
      </w:r>
      <w:r>
        <w:rPr>
          <w:rFonts w:hint="eastAsia" w:ascii="仿宋_GB2312" w:hAnsi="仿宋" w:eastAsia="仿宋_GB2312" w:cs="宋体"/>
          <w:sz w:val="32"/>
          <w:szCs w:val="32"/>
        </w:rPr>
        <w:t>金的安排、资金使用率、涉及村级个数、资金拨付及时率、社会服务能力、可持续年限、群众满意度等进行评价，项目涉及全镇</w:t>
      </w:r>
      <w:r>
        <w:rPr>
          <w:rFonts w:hint="eastAsia" w:ascii="仿宋_GB2312" w:hAnsi="仿宋" w:eastAsia="仿宋_GB2312" w:cs="宋体"/>
          <w:sz w:val="32"/>
          <w:szCs w:val="32"/>
          <w:lang w:val="en-US" w:eastAsia="zh-CN"/>
        </w:rPr>
        <w:t>7</w:t>
      </w:r>
      <w:r>
        <w:rPr>
          <w:rFonts w:hint="eastAsia" w:ascii="仿宋_GB2312" w:hAnsi="仿宋" w:eastAsia="仿宋_GB2312" w:cs="宋体"/>
          <w:sz w:val="32"/>
          <w:szCs w:val="32"/>
        </w:rPr>
        <w:t>个行政村，主要用于道路拓宽、墙面粉刷等，为</w:t>
      </w:r>
      <w:r>
        <w:rPr>
          <w:rFonts w:hint="eastAsia" w:ascii="仿宋_GB2312" w:hAnsi="仿宋" w:eastAsia="仿宋_GB2312" w:cs="宋体"/>
          <w:sz w:val="32"/>
          <w:szCs w:val="32"/>
          <w:lang w:eastAsia="zh-CN"/>
        </w:rPr>
        <w:t>棋盘乡</w:t>
      </w:r>
      <w:r>
        <w:rPr>
          <w:rFonts w:hint="eastAsia" w:ascii="仿宋_GB2312" w:hAnsi="仿宋" w:eastAsia="仿宋_GB2312" w:cs="宋体"/>
          <w:sz w:val="32"/>
          <w:szCs w:val="32"/>
        </w:rPr>
        <w:t>环境治理提供了阵地。</w:t>
      </w:r>
    </w:p>
    <w:p>
      <w:pPr>
        <w:pStyle w:val="26"/>
        <w:pageBreakBefore w:val="0"/>
        <w:widowControl w:val="0"/>
        <w:numPr>
          <w:ilvl w:val="0"/>
          <w:numId w:val="4"/>
        </w:numPr>
        <w:kinsoku/>
        <w:wordWrap/>
        <w:overflowPunct/>
        <w:topLinePunct w:val="0"/>
        <w:autoSpaceDE/>
        <w:autoSpaceDN/>
        <w:bidi w:val="0"/>
        <w:adjustRightInd/>
        <w:snapToGrid/>
        <w:spacing w:before="0" w:after="0" w:line="560" w:lineRule="exact"/>
        <w:ind w:left="0" w:firstLine="643" w:firstLineChars="200"/>
        <w:textAlignment w:val="auto"/>
      </w:pPr>
      <w:r>
        <w:rPr>
          <w:rFonts w:hint="eastAsia"/>
        </w:rPr>
        <w:t>绩效评价原则</w:t>
      </w:r>
      <w:bookmarkEnd w:id="5"/>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本次绩效评价遵循的原则包括：</w:t>
      </w:r>
    </w:p>
    <w:p>
      <w:pPr>
        <w:pStyle w:val="26"/>
        <w:keepNext w:val="0"/>
        <w:keepLines w:val="0"/>
        <w:pageBreakBefore w:val="0"/>
        <w:widowControl w:val="0"/>
        <w:numPr>
          <w:ilvl w:val="1"/>
          <w:numId w:val="6"/>
        </w:numPr>
        <w:kinsoku/>
        <w:wordWrap/>
        <w:overflowPunct/>
        <w:topLinePunct w:val="0"/>
        <w:autoSpaceDE/>
        <w:autoSpaceDN/>
        <w:bidi w:val="0"/>
        <w:adjustRightInd/>
        <w:snapToGrid/>
        <w:spacing w:before="0" w:after="0" w:line="560" w:lineRule="exact"/>
        <w:ind w:left="0" w:firstLine="640" w:firstLineChars="200"/>
        <w:textAlignment w:val="auto"/>
        <w:rPr>
          <w:rFonts w:hAnsi="仿宋" w:cs="宋体"/>
          <w:b w:val="0"/>
        </w:rPr>
      </w:pPr>
      <w:r>
        <w:rPr>
          <w:rFonts w:hint="eastAsia" w:hAnsi="仿宋" w:cs="宋体"/>
          <w:b w:val="0"/>
        </w:rPr>
        <w:t>科学公正。绩效评价应当运用科学合理的方法，按照规范的程序，对项目绩效进行客观、公正的反映。</w:t>
      </w:r>
    </w:p>
    <w:p>
      <w:pPr>
        <w:pStyle w:val="26"/>
        <w:keepNext w:val="0"/>
        <w:keepLines w:val="0"/>
        <w:pageBreakBefore w:val="0"/>
        <w:widowControl w:val="0"/>
        <w:numPr>
          <w:ilvl w:val="1"/>
          <w:numId w:val="6"/>
        </w:numPr>
        <w:kinsoku/>
        <w:wordWrap/>
        <w:overflowPunct/>
        <w:topLinePunct w:val="0"/>
        <w:autoSpaceDE/>
        <w:autoSpaceDN/>
        <w:bidi w:val="0"/>
        <w:adjustRightInd/>
        <w:snapToGrid/>
        <w:spacing w:before="0" w:after="0" w:line="560" w:lineRule="exact"/>
        <w:ind w:left="0" w:firstLine="640" w:firstLineChars="200"/>
        <w:textAlignment w:val="auto"/>
        <w:rPr>
          <w:rFonts w:hAnsi="仿宋" w:cs="宋体"/>
          <w:b w:val="0"/>
        </w:rPr>
      </w:pPr>
      <w:r>
        <w:rPr>
          <w:rFonts w:hint="eastAsia" w:hAnsi="仿宋" w:cs="宋体"/>
          <w:b w:val="0"/>
        </w:rPr>
        <w:t>统筹兼顾。单位自评、部门评价和财政评价应职责明确，各有侧重，相互衔接。单位自评应由项目单位自主实施，即“谁支出、谁自评”。部门评价和财政评价应在单位自评的基础上开展，必要时可委托第三方机构实施。</w:t>
      </w:r>
    </w:p>
    <w:p>
      <w:pPr>
        <w:pStyle w:val="26"/>
        <w:keepNext w:val="0"/>
        <w:keepLines w:val="0"/>
        <w:pageBreakBefore w:val="0"/>
        <w:widowControl w:val="0"/>
        <w:numPr>
          <w:ilvl w:val="1"/>
          <w:numId w:val="6"/>
        </w:numPr>
        <w:kinsoku/>
        <w:wordWrap/>
        <w:overflowPunct/>
        <w:topLinePunct w:val="0"/>
        <w:autoSpaceDE/>
        <w:autoSpaceDN/>
        <w:bidi w:val="0"/>
        <w:adjustRightInd/>
        <w:snapToGrid/>
        <w:spacing w:before="0" w:after="0" w:line="560" w:lineRule="exact"/>
        <w:ind w:left="0" w:firstLine="640" w:firstLineChars="200"/>
        <w:textAlignment w:val="auto"/>
        <w:rPr>
          <w:rFonts w:hAnsi="仿宋" w:cs="宋体"/>
          <w:b w:val="0"/>
        </w:rPr>
      </w:pPr>
      <w:r>
        <w:rPr>
          <w:rFonts w:hint="eastAsia" w:hAnsi="仿宋" w:cs="宋体"/>
          <w:b w:val="0"/>
        </w:rPr>
        <w:t>激励约束。绩效评价结果应与预算安排、政策调整、改进管理实质性挂钩，体现奖优罚劣和激励相容导向，有效要安排、低效要压减、无效要问责。</w:t>
      </w:r>
    </w:p>
    <w:p>
      <w:pPr>
        <w:pStyle w:val="26"/>
        <w:keepNext w:val="0"/>
        <w:keepLines w:val="0"/>
        <w:pageBreakBefore w:val="0"/>
        <w:widowControl w:val="0"/>
        <w:numPr>
          <w:ilvl w:val="1"/>
          <w:numId w:val="6"/>
        </w:numPr>
        <w:kinsoku/>
        <w:wordWrap/>
        <w:overflowPunct/>
        <w:topLinePunct w:val="0"/>
        <w:autoSpaceDE/>
        <w:autoSpaceDN/>
        <w:bidi w:val="0"/>
        <w:adjustRightInd/>
        <w:snapToGrid/>
        <w:spacing w:before="0" w:after="0" w:line="560" w:lineRule="exact"/>
        <w:ind w:left="0" w:firstLine="640" w:firstLineChars="200"/>
        <w:textAlignment w:val="auto"/>
        <w:rPr>
          <w:b w:val="0"/>
        </w:rPr>
      </w:pPr>
      <w:r>
        <w:rPr>
          <w:rFonts w:hint="eastAsia" w:hAnsi="仿宋" w:cs="宋体"/>
          <w:b w:val="0"/>
        </w:rPr>
        <w:t>公开透明。绩效评价结果应依法依规公开，并自觉接受社会监督。</w:t>
      </w:r>
      <w:r>
        <w:rPr>
          <w:rFonts w:hint="eastAsia"/>
          <w:b w:val="0"/>
        </w:rPr>
        <w:t>绩效评价体系</w:t>
      </w:r>
    </w:p>
    <w:p>
      <w:pPr>
        <w:pageBreakBefore w:val="0"/>
        <w:widowControl w:val="0"/>
        <w:kinsoku/>
        <w:wordWrap/>
        <w:overflowPunct/>
        <w:topLinePunct w:val="0"/>
        <w:autoSpaceDE/>
        <w:autoSpaceDN/>
        <w:bidi w:val="0"/>
        <w:adjustRightInd/>
        <w:snapToGrid/>
        <w:spacing w:line="560" w:lineRule="exact"/>
        <w:ind w:left="0" w:firstLine="643" w:firstLine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rPr>
        <w:t>（四）本项目绩效评价体系</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遵循“科学性、规范性、客观性和公正性”的绩效评价原则,根据财政部制定的《项目支出绩效评价共性指标体系框架》,结合</w:t>
      </w:r>
      <w:r>
        <w:rPr>
          <w:rFonts w:hint="eastAsia" w:ascii="仿宋_GB2312" w:hAnsi="仿宋" w:eastAsia="仿宋_GB2312"/>
          <w:sz w:val="32"/>
          <w:szCs w:val="32"/>
        </w:rPr>
        <w:t>村容村貌资金项目</w:t>
      </w:r>
      <w:r>
        <w:rPr>
          <w:rFonts w:hint="eastAsia" w:ascii="仿宋_GB2312" w:hAnsi="仿宋" w:eastAsia="仿宋_GB2312" w:cs="宋体"/>
          <w:sz w:val="32"/>
          <w:szCs w:val="32"/>
        </w:rPr>
        <w:t>特性、叶城县</w:t>
      </w:r>
      <w:r>
        <w:rPr>
          <w:rFonts w:hint="eastAsia" w:ascii="仿宋_GB2312" w:hAnsi="仿宋" w:eastAsia="仿宋_GB2312" w:cs="宋体"/>
          <w:sz w:val="32"/>
          <w:szCs w:val="32"/>
          <w:lang w:eastAsia="zh-CN"/>
        </w:rPr>
        <w:t>棋盘乡</w:t>
      </w:r>
      <w:r>
        <w:rPr>
          <w:rFonts w:hint="eastAsia" w:ascii="仿宋_GB2312" w:hAnsi="仿宋" w:eastAsia="仿宋_GB2312" w:cs="宋体"/>
          <w:sz w:val="32"/>
          <w:szCs w:val="32"/>
        </w:rPr>
        <w:t>人民政府实际情况,本项目按照财预﹝2020﹞10号文件制定评价指标体系。</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我单位选取共性指标：决策中一级指标1个，二级指标3个，三级指标3个，分别是绩效目标合理性、绩效指标明确性及资金分配合理性。</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过程中一级指标1个，二级指标3个，三级指标4个，分别是资金到位率、预算执行率，资金使用合规性及管理制度健全性。</w:t>
      </w:r>
    </w:p>
    <w:p>
      <w:pPr>
        <w:pStyle w:val="26"/>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200"/>
        <w:textAlignment w:val="auto"/>
      </w:pPr>
      <w:bookmarkStart w:id="6" w:name="_Toc26401555"/>
      <w:r>
        <w:rPr>
          <w:rFonts w:hint="eastAsia"/>
          <w:lang w:eastAsia="zh-CN"/>
        </w:rPr>
        <w:t>（</w:t>
      </w:r>
      <w:r>
        <w:rPr>
          <w:rFonts w:hint="eastAsia"/>
          <w:lang w:val="en-US" w:eastAsia="zh-CN"/>
        </w:rPr>
        <w:t>五</w:t>
      </w:r>
      <w:r>
        <w:rPr>
          <w:rFonts w:hint="eastAsia"/>
          <w:lang w:eastAsia="zh-CN"/>
        </w:rPr>
        <w:t>）</w:t>
      </w:r>
      <w:r>
        <w:rPr>
          <w:rFonts w:hint="eastAsia"/>
        </w:rPr>
        <w:t>绩效评价方法</w:t>
      </w:r>
      <w:bookmarkEnd w:id="6"/>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本次绩效评价方法的选用坚持简便有效的原则采用问卷调查法。</w:t>
      </w:r>
      <w:r>
        <w:rPr>
          <w:rFonts w:ascii="仿宋_GB2312" w:hAnsi="仿宋" w:eastAsia="仿宋_GB2312" w:cs="宋体"/>
          <w:sz w:val="32"/>
          <w:szCs w:val="32"/>
        </w:rPr>
        <w:t>问卷调查法:村级设计村容村貌项目带来的效益相关问卷，发放至每户村民手中，全村进行评价，收集并分析，对提出的问题进行重新改进，对好的方面继续加强，并将问卷评价进行公示，增加群众知晓率，全村团结一心，共同建设美丽乡村。</w:t>
      </w:r>
    </w:p>
    <w:p>
      <w:pPr>
        <w:pStyle w:val="26"/>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200"/>
        <w:textAlignment w:val="auto"/>
      </w:pPr>
      <w:r>
        <w:rPr>
          <w:rFonts w:hint="eastAsia"/>
          <w:lang w:eastAsia="zh-CN"/>
        </w:rPr>
        <w:t>（</w:t>
      </w:r>
      <w:r>
        <w:rPr>
          <w:rFonts w:hint="eastAsia"/>
          <w:lang w:val="en-US" w:eastAsia="zh-CN"/>
        </w:rPr>
        <w:t>六</w:t>
      </w:r>
      <w:r>
        <w:rPr>
          <w:rFonts w:hint="eastAsia"/>
          <w:lang w:eastAsia="zh-CN"/>
        </w:rPr>
        <w:t>）</w:t>
      </w:r>
      <w:r>
        <w:rPr>
          <w:rFonts w:hint="eastAsia"/>
        </w:rPr>
        <w:t>评价标准</w:t>
      </w:r>
    </w:p>
    <w:p>
      <w:pPr>
        <w:pStyle w:val="26"/>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firstLine="640" w:firstLineChars="200"/>
        <w:textAlignment w:val="auto"/>
        <w:rPr>
          <w:b w:val="0"/>
        </w:rPr>
      </w:pPr>
      <w:r>
        <w:rPr>
          <w:rFonts w:hint="eastAsia" w:hAnsiTheme="minorHAnsi" w:cstheme="minorBidi"/>
          <w:b w:val="0"/>
          <w:bCs w:val="0"/>
        </w:rPr>
        <w:t>项目评价标准采用计划标准</w:t>
      </w:r>
      <w:r>
        <w:rPr>
          <w:rFonts w:hint="eastAsia" w:hAnsiTheme="minorHAnsi" w:cstheme="minorBidi"/>
          <w:b w:val="0"/>
          <w:bCs w:val="0"/>
          <w:lang w:eastAsia="zh-CN"/>
        </w:rPr>
        <w:t>，</w:t>
      </w:r>
      <w:r>
        <w:rPr>
          <w:rFonts w:hint="eastAsia" w:hAnsiTheme="minorHAnsi" w:cstheme="minorBidi"/>
          <w:b w:val="0"/>
          <w:bCs w:val="0"/>
        </w:rPr>
        <w:t>是否提升了群众的出行不易难问题，是否明显改善其生活环境问题，是否保障当地农民就业难问题，社会服务能力提升有效提升为绩效主要评价标准。</w:t>
      </w:r>
    </w:p>
    <w:p>
      <w:pPr>
        <w:pStyle w:val="26"/>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200"/>
        <w:textAlignment w:val="auto"/>
      </w:pPr>
      <w:r>
        <w:rPr>
          <w:rFonts w:hint="eastAsia"/>
          <w:lang w:eastAsia="zh-CN"/>
        </w:rPr>
        <w:t>（</w:t>
      </w:r>
      <w:r>
        <w:rPr>
          <w:rFonts w:hint="eastAsia"/>
          <w:lang w:val="en-US" w:eastAsia="zh-CN"/>
        </w:rPr>
        <w:t>七</w:t>
      </w:r>
      <w:r>
        <w:rPr>
          <w:rFonts w:hint="eastAsia"/>
          <w:lang w:eastAsia="zh-CN"/>
        </w:rPr>
        <w:t>）</w:t>
      </w:r>
      <w:r>
        <w:rPr>
          <w:rFonts w:hint="eastAsia"/>
        </w:rPr>
        <w:t>绩效评价工作过程</w:t>
      </w:r>
    </w:p>
    <w:p>
      <w:pPr>
        <w:pStyle w:val="26"/>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firstLine="640" w:firstLineChars="200"/>
        <w:textAlignment w:val="auto"/>
        <w:outlineLvl w:val="9"/>
        <w:rPr>
          <w:b w:val="0"/>
          <w:bCs w:val="0"/>
        </w:rPr>
      </w:pPr>
      <w:r>
        <w:rPr>
          <w:rFonts w:hint="eastAsia"/>
          <w:b w:val="0"/>
          <w:bCs w:val="0"/>
        </w:rPr>
        <w:t>本次评价成立了评价工作组，成员如下：</w:t>
      </w:r>
    </w:p>
    <w:tbl>
      <w:tblPr>
        <w:tblStyle w:val="14"/>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6"/>
              <w:keepNext w:val="0"/>
              <w:keepLines w:val="0"/>
              <w:numPr>
                <w:ilvl w:val="0"/>
                <w:numId w:val="0"/>
              </w:numPr>
              <w:spacing w:line="240" w:lineRule="atLeast"/>
              <w:jc w:val="center"/>
              <w:rPr>
                <w:b w:val="0"/>
                <w:bCs w:val="0"/>
              </w:rPr>
            </w:pPr>
            <w:r>
              <w:rPr>
                <w:rFonts w:hint="eastAsia"/>
                <w:b w:val="0"/>
                <w:bCs w:val="0"/>
              </w:rPr>
              <w:t>评价人</w:t>
            </w:r>
          </w:p>
        </w:tc>
        <w:tc>
          <w:tcPr>
            <w:tcW w:w="2765" w:type="dxa"/>
            <w:vAlign w:val="center"/>
          </w:tcPr>
          <w:p>
            <w:pPr>
              <w:pStyle w:val="26"/>
              <w:keepNext w:val="0"/>
              <w:keepLines w:val="0"/>
              <w:numPr>
                <w:ilvl w:val="0"/>
                <w:numId w:val="0"/>
              </w:numPr>
              <w:spacing w:line="240" w:lineRule="atLeast"/>
              <w:jc w:val="center"/>
              <w:rPr>
                <w:b w:val="0"/>
                <w:bCs w:val="0"/>
              </w:rPr>
            </w:pPr>
            <w:r>
              <w:rPr>
                <w:rFonts w:hint="eastAsia"/>
                <w:b w:val="0"/>
                <w:bCs w:val="0"/>
              </w:rPr>
              <w:t>职责</w:t>
            </w:r>
          </w:p>
        </w:tc>
        <w:tc>
          <w:tcPr>
            <w:tcW w:w="2766" w:type="dxa"/>
            <w:vAlign w:val="center"/>
          </w:tcPr>
          <w:p>
            <w:pPr>
              <w:pStyle w:val="26"/>
              <w:keepNext w:val="0"/>
              <w:keepLines w:val="0"/>
              <w:numPr>
                <w:ilvl w:val="0"/>
                <w:numId w:val="0"/>
              </w:numPr>
              <w:spacing w:line="240" w:lineRule="atLeast"/>
              <w:jc w:val="center"/>
              <w:rPr>
                <w:b w:val="0"/>
                <w:bCs w:val="0"/>
              </w:rPr>
            </w:pPr>
            <w:r>
              <w:rPr>
                <w:rFonts w:hint="eastAsia"/>
                <w:b w:val="0"/>
                <w:bCs w:val="0"/>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6"/>
              <w:keepNext w:val="0"/>
              <w:keepLines w:val="0"/>
              <w:numPr>
                <w:ilvl w:val="0"/>
                <w:numId w:val="0"/>
              </w:numPr>
              <w:spacing w:line="240" w:lineRule="atLeast"/>
              <w:jc w:val="center"/>
              <w:rPr>
                <w:rFonts w:hint="eastAsia" w:eastAsia="仿宋_GB2312"/>
                <w:b w:val="0"/>
                <w:bCs w:val="0"/>
                <w:lang w:eastAsia="zh-CN"/>
              </w:rPr>
            </w:pPr>
            <w:r>
              <w:rPr>
                <w:rFonts w:hint="eastAsia"/>
                <w:b w:val="0"/>
                <w:bCs w:val="0"/>
                <w:lang w:eastAsia="zh-CN"/>
              </w:rPr>
              <w:t>李智</w:t>
            </w:r>
          </w:p>
        </w:tc>
        <w:tc>
          <w:tcPr>
            <w:tcW w:w="2765" w:type="dxa"/>
            <w:vAlign w:val="center"/>
          </w:tcPr>
          <w:p>
            <w:pPr>
              <w:pStyle w:val="26"/>
              <w:keepNext w:val="0"/>
              <w:keepLines w:val="0"/>
              <w:numPr>
                <w:ilvl w:val="0"/>
                <w:numId w:val="0"/>
              </w:numPr>
              <w:spacing w:line="240" w:lineRule="atLeast"/>
              <w:jc w:val="center"/>
              <w:rPr>
                <w:b w:val="0"/>
                <w:bCs w:val="0"/>
              </w:rPr>
            </w:pPr>
            <w:r>
              <w:rPr>
                <w:rFonts w:hint="eastAsia"/>
                <w:b w:val="0"/>
                <w:bCs w:val="0"/>
              </w:rPr>
              <w:t>评价组组长</w:t>
            </w:r>
          </w:p>
        </w:tc>
        <w:tc>
          <w:tcPr>
            <w:tcW w:w="2766" w:type="dxa"/>
            <w:vAlign w:val="center"/>
          </w:tcPr>
          <w:p>
            <w:pPr>
              <w:pStyle w:val="26"/>
              <w:keepNext w:val="0"/>
              <w:keepLines w:val="0"/>
              <w:numPr>
                <w:ilvl w:val="0"/>
                <w:numId w:val="0"/>
              </w:numPr>
              <w:spacing w:line="240" w:lineRule="atLeast"/>
              <w:jc w:val="center"/>
              <w:rPr>
                <w:b w:val="0"/>
                <w:bCs w:val="0"/>
              </w:rPr>
            </w:pPr>
            <w:r>
              <w:rPr>
                <w:b w:val="0"/>
                <w:bCs w:val="0"/>
              </w:rPr>
              <w:t>副书记、常务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6"/>
              <w:keepNext w:val="0"/>
              <w:keepLines w:val="0"/>
              <w:numPr>
                <w:ilvl w:val="0"/>
                <w:numId w:val="0"/>
              </w:numPr>
              <w:spacing w:line="240" w:lineRule="atLeast"/>
              <w:jc w:val="center"/>
              <w:rPr>
                <w:rFonts w:hint="eastAsia" w:eastAsia="仿宋_GB2312"/>
                <w:b w:val="0"/>
                <w:bCs w:val="0"/>
                <w:lang w:eastAsia="zh-CN"/>
              </w:rPr>
            </w:pPr>
            <w:r>
              <w:rPr>
                <w:rFonts w:hint="eastAsia"/>
                <w:b w:val="0"/>
                <w:bCs w:val="0"/>
                <w:lang w:eastAsia="zh-CN"/>
              </w:rPr>
              <w:t>朱涵</w:t>
            </w:r>
          </w:p>
        </w:tc>
        <w:tc>
          <w:tcPr>
            <w:tcW w:w="2765" w:type="dxa"/>
            <w:vAlign w:val="center"/>
          </w:tcPr>
          <w:p>
            <w:pPr>
              <w:pStyle w:val="26"/>
              <w:keepNext w:val="0"/>
              <w:keepLines w:val="0"/>
              <w:numPr>
                <w:ilvl w:val="0"/>
                <w:numId w:val="0"/>
              </w:numPr>
              <w:spacing w:line="240" w:lineRule="atLeast"/>
              <w:jc w:val="center"/>
              <w:rPr>
                <w:b w:val="0"/>
                <w:bCs w:val="0"/>
              </w:rPr>
            </w:pPr>
            <w:r>
              <w:rPr>
                <w:rFonts w:hint="eastAsia"/>
                <w:b w:val="0"/>
                <w:bCs w:val="0"/>
              </w:rPr>
              <w:t>评价组成员</w:t>
            </w:r>
          </w:p>
        </w:tc>
        <w:tc>
          <w:tcPr>
            <w:tcW w:w="2766" w:type="dxa"/>
            <w:vAlign w:val="center"/>
          </w:tcPr>
          <w:p>
            <w:pPr>
              <w:pStyle w:val="26"/>
              <w:keepNext w:val="0"/>
              <w:keepLines w:val="0"/>
              <w:numPr>
                <w:ilvl w:val="0"/>
                <w:numId w:val="0"/>
              </w:numPr>
              <w:spacing w:line="240" w:lineRule="atLeast"/>
              <w:jc w:val="center"/>
              <w:rPr>
                <w:rFonts w:hint="eastAsia" w:eastAsia="仿宋_GB2312"/>
                <w:b w:val="0"/>
                <w:bCs w:val="0"/>
                <w:lang w:eastAsia="zh-CN"/>
              </w:rPr>
            </w:pPr>
            <w:r>
              <w:rPr>
                <w:rFonts w:hint="eastAsia"/>
                <w:b w:val="0"/>
                <w:bCs w:val="0"/>
                <w:lang w:eastAsia="zh-CN"/>
              </w:rPr>
              <w:t>项目管理人员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6"/>
              <w:keepNext w:val="0"/>
              <w:keepLines w:val="0"/>
              <w:numPr>
                <w:ilvl w:val="0"/>
                <w:numId w:val="0"/>
              </w:numPr>
              <w:spacing w:line="240" w:lineRule="atLeast"/>
              <w:jc w:val="center"/>
              <w:rPr>
                <w:rFonts w:hint="eastAsia" w:eastAsia="仿宋_GB2312"/>
                <w:b w:val="0"/>
                <w:bCs w:val="0"/>
                <w:lang w:val="en-US" w:eastAsia="zh-CN"/>
              </w:rPr>
            </w:pPr>
            <w:r>
              <w:rPr>
                <w:rFonts w:hint="eastAsia"/>
                <w:b w:val="0"/>
                <w:bCs w:val="0"/>
                <w:lang w:val="en-US" w:eastAsia="zh-CN"/>
              </w:rPr>
              <w:t>阿布都克依木</w:t>
            </w:r>
          </w:p>
        </w:tc>
        <w:tc>
          <w:tcPr>
            <w:tcW w:w="2765" w:type="dxa"/>
            <w:vAlign w:val="center"/>
          </w:tcPr>
          <w:p>
            <w:pPr>
              <w:pStyle w:val="26"/>
              <w:keepNext w:val="0"/>
              <w:keepLines w:val="0"/>
              <w:numPr>
                <w:ilvl w:val="0"/>
                <w:numId w:val="0"/>
              </w:numPr>
              <w:spacing w:line="240" w:lineRule="atLeast"/>
              <w:jc w:val="center"/>
              <w:rPr>
                <w:b w:val="0"/>
                <w:bCs w:val="0"/>
              </w:rPr>
            </w:pPr>
            <w:r>
              <w:rPr>
                <w:rFonts w:hint="eastAsia"/>
                <w:b w:val="0"/>
                <w:bCs w:val="0"/>
              </w:rPr>
              <w:t>评价组成员</w:t>
            </w:r>
          </w:p>
        </w:tc>
        <w:tc>
          <w:tcPr>
            <w:tcW w:w="2766" w:type="dxa"/>
            <w:vAlign w:val="center"/>
          </w:tcPr>
          <w:p>
            <w:pPr>
              <w:pStyle w:val="26"/>
              <w:keepNext w:val="0"/>
              <w:keepLines w:val="0"/>
              <w:numPr>
                <w:ilvl w:val="0"/>
                <w:numId w:val="0"/>
              </w:numPr>
              <w:spacing w:line="240" w:lineRule="atLeast"/>
              <w:jc w:val="center"/>
              <w:rPr>
                <w:b w:val="0"/>
                <w:bCs w:val="0"/>
              </w:rPr>
            </w:pPr>
            <w:r>
              <w:rPr>
                <w:b w:val="0"/>
                <w:bCs w:val="0"/>
              </w:rPr>
              <w:t>项目管理人员</w:t>
            </w:r>
          </w:p>
        </w:tc>
      </w:tr>
    </w:tbl>
    <w:p>
      <w:pPr>
        <w:pStyle w:val="26"/>
        <w:keepNext w:val="0"/>
        <w:keepLines w:val="0"/>
        <w:pageBreakBefore w:val="0"/>
        <w:widowControl w:val="0"/>
        <w:numPr>
          <w:ilvl w:val="0"/>
          <w:numId w:val="0"/>
        </w:numPr>
        <w:kinsoku/>
        <w:wordWrap/>
        <w:overflowPunct/>
        <w:topLinePunct w:val="0"/>
        <w:autoSpaceDE/>
        <w:autoSpaceDN/>
        <w:bidi w:val="0"/>
        <w:spacing w:before="0" w:after="0" w:line="560" w:lineRule="exact"/>
        <w:ind w:left="0" w:leftChars="0" w:firstLine="640" w:firstLineChars="200"/>
        <w:textAlignment w:val="auto"/>
        <w:outlineLvl w:val="9"/>
        <w:rPr>
          <w:b w:val="0"/>
          <w:bCs w:val="0"/>
        </w:rPr>
      </w:pPr>
      <w:r>
        <w:rPr>
          <w:rFonts w:hint="eastAsia"/>
          <w:b w:val="0"/>
          <w:bCs w:val="0"/>
        </w:rPr>
        <w:t>本次评价设计了评价方案、评价指标体系，通过资料分析、调研、访谈满意度调查等方式形成评价结论，在与项目单位沟通后确定评价意见，并出具评价报告。　</w:t>
      </w:r>
    </w:p>
    <w:p>
      <w:pPr>
        <w:pageBreakBefore w:val="0"/>
        <w:widowControl w:val="0"/>
        <w:numPr>
          <w:ilvl w:val="0"/>
          <w:numId w:val="0"/>
        </w:numPr>
        <w:kinsoku/>
        <w:wordWrap/>
        <w:overflowPunct/>
        <w:topLinePunct w:val="0"/>
        <w:autoSpaceDE/>
        <w:autoSpaceDN/>
        <w:bidi w:val="0"/>
        <w:spacing w:line="560" w:lineRule="exact"/>
        <w:ind w:leftChars="0" w:firstLine="640" w:firstLineChars="200"/>
        <w:textAlignment w:val="auto"/>
        <w:rPr>
          <w:rFonts w:ascii="仿宋_GB2312" w:hAnsi="仿宋" w:eastAsia="仿宋_GB2312" w:cs="宋体"/>
          <w:b w:val="0"/>
          <w:bCs w:val="0"/>
          <w:sz w:val="32"/>
          <w:szCs w:val="32"/>
        </w:rPr>
      </w:pPr>
      <w:r>
        <w:rPr>
          <w:rFonts w:hint="eastAsia" w:ascii="仿宋_GB2312" w:hAnsi="仿宋" w:eastAsia="仿宋_GB2312" w:cs="宋体"/>
          <w:b w:val="0"/>
          <w:bCs w:val="0"/>
          <w:sz w:val="32"/>
          <w:szCs w:val="32"/>
          <w:lang w:val="en-US" w:eastAsia="zh-CN"/>
        </w:rPr>
        <w:t>1.</w:t>
      </w:r>
      <w:r>
        <w:rPr>
          <w:rFonts w:hint="eastAsia" w:ascii="仿宋_GB2312" w:hAnsi="仿宋" w:eastAsia="仿宋_GB2312" w:cs="宋体"/>
          <w:b w:val="0"/>
          <w:bCs w:val="0"/>
          <w:sz w:val="32"/>
          <w:szCs w:val="32"/>
        </w:rPr>
        <w:t>数据采集方法及过程</w:t>
      </w:r>
    </w:p>
    <w:p>
      <w:pPr>
        <w:pageBreakBefore w:val="0"/>
        <w:widowControl w:val="0"/>
        <w:kinsoku/>
        <w:wordWrap/>
        <w:overflowPunct/>
        <w:topLinePunct w:val="0"/>
        <w:autoSpaceDE/>
        <w:autoSpaceDN/>
        <w:bidi w:val="0"/>
        <w:spacing w:line="560" w:lineRule="exact"/>
        <w:ind w:left="0" w:leftChars="0" w:firstLine="640" w:firstLineChars="200"/>
        <w:textAlignment w:val="auto"/>
        <w:rPr>
          <w:rFonts w:ascii="仿宋_GB2312" w:eastAsia="仿宋_GB2312" w:cs="Times New Roman" w:hAnsiTheme="majorHAnsi"/>
          <w:sz w:val="32"/>
          <w:szCs w:val="32"/>
        </w:rPr>
      </w:pPr>
      <w:r>
        <w:rPr>
          <w:rFonts w:ascii="仿宋_GB2312" w:eastAsia="仿宋_GB2312" w:cs="Times New Roman" w:hAnsiTheme="majorHAnsi"/>
          <w:sz w:val="32"/>
          <w:szCs w:val="32"/>
        </w:rPr>
        <w:t>本次绩效评价数据包括定性和定量两种数据,定性数据主要通过实地考察,问卷调研等社会调查的方式来采集。</w:t>
      </w:r>
    </w:p>
    <w:p>
      <w:pPr>
        <w:pageBreakBefore w:val="0"/>
        <w:widowControl w:val="0"/>
        <w:kinsoku/>
        <w:wordWrap/>
        <w:overflowPunct/>
        <w:topLinePunct w:val="0"/>
        <w:autoSpaceDE/>
        <w:autoSpaceDN/>
        <w:bidi w:val="0"/>
        <w:spacing w:line="560" w:lineRule="exact"/>
        <w:ind w:left="0" w:leftChars="0" w:firstLine="640" w:firstLineChars="200"/>
        <w:textAlignment w:val="auto"/>
        <w:rPr>
          <w:rFonts w:ascii="仿宋_GB2312" w:eastAsia="仿宋_GB2312" w:cs="Times New Roman" w:hAnsiTheme="majorHAnsi"/>
          <w:sz w:val="32"/>
          <w:szCs w:val="32"/>
        </w:rPr>
      </w:pPr>
      <w:r>
        <w:rPr>
          <w:rFonts w:ascii="仿宋_GB2312" w:eastAsia="仿宋_GB2312" w:cs="Times New Roman" w:hAnsiTheme="majorHAnsi"/>
          <w:sz w:val="32"/>
          <w:szCs w:val="32"/>
        </w:rPr>
        <w:t>定量数据的采集主要通过被评价单位填报数据和实地采集数据相结合的方式,形成数据采集两条线,有效保证数据的真实性和可靠性,此外,我们会对所有数据进行全面审核和复核,并对重要数据进行实地采集。</w:t>
      </w:r>
    </w:p>
    <w:p>
      <w:pPr>
        <w:pageBreakBefore w:val="0"/>
        <w:widowControl w:val="0"/>
        <w:numPr>
          <w:ilvl w:val="0"/>
          <w:numId w:val="0"/>
        </w:numPr>
        <w:kinsoku/>
        <w:wordWrap/>
        <w:overflowPunct/>
        <w:topLinePunct w:val="0"/>
        <w:autoSpaceDE/>
        <w:autoSpaceDN/>
        <w:bidi w:val="0"/>
        <w:spacing w:line="560" w:lineRule="exact"/>
        <w:ind w:leftChars="0" w:firstLine="640" w:firstLineChars="200"/>
        <w:textAlignment w:val="auto"/>
        <w:rPr>
          <w:rFonts w:ascii="仿宋_GB2312" w:hAnsi="仿宋" w:eastAsia="仿宋_GB2312" w:cs="宋体"/>
          <w:b w:val="0"/>
          <w:bCs w:val="0"/>
          <w:sz w:val="32"/>
          <w:szCs w:val="32"/>
        </w:rPr>
      </w:pPr>
      <w:r>
        <w:rPr>
          <w:rFonts w:hint="eastAsia" w:ascii="仿宋_GB2312" w:hAnsi="仿宋" w:eastAsia="仿宋_GB2312" w:cs="宋体"/>
          <w:b w:val="0"/>
          <w:bCs w:val="0"/>
          <w:sz w:val="32"/>
          <w:szCs w:val="32"/>
          <w:lang w:val="en-US" w:eastAsia="zh-CN"/>
        </w:rPr>
        <w:t>2.</w:t>
      </w:r>
      <w:r>
        <w:rPr>
          <w:rFonts w:hint="eastAsia" w:ascii="仿宋_GB2312" w:hAnsi="仿宋" w:eastAsia="仿宋_GB2312" w:cs="宋体"/>
          <w:b w:val="0"/>
          <w:bCs w:val="0"/>
          <w:sz w:val="32"/>
          <w:szCs w:val="32"/>
        </w:rPr>
        <w:t>绩效评价实施过程</w:t>
      </w:r>
    </w:p>
    <w:p>
      <w:pPr>
        <w:pageBreakBefore w:val="0"/>
        <w:widowControl w:val="0"/>
        <w:kinsoku/>
        <w:wordWrap/>
        <w:overflowPunct/>
        <w:topLinePunct w:val="0"/>
        <w:autoSpaceDE/>
        <w:autoSpaceDN/>
        <w:bidi w:val="0"/>
        <w:spacing w:line="560" w:lineRule="exact"/>
        <w:ind w:left="0" w:leftChars="0" w:firstLine="643" w:firstLineChars="200"/>
        <w:textAlignment w:val="auto"/>
        <w:rPr>
          <w:rFonts w:ascii="仿宋_GB2312" w:eastAsia="仿宋_GB2312" w:cs="Times New Roman" w:hAnsiTheme="majorHAnsi"/>
          <w:sz w:val="32"/>
          <w:szCs w:val="32"/>
        </w:rPr>
      </w:pPr>
      <w:r>
        <w:rPr>
          <w:rFonts w:hint="eastAsia" w:ascii="仿宋_GB2312" w:hAnsi="仿宋" w:eastAsia="仿宋_GB2312" w:cs="宋体"/>
          <w:b/>
          <w:bCs/>
          <w:sz w:val="32"/>
          <w:szCs w:val="32"/>
        </w:rPr>
        <w:t xml:space="preserve"> </w:t>
      </w:r>
      <w:r>
        <w:rPr>
          <w:rFonts w:hint="eastAsia" w:ascii="仿宋_GB2312" w:eastAsia="仿宋_GB2312" w:cs="Times New Roman" w:hAnsiTheme="majorHAnsi"/>
          <w:sz w:val="32"/>
          <w:szCs w:val="32"/>
        </w:rPr>
        <w:t>项目组在前期调研的基础上,完成了项目绩效评价工作方案,明确了评价的目的、方法、指标体系、评价标准、合规性检查方案、访谈方案等。在此之后,项目组严格按照工作方案,经过了数据采集、问卷调查、访谈、数据分析和报告撰写等环节,顺利完成了绩效评价工作。</w:t>
      </w:r>
    </w:p>
    <w:p>
      <w:pPr>
        <w:pageBreakBefore w:val="0"/>
        <w:widowControl w:val="0"/>
        <w:numPr>
          <w:ilvl w:val="0"/>
          <w:numId w:val="0"/>
        </w:numPr>
        <w:kinsoku/>
        <w:wordWrap/>
        <w:overflowPunct/>
        <w:topLinePunct w:val="0"/>
        <w:autoSpaceDE/>
        <w:autoSpaceDN/>
        <w:bidi w:val="0"/>
        <w:spacing w:line="560" w:lineRule="exact"/>
        <w:ind w:leftChars="0" w:firstLine="643" w:firstLine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lang w:val="en-US" w:eastAsia="zh-CN"/>
        </w:rPr>
        <w:t>（1）</w:t>
      </w:r>
      <w:r>
        <w:rPr>
          <w:rFonts w:hint="eastAsia" w:ascii="仿宋_GB2312" w:hAnsi="仿宋" w:eastAsia="仿宋_GB2312" w:cs="宋体"/>
          <w:b/>
          <w:bCs/>
          <w:sz w:val="32"/>
          <w:szCs w:val="32"/>
        </w:rPr>
        <w:t>问卷调查</w:t>
      </w:r>
    </w:p>
    <w:p>
      <w:pPr>
        <w:pageBreakBefore w:val="0"/>
        <w:widowControl w:val="0"/>
        <w:kinsoku/>
        <w:wordWrap/>
        <w:overflowPunct/>
        <w:topLinePunct w:val="0"/>
        <w:autoSpaceDE/>
        <w:autoSpaceDN/>
        <w:bidi w:val="0"/>
        <w:spacing w:line="560" w:lineRule="exact"/>
        <w:ind w:left="0" w:leftChars="0" w:firstLine="640" w:firstLineChars="200"/>
        <w:textAlignment w:val="auto"/>
        <w:rPr>
          <w:rFonts w:ascii="仿宋_GB2312" w:eastAsia="仿宋_GB2312" w:cs="Times New Roman" w:hAnsiTheme="majorHAnsi"/>
          <w:sz w:val="32"/>
          <w:szCs w:val="32"/>
        </w:rPr>
      </w:pPr>
      <w:r>
        <w:rPr>
          <w:rFonts w:ascii="仿宋_GB2312" w:eastAsia="仿宋_GB2312" w:cs="Times New Roman" w:hAnsiTheme="majorHAnsi"/>
          <w:sz w:val="32"/>
          <w:szCs w:val="32"/>
        </w:rPr>
        <w:t>201</w:t>
      </w:r>
      <w:r>
        <w:rPr>
          <w:rFonts w:hint="eastAsia" w:ascii="仿宋_GB2312" w:eastAsia="仿宋_GB2312" w:cs="Times New Roman" w:hAnsiTheme="majorHAnsi"/>
          <w:sz w:val="32"/>
          <w:szCs w:val="32"/>
        </w:rPr>
        <w:t>9</w:t>
      </w:r>
      <w:r>
        <w:rPr>
          <w:rFonts w:ascii="仿宋_GB2312" w:eastAsia="仿宋_GB2312" w:cs="Times New Roman" w:hAnsiTheme="majorHAnsi"/>
          <w:sz w:val="32"/>
          <w:szCs w:val="32"/>
        </w:rPr>
        <w:t>年</w:t>
      </w:r>
      <w:r>
        <w:rPr>
          <w:rFonts w:hint="eastAsia" w:ascii="仿宋_GB2312" w:eastAsia="仿宋_GB2312" w:cs="Times New Roman" w:hAnsiTheme="majorHAnsi"/>
          <w:sz w:val="32"/>
          <w:szCs w:val="32"/>
        </w:rPr>
        <w:t>4</w:t>
      </w:r>
      <w:r>
        <w:rPr>
          <w:rFonts w:ascii="仿宋_GB2312" w:eastAsia="仿宋_GB2312" w:cs="Times New Roman" w:hAnsiTheme="majorHAnsi"/>
          <w:sz w:val="32"/>
          <w:szCs w:val="32"/>
        </w:rPr>
        <w:t>月</w:t>
      </w:r>
      <w:r>
        <w:rPr>
          <w:rFonts w:hint="eastAsia" w:ascii="仿宋_GB2312" w:eastAsia="仿宋_GB2312" w:cs="Times New Roman" w:hAnsiTheme="majorHAnsi"/>
          <w:sz w:val="32"/>
          <w:szCs w:val="32"/>
        </w:rPr>
        <w:t>1</w:t>
      </w:r>
      <w:r>
        <w:rPr>
          <w:rFonts w:ascii="仿宋_GB2312" w:eastAsia="仿宋_GB2312" w:cs="Times New Roman" w:hAnsiTheme="majorHAnsi"/>
          <w:sz w:val="32"/>
          <w:szCs w:val="32"/>
        </w:rPr>
        <w:t>日-201</w:t>
      </w:r>
      <w:r>
        <w:rPr>
          <w:rFonts w:hint="eastAsia" w:ascii="仿宋_GB2312" w:eastAsia="仿宋_GB2312" w:cs="Times New Roman" w:hAnsiTheme="majorHAnsi"/>
          <w:sz w:val="32"/>
          <w:szCs w:val="32"/>
        </w:rPr>
        <w:t>9</w:t>
      </w:r>
      <w:r>
        <w:rPr>
          <w:rFonts w:ascii="仿宋_GB2312" w:eastAsia="仿宋_GB2312" w:cs="Times New Roman" w:hAnsiTheme="majorHAnsi"/>
          <w:sz w:val="32"/>
          <w:szCs w:val="32"/>
        </w:rPr>
        <w:t>年</w:t>
      </w:r>
      <w:r>
        <w:rPr>
          <w:rFonts w:hint="eastAsia" w:ascii="仿宋_GB2312" w:eastAsia="仿宋_GB2312" w:cs="Times New Roman" w:hAnsiTheme="majorHAnsi"/>
          <w:sz w:val="32"/>
          <w:szCs w:val="32"/>
        </w:rPr>
        <w:t>4</w:t>
      </w:r>
      <w:r>
        <w:rPr>
          <w:rFonts w:ascii="仿宋_GB2312" w:eastAsia="仿宋_GB2312" w:cs="Times New Roman" w:hAnsiTheme="majorHAnsi"/>
          <w:sz w:val="32"/>
          <w:szCs w:val="32"/>
        </w:rPr>
        <w:t>月</w:t>
      </w:r>
      <w:r>
        <w:rPr>
          <w:rFonts w:hint="eastAsia" w:ascii="仿宋_GB2312" w:eastAsia="仿宋_GB2312" w:cs="Times New Roman" w:hAnsiTheme="majorHAnsi"/>
          <w:sz w:val="32"/>
          <w:szCs w:val="32"/>
        </w:rPr>
        <w:t>30</w:t>
      </w:r>
      <w:r>
        <w:rPr>
          <w:rFonts w:ascii="仿宋_GB2312" w:eastAsia="仿宋_GB2312" w:cs="Times New Roman" w:hAnsiTheme="majorHAnsi"/>
          <w:sz w:val="32"/>
          <w:szCs w:val="32"/>
        </w:rPr>
        <w:t>日,项目组对</w:t>
      </w:r>
      <w:r>
        <w:rPr>
          <w:rFonts w:hint="eastAsia" w:ascii="仿宋_GB2312" w:eastAsia="仿宋_GB2312" w:cs="Times New Roman" w:hAnsiTheme="majorHAnsi"/>
          <w:sz w:val="32"/>
          <w:szCs w:val="32"/>
        </w:rPr>
        <w:t>村容村貌资金项目</w:t>
      </w:r>
      <w:r>
        <w:rPr>
          <w:rFonts w:ascii="仿宋_GB2312" w:eastAsia="仿宋_GB2312" w:cs="Times New Roman" w:hAnsiTheme="majorHAnsi"/>
          <w:sz w:val="32"/>
          <w:szCs w:val="32"/>
        </w:rPr>
        <w:t>涉及受益村民进行问卷调查。向</w:t>
      </w:r>
      <w:r>
        <w:rPr>
          <w:rFonts w:hint="eastAsia" w:ascii="仿宋_GB2312" w:eastAsia="仿宋_GB2312" w:cs="Times New Roman" w:hAnsiTheme="majorHAnsi"/>
          <w:sz w:val="32"/>
          <w:szCs w:val="32"/>
          <w:lang w:val="en-US" w:eastAsia="zh-CN"/>
        </w:rPr>
        <w:t>7</w:t>
      </w:r>
      <w:r>
        <w:rPr>
          <w:rFonts w:ascii="仿宋_GB2312" w:eastAsia="仿宋_GB2312" w:cs="Times New Roman" w:hAnsiTheme="majorHAnsi"/>
          <w:sz w:val="32"/>
          <w:szCs w:val="32"/>
        </w:rPr>
        <w:t>个</w:t>
      </w:r>
      <w:r>
        <w:rPr>
          <w:rFonts w:hint="eastAsia" w:ascii="仿宋_GB2312" w:eastAsia="仿宋_GB2312" w:cs="Times New Roman" w:hAnsiTheme="majorHAnsi"/>
          <w:sz w:val="32"/>
          <w:szCs w:val="32"/>
          <w:lang w:val="en-US" w:eastAsia="zh-CN"/>
        </w:rPr>
        <w:t>村</w:t>
      </w:r>
      <w:r>
        <w:rPr>
          <w:rFonts w:ascii="仿宋_GB2312" w:eastAsia="仿宋_GB2312" w:cs="Times New Roman" w:hAnsiTheme="majorHAnsi"/>
          <w:sz w:val="32"/>
          <w:szCs w:val="32"/>
        </w:rPr>
        <w:t>共发放</w:t>
      </w:r>
      <w:r>
        <w:rPr>
          <w:rFonts w:hint="eastAsia" w:ascii="仿宋_GB2312" w:eastAsia="仿宋_GB2312" w:cs="Times New Roman" w:hAnsiTheme="majorHAnsi"/>
          <w:sz w:val="32"/>
          <w:szCs w:val="32"/>
          <w:lang w:val="en-US" w:eastAsia="zh-CN"/>
        </w:rPr>
        <w:t>700</w:t>
      </w:r>
      <w:r>
        <w:rPr>
          <w:rFonts w:ascii="仿宋_GB2312" w:eastAsia="仿宋_GB2312" w:cs="Times New Roman" w:hAnsiTheme="majorHAnsi"/>
          <w:sz w:val="32"/>
          <w:szCs w:val="32"/>
        </w:rPr>
        <w:t>份问卷,回收</w:t>
      </w:r>
      <w:r>
        <w:rPr>
          <w:rFonts w:hint="eastAsia" w:ascii="仿宋_GB2312" w:eastAsia="仿宋_GB2312" w:cs="Times New Roman" w:hAnsiTheme="majorHAnsi"/>
          <w:sz w:val="32"/>
          <w:szCs w:val="32"/>
          <w:lang w:val="en-US" w:eastAsia="zh-CN"/>
        </w:rPr>
        <w:t>590</w:t>
      </w:r>
      <w:r>
        <w:rPr>
          <w:rFonts w:ascii="仿宋_GB2312" w:eastAsia="仿宋_GB2312" w:cs="Times New Roman" w:hAnsiTheme="majorHAnsi"/>
          <w:sz w:val="32"/>
          <w:szCs w:val="32"/>
        </w:rPr>
        <w:t>份问卷,其中有效问卷为</w:t>
      </w:r>
      <w:r>
        <w:rPr>
          <w:rFonts w:hint="eastAsia" w:ascii="仿宋_GB2312" w:eastAsia="仿宋_GB2312" w:cs="Times New Roman" w:hAnsiTheme="majorHAnsi"/>
          <w:sz w:val="32"/>
          <w:szCs w:val="32"/>
          <w:lang w:val="en-US" w:eastAsia="zh-CN"/>
        </w:rPr>
        <w:t>530</w:t>
      </w:r>
      <w:r>
        <w:rPr>
          <w:rFonts w:ascii="仿宋_GB2312" w:eastAsia="仿宋_GB2312" w:cs="Times New Roman" w:hAnsiTheme="majorHAnsi"/>
          <w:sz w:val="32"/>
          <w:szCs w:val="32"/>
        </w:rPr>
        <w:t>份,有效问卷为</w:t>
      </w:r>
      <w:r>
        <w:rPr>
          <w:rFonts w:hint="eastAsia" w:ascii="仿宋_GB2312" w:eastAsia="仿宋_GB2312" w:cs="Times New Roman" w:hAnsiTheme="majorHAnsi"/>
          <w:sz w:val="32"/>
          <w:szCs w:val="32"/>
        </w:rPr>
        <w:t>7</w:t>
      </w:r>
      <w:r>
        <w:rPr>
          <w:rFonts w:hint="eastAsia" w:ascii="仿宋_GB2312" w:eastAsia="仿宋_GB2312" w:cs="Times New Roman" w:hAnsiTheme="majorHAnsi"/>
          <w:sz w:val="32"/>
          <w:szCs w:val="32"/>
          <w:lang w:val="en-US" w:eastAsia="zh-CN"/>
        </w:rPr>
        <w:t>5</w:t>
      </w:r>
      <w:r>
        <w:rPr>
          <w:rFonts w:ascii="仿宋_GB2312" w:eastAsia="仿宋_GB2312" w:cs="Times New Roman" w:hAnsiTheme="majorHAnsi"/>
          <w:sz w:val="32"/>
          <w:szCs w:val="32"/>
        </w:rPr>
        <w:t>%</w:t>
      </w:r>
      <w:r>
        <w:rPr>
          <w:rFonts w:hint="eastAsia" w:ascii="仿宋_GB2312" w:eastAsia="仿宋_GB2312" w:cs="Times New Roman" w:hAnsiTheme="majorHAnsi"/>
          <w:sz w:val="32"/>
          <w:szCs w:val="32"/>
        </w:rPr>
        <w:t>，再</w:t>
      </w:r>
      <w:r>
        <w:rPr>
          <w:rFonts w:ascii="仿宋_GB2312" w:eastAsia="仿宋_GB2312" w:cs="Times New Roman" w:hAnsiTheme="majorHAnsi"/>
          <w:sz w:val="32"/>
          <w:szCs w:val="32"/>
        </w:rPr>
        <w:t>通过问卷录入、分析、整理后,形成社会调查满意度报告</w:t>
      </w:r>
      <w:r>
        <w:rPr>
          <w:rFonts w:hint="eastAsia" w:ascii="仿宋_GB2312" w:eastAsia="仿宋_GB2312" w:cs="Times New Roman" w:hAnsiTheme="majorHAnsi"/>
          <w:sz w:val="32"/>
          <w:szCs w:val="32"/>
          <w:lang w:eastAsia="zh-CN"/>
        </w:rPr>
        <w:t>。</w:t>
      </w:r>
    </w:p>
    <w:p>
      <w:pPr>
        <w:pageBreakBefore w:val="0"/>
        <w:widowControl w:val="0"/>
        <w:numPr>
          <w:ilvl w:val="0"/>
          <w:numId w:val="0"/>
        </w:numPr>
        <w:kinsoku/>
        <w:wordWrap/>
        <w:overflowPunct/>
        <w:topLinePunct w:val="0"/>
        <w:autoSpaceDE/>
        <w:autoSpaceDN/>
        <w:bidi w:val="0"/>
        <w:spacing w:line="560" w:lineRule="exact"/>
        <w:ind w:leftChars="0" w:firstLine="643" w:firstLine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lang w:val="en-US" w:eastAsia="zh-CN"/>
        </w:rPr>
        <w:t>（2）</w:t>
      </w:r>
      <w:r>
        <w:rPr>
          <w:rFonts w:hint="eastAsia" w:ascii="仿宋_GB2312" w:hAnsi="仿宋" w:eastAsia="仿宋_GB2312" w:cs="宋体"/>
          <w:b/>
          <w:bCs/>
          <w:sz w:val="32"/>
          <w:szCs w:val="32"/>
        </w:rPr>
        <w:t>访谈</w:t>
      </w:r>
    </w:p>
    <w:p>
      <w:pPr>
        <w:pageBreakBefore w:val="0"/>
        <w:widowControl w:val="0"/>
        <w:kinsoku/>
        <w:wordWrap/>
        <w:overflowPunct/>
        <w:topLinePunct w:val="0"/>
        <w:autoSpaceDE/>
        <w:autoSpaceDN/>
        <w:bidi w:val="0"/>
        <w:spacing w:line="560" w:lineRule="exact"/>
        <w:ind w:left="0" w:leftChars="0" w:firstLine="640" w:firstLineChars="200"/>
        <w:textAlignment w:val="auto"/>
        <w:rPr>
          <w:rFonts w:ascii="仿宋_GB2312" w:eastAsia="仿宋_GB2312" w:cs="Times New Roman" w:hAnsiTheme="majorHAnsi"/>
          <w:sz w:val="32"/>
          <w:szCs w:val="32"/>
        </w:rPr>
      </w:pPr>
      <w:r>
        <w:rPr>
          <w:rFonts w:ascii="仿宋_GB2312" w:eastAsia="仿宋_GB2312" w:cs="Times New Roman" w:hAnsiTheme="majorHAnsi"/>
          <w:sz w:val="32"/>
          <w:szCs w:val="32"/>
        </w:rPr>
        <w:t>201</w:t>
      </w:r>
      <w:r>
        <w:rPr>
          <w:rFonts w:hint="eastAsia" w:ascii="仿宋_GB2312" w:eastAsia="仿宋_GB2312" w:cs="Times New Roman" w:hAnsiTheme="majorHAnsi"/>
          <w:sz w:val="32"/>
          <w:szCs w:val="32"/>
        </w:rPr>
        <w:t>9</w:t>
      </w:r>
      <w:r>
        <w:rPr>
          <w:rFonts w:ascii="仿宋_GB2312" w:eastAsia="仿宋_GB2312" w:cs="Times New Roman" w:hAnsiTheme="majorHAnsi"/>
          <w:sz w:val="32"/>
          <w:szCs w:val="32"/>
        </w:rPr>
        <w:t>年</w:t>
      </w:r>
      <w:r>
        <w:rPr>
          <w:rFonts w:hint="eastAsia" w:ascii="仿宋_GB2312" w:eastAsia="仿宋_GB2312" w:cs="Times New Roman" w:hAnsiTheme="majorHAnsi"/>
          <w:sz w:val="32"/>
          <w:szCs w:val="32"/>
        </w:rPr>
        <w:t>4</w:t>
      </w:r>
      <w:r>
        <w:rPr>
          <w:rFonts w:ascii="仿宋_GB2312" w:eastAsia="仿宋_GB2312" w:cs="Times New Roman" w:hAnsiTheme="majorHAnsi"/>
          <w:sz w:val="32"/>
          <w:szCs w:val="32"/>
        </w:rPr>
        <w:t>月</w:t>
      </w:r>
      <w:r>
        <w:rPr>
          <w:rFonts w:hint="eastAsia" w:ascii="仿宋_GB2312" w:eastAsia="仿宋_GB2312" w:cs="Times New Roman" w:hAnsiTheme="majorHAnsi"/>
          <w:sz w:val="32"/>
          <w:szCs w:val="32"/>
        </w:rPr>
        <w:t>30</w:t>
      </w:r>
      <w:r>
        <w:rPr>
          <w:rFonts w:ascii="仿宋_GB2312" w:eastAsia="仿宋_GB2312" w:cs="Times New Roman" w:hAnsiTheme="majorHAnsi"/>
          <w:sz w:val="32"/>
          <w:szCs w:val="32"/>
        </w:rPr>
        <w:t>日-201</w:t>
      </w:r>
      <w:r>
        <w:rPr>
          <w:rFonts w:hint="eastAsia" w:ascii="仿宋_GB2312" w:eastAsia="仿宋_GB2312" w:cs="Times New Roman" w:hAnsiTheme="majorHAnsi"/>
          <w:sz w:val="32"/>
          <w:szCs w:val="32"/>
        </w:rPr>
        <w:t>9</w:t>
      </w:r>
      <w:r>
        <w:rPr>
          <w:rFonts w:ascii="仿宋_GB2312" w:eastAsia="仿宋_GB2312" w:cs="Times New Roman" w:hAnsiTheme="majorHAnsi"/>
          <w:sz w:val="32"/>
          <w:szCs w:val="32"/>
        </w:rPr>
        <w:t>年</w:t>
      </w:r>
      <w:r>
        <w:rPr>
          <w:rFonts w:hint="eastAsia" w:ascii="仿宋_GB2312" w:eastAsia="仿宋_GB2312" w:cs="Times New Roman" w:hAnsiTheme="majorHAnsi"/>
          <w:sz w:val="32"/>
          <w:szCs w:val="32"/>
        </w:rPr>
        <w:t>5</w:t>
      </w:r>
      <w:r>
        <w:rPr>
          <w:rFonts w:ascii="仿宋_GB2312" w:eastAsia="仿宋_GB2312" w:cs="Times New Roman" w:hAnsiTheme="majorHAnsi"/>
          <w:sz w:val="32"/>
          <w:szCs w:val="32"/>
        </w:rPr>
        <w:t>月</w:t>
      </w:r>
      <w:r>
        <w:rPr>
          <w:rFonts w:hint="eastAsia" w:ascii="仿宋_GB2312" w:eastAsia="仿宋_GB2312" w:cs="Times New Roman" w:hAnsiTheme="majorHAnsi"/>
          <w:sz w:val="32"/>
          <w:szCs w:val="32"/>
        </w:rPr>
        <w:t>15</w:t>
      </w:r>
      <w:r>
        <w:rPr>
          <w:rFonts w:ascii="仿宋_GB2312" w:eastAsia="仿宋_GB2312" w:cs="Times New Roman" w:hAnsiTheme="majorHAnsi"/>
          <w:sz w:val="32"/>
          <w:szCs w:val="32"/>
        </w:rPr>
        <w:t>日,针对</w:t>
      </w:r>
      <w:r>
        <w:rPr>
          <w:rFonts w:hint="eastAsia" w:ascii="仿宋_GB2312" w:eastAsia="仿宋_GB2312" w:cs="Times New Roman" w:hAnsiTheme="majorHAnsi"/>
          <w:sz w:val="32"/>
          <w:szCs w:val="32"/>
        </w:rPr>
        <w:t>村容村貌资金项目</w:t>
      </w:r>
      <w:r>
        <w:rPr>
          <w:rFonts w:ascii="仿宋_GB2312" w:eastAsia="仿宋_GB2312" w:cs="Times New Roman" w:hAnsiTheme="majorHAnsi"/>
          <w:sz w:val="32"/>
          <w:szCs w:val="32"/>
        </w:rPr>
        <w:t>开展情况、管理措施和项目管理的经验、困难与建议等问题进行访问和了解,项目组开展了访谈工作。访谈对象主要包括:各村部分农民、该项目主管部门、部分村委会的负责人。访谈方式包括电话访谈和上门访谈。最后项目组集中撰写了访谈报告。</w:t>
      </w:r>
    </w:p>
    <w:p>
      <w:pPr>
        <w:pageBreakBefore w:val="0"/>
        <w:widowControl w:val="0"/>
        <w:numPr>
          <w:ilvl w:val="0"/>
          <w:numId w:val="0"/>
        </w:numPr>
        <w:kinsoku/>
        <w:wordWrap/>
        <w:overflowPunct/>
        <w:topLinePunct w:val="0"/>
        <w:autoSpaceDE/>
        <w:autoSpaceDN/>
        <w:bidi w:val="0"/>
        <w:spacing w:line="560" w:lineRule="exact"/>
        <w:ind w:leftChars="0" w:firstLine="643" w:firstLine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lang w:val="en-US" w:eastAsia="zh-CN"/>
        </w:rPr>
        <w:t>（3）</w:t>
      </w:r>
      <w:r>
        <w:rPr>
          <w:rFonts w:hint="eastAsia" w:ascii="仿宋_GB2312" w:hAnsi="仿宋" w:eastAsia="仿宋_GB2312" w:cs="宋体"/>
          <w:b/>
          <w:bCs/>
          <w:sz w:val="32"/>
          <w:szCs w:val="32"/>
        </w:rPr>
        <w:t>数据分析及撰写报告</w:t>
      </w:r>
    </w:p>
    <w:p>
      <w:pPr>
        <w:pageBreakBefore w:val="0"/>
        <w:widowControl w:val="0"/>
        <w:kinsoku/>
        <w:wordWrap/>
        <w:overflowPunct/>
        <w:topLinePunct w:val="0"/>
        <w:autoSpaceDE/>
        <w:autoSpaceDN/>
        <w:bidi w:val="0"/>
        <w:spacing w:line="560" w:lineRule="exact"/>
        <w:ind w:left="0" w:leftChars="0" w:firstLine="640" w:firstLineChars="200"/>
        <w:textAlignment w:val="auto"/>
        <w:rPr>
          <w:rFonts w:ascii="仿宋_GB2312" w:eastAsia="仿宋_GB2312" w:cs="Times New Roman" w:hAnsiTheme="majorHAnsi"/>
          <w:sz w:val="32"/>
          <w:szCs w:val="32"/>
        </w:rPr>
      </w:pPr>
      <w:r>
        <w:rPr>
          <w:rFonts w:ascii="仿宋_GB2312" w:eastAsia="仿宋_GB2312" w:cs="Times New Roman" w:hAnsiTheme="majorHAnsi"/>
          <w:sz w:val="32"/>
          <w:szCs w:val="32"/>
        </w:rPr>
        <w:t>201</w:t>
      </w:r>
      <w:r>
        <w:rPr>
          <w:rFonts w:hint="eastAsia" w:ascii="仿宋_GB2312" w:eastAsia="仿宋_GB2312" w:cs="Times New Roman" w:hAnsiTheme="majorHAnsi"/>
          <w:sz w:val="32"/>
          <w:szCs w:val="32"/>
        </w:rPr>
        <w:t>9</w:t>
      </w:r>
      <w:r>
        <w:rPr>
          <w:rFonts w:ascii="仿宋_GB2312" w:eastAsia="仿宋_GB2312" w:cs="Times New Roman" w:hAnsiTheme="majorHAnsi"/>
          <w:sz w:val="32"/>
          <w:szCs w:val="32"/>
        </w:rPr>
        <w:t>年</w:t>
      </w:r>
      <w:r>
        <w:rPr>
          <w:rFonts w:hint="eastAsia" w:ascii="仿宋_GB2312" w:eastAsia="仿宋_GB2312" w:cs="Times New Roman" w:hAnsiTheme="majorHAnsi"/>
          <w:sz w:val="32"/>
          <w:szCs w:val="32"/>
        </w:rPr>
        <w:t>5</w:t>
      </w:r>
      <w:r>
        <w:rPr>
          <w:rFonts w:ascii="仿宋_GB2312" w:eastAsia="仿宋_GB2312" w:cs="Times New Roman" w:hAnsiTheme="majorHAnsi"/>
          <w:sz w:val="32"/>
          <w:szCs w:val="32"/>
        </w:rPr>
        <w:t>月</w:t>
      </w:r>
      <w:r>
        <w:rPr>
          <w:rFonts w:hint="eastAsia" w:ascii="仿宋_GB2312" w:eastAsia="仿宋_GB2312" w:cs="Times New Roman" w:hAnsiTheme="majorHAnsi"/>
          <w:sz w:val="32"/>
          <w:szCs w:val="32"/>
        </w:rPr>
        <w:t>15</w:t>
      </w:r>
      <w:r>
        <w:rPr>
          <w:rFonts w:ascii="仿宋_GB2312" w:eastAsia="仿宋_GB2312" w:cs="Times New Roman" w:hAnsiTheme="majorHAnsi"/>
          <w:sz w:val="32"/>
          <w:szCs w:val="32"/>
        </w:rPr>
        <w:t>日-201</w:t>
      </w:r>
      <w:r>
        <w:rPr>
          <w:rFonts w:hint="eastAsia" w:ascii="仿宋_GB2312" w:eastAsia="仿宋_GB2312" w:cs="Times New Roman" w:hAnsiTheme="majorHAnsi"/>
          <w:sz w:val="32"/>
          <w:szCs w:val="32"/>
        </w:rPr>
        <w:t>9</w:t>
      </w:r>
      <w:r>
        <w:rPr>
          <w:rFonts w:ascii="仿宋_GB2312" w:eastAsia="仿宋_GB2312" w:cs="Times New Roman" w:hAnsiTheme="majorHAnsi"/>
          <w:sz w:val="32"/>
          <w:szCs w:val="32"/>
        </w:rPr>
        <w:t>年</w:t>
      </w:r>
      <w:r>
        <w:rPr>
          <w:rFonts w:hint="eastAsia" w:ascii="仿宋_GB2312" w:eastAsia="仿宋_GB2312" w:cs="Times New Roman" w:hAnsiTheme="majorHAnsi"/>
          <w:sz w:val="32"/>
          <w:szCs w:val="32"/>
        </w:rPr>
        <w:t>5</w:t>
      </w:r>
      <w:r>
        <w:rPr>
          <w:rFonts w:ascii="仿宋_GB2312" w:eastAsia="仿宋_GB2312" w:cs="Times New Roman" w:hAnsiTheme="majorHAnsi"/>
          <w:sz w:val="32"/>
          <w:szCs w:val="32"/>
        </w:rPr>
        <w:t>月</w:t>
      </w:r>
      <w:r>
        <w:rPr>
          <w:rFonts w:hint="eastAsia" w:ascii="仿宋_GB2312" w:eastAsia="仿宋_GB2312" w:cs="Times New Roman" w:hAnsiTheme="majorHAnsi"/>
          <w:sz w:val="32"/>
          <w:szCs w:val="32"/>
        </w:rPr>
        <w:t>30</w:t>
      </w:r>
      <w:r>
        <w:rPr>
          <w:rFonts w:ascii="仿宋_GB2312" w:eastAsia="仿宋_GB2312" w:cs="Times New Roman" w:hAnsiTheme="majorHAnsi"/>
          <w:sz w:val="32"/>
          <w:szCs w:val="32"/>
        </w:rPr>
        <w:t>日,项目组根据绩效评价的原理和规范,对采集的数据进行甄别、分析和评分,并提炼结论撰写报告,在规定时间内上报委托方,由委托方组织相关专家对报告进行评审。</w:t>
      </w:r>
    </w:p>
    <w:p>
      <w:pPr>
        <w:pStyle w:val="24"/>
        <w:pageBreakBefore w:val="0"/>
        <w:widowControl w:val="0"/>
        <w:numPr>
          <w:ilvl w:val="0"/>
          <w:numId w:val="2"/>
        </w:numPr>
        <w:kinsoku/>
        <w:wordWrap/>
        <w:overflowPunct/>
        <w:topLinePunct w:val="0"/>
        <w:autoSpaceDE/>
        <w:autoSpaceDN/>
        <w:bidi w:val="0"/>
        <w:spacing w:before="0" w:after="0" w:line="560" w:lineRule="exact"/>
        <w:ind w:left="0" w:leftChars="0" w:firstLine="643" w:firstLineChars="200"/>
        <w:textAlignment w:val="auto"/>
      </w:pPr>
      <w:bookmarkStart w:id="7" w:name="_Toc26401558"/>
      <w:r>
        <w:rPr>
          <w:rFonts w:hint="eastAsia" w:ascii="黑体" w:hAnsi="黑体"/>
        </w:rPr>
        <w:t>综合评价情况及评价结论</w:t>
      </w:r>
    </w:p>
    <w:p>
      <w:pPr>
        <w:pStyle w:val="24"/>
        <w:pageBreakBefore w:val="0"/>
        <w:widowControl w:val="0"/>
        <w:kinsoku/>
        <w:wordWrap/>
        <w:overflowPunct/>
        <w:topLinePunct w:val="0"/>
        <w:autoSpaceDE/>
        <w:autoSpaceDN/>
        <w:bidi w:val="0"/>
        <w:spacing w:before="0" w:after="0" w:line="560" w:lineRule="exact"/>
        <w:ind w:left="0" w:leftChars="0" w:firstLine="640" w:firstLineChars="200"/>
        <w:textAlignment w:val="auto"/>
        <w:rPr>
          <w:rFonts w:ascii="仿宋_GB2312" w:eastAsia="仿宋_GB2312" w:hAnsiTheme="majorHAnsi"/>
          <w:b w:val="0"/>
          <w:bCs w:val="0"/>
          <w:kern w:val="2"/>
        </w:rPr>
      </w:pPr>
      <w:r>
        <w:rPr>
          <w:rFonts w:hint="eastAsia" w:ascii="仿宋_GB2312" w:eastAsia="仿宋_GB2312" w:hAnsiTheme="majorHAnsi"/>
          <w:b w:val="0"/>
          <w:bCs w:val="0"/>
          <w:kern w:val="2"/>
        </w:rPr>
        <w:t>经评价组通过实地调研、资料分析等方式，采用综合分析法、成本效益分析法、等对项目的决策、管理、绩效进行的综合评价分析，项目得分为</w:t>
      </w:r>
      <w:r>
        <w:rPr>
          <w:rFonts w:hint="eastAsia" w:ascii="仿宋_GB2312" w:eastAsia="仿宋_GB2312" w:hAnsiTheme="majorHAnsi"/>
          <w:b w:val="0"/>
          <w:bCs w:val="0"/>
          <w:kern w:val="2"/>
          <w:lang w:val="en-US" w:eastAsia="zh-CN"/>
        </w:rPr>
        <w:t>99</w:t>
      </w:r>
      <w:r>
        <w:rPr>
          <w:rFonts w:hint="eastAsia" w:ascii="仿宋_GB2312" w:eastAsia="仿宋_GB2312" w:hAnsiTheme="majorHAnsi"/>
          <w:b w:val="0"/>
          <w:bCs w:val="0"/>
          <w:kern w:val="2"/>
        </w:rPr>
        <w:t>分，评价结果为优，详见附件4。</w:t>
      </w:r>
    </w:p>
    <w:p>
      <w:pPr>
        <w:pStyle w:val="24"/>
        <w:pageBreakBefore w:val="0"/>
        <w:widowControl w:val="0"/>
        <w:numPr>
          <w:ilvl w:val="0"/>
          <w:numId w:val="2"/>
        </w:numPr>
        <w:kinsoku/>
        <w:wordWrap/>
        <w:overflowPunct/>
        <w:topLinePunct w:val="0"/>
        <w:autoSpaceDE/>
        <w:autoSpaceDN/>
        <w:bidi w:val="0"/>
        <w:spacing w:before="0" w:after="0" w:line="560" w:lineRule="exact"/>
        <w:ind w:left="0" w:leftChars="0" w:firstLine="643" w:firstLineChars="200"/>
        <w:textAlignment w:val="auto"/>
      </w:pPr>
      <w:r>
        <w:rPr>
          <w:rFonts w:hint="eastAsia"/>
        </w:rPr>
        <w:t>绩效评价指标分析</w:t>
      </w:r>
      <w:bookmarkEnd w:id="7"/>
    </w:p>
    <w:p>
      <w:pPr>
        <w:pStyle w:val="20"/>
        <w:pageBreakBefore w:val="0"/>
        <w:widowControl w:val="0"/>
        <w:numPr>
          <w:ilvl w:val="0"/>
          <w:numId w:val="7"/>
        </w:numPr>
        <w:kinsoku/>
        <w:wordWrap/>
        <w:overflowPunct/>
        <w:topLinePunct w:val="0"/>
        <w:autoSpaceDE/>
        <w:autoSpaceDN/>
        <w:bidi w:val="0"/>
        <w:spacing w:line="560" w:lineRule="exact"/>
        <w:ind w:left="0" w:leftChars="0" w:firstLine="643" w:firstLine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rPr>
        <w:t>项目的决策情况</w:t>
      </w:r>
    </w:p>
    <w:p>
      <w:pPr>
        <w:pStyle w:val="29"/>
        <w:pageBreakBefore w:val="0"/>
        <w:widowControl w:val="0"/>
        <w:kinsoku/>
        <w:wordWrap/>
        <w:overflowPunct/>
        <w:topLinePunct w:val="0"/>
        <w:autoSpaceDE/>
        <w:autoSpaceDN/>
        <w:bidi w:val="0"/>
        <w:spacing w:line="560" w:lineRule="exact"/>
        <w:ind w:left="0" w:leftChars="0" w:firstLine="640" w:firstLineChars="200"/>
        <w:textAlignment w:val="auto"/>
        <w:rPr>
          <w:rFonts w:ascii="仿宋_GB2312" w:hAnsi="仿宋" w:cs="宋体"/>
          <w:sz w:val="32"/>
          <w:szCs w:val="32"/>
        </w:rPr>
      </w:pPr>
      <w:r>
        <w:rPr>
          <w:rFonts w:hint="eastAsia" w:ascii="仿宋_GB2312" w:hAnsi="仿宋" w:cs="宋体"/>
          <w:sz w:val="32"/>
          <w:szCs w:val="32"/>
        </w:rPr>
        <w:t>本项目</w:t>
      </w:r>
      <w:r>
        <w:rPr>
          <w:rFonts w:hint="eastAsia" w:ascii="仿宋_GB2312" w:hAnsi="仿宋" w:cs="仿宋"/>
          <w:sz w:val="32"/>
          <w:szCs w:val="32"/>
        </w:rPr>
        <w:t>根据</w:t>
      </w:r>
      <w:r>
        <w:rPr>
          <w:rFonts w:hint="eastAsia" w:ascii="仿宋_GB2312" w:hAnsi="仿宋"/>
          <w:sz w:val="32"/>
          <w:szCs w:val="32"/>
          <w:lang w:eastAsia="zh-CN"/>
        </w:rPr>
        <w:t>新财扶［2018］58号、喀地财扶［2018］62</w:t>
      </w:r>
      <w:r>
        <w:rPr>
          <w:rFonts w:hint="eastAsia" w:ascii="仿宋_GB2312" w:hAnsi="仿宋"/>
          <w:sz w:val="32"/>
          <w:szCs w:val="32"/>
        </w:rPr>
        <w:t>号及新财预［2019］105号、喀地财预［2019］73号</w:t>
      </w:r>
      <w:r>
        <w:rPr>
          <w:rFonts w:hint="eastAsia" w:ascii="仿宋_GB2312" w:hAnsi="仿宋" w:cs="仿宋"/>
          <w:sz w:val="32"/>
          <w:szCs w:val="32"/>
        </w:rPr>
        <w:t>文件要求</w:t>
      </w:r>
      <w:r>
        <w:rPr>
          <w:rFonts w:hint="eastAsia" w:ascii="仿宋_GB2312" w:hAnsi="仿宋" w:cs="宋体"/>
          <w:sz w:val="32"/>
          <w:szCs w:val="32"/>
        </w:rPr>
        <w:t>符合相关法规政策，审批文件、材料符合相关要求；</w:t>
      </w:r>
      <w:r>
        <w:rPr>
          <w:rFonts w:ascii="仿宋_GB2312" w:hAnsi="仿宋" w:cs="宋体"/>
          <w:sz w:val="32"/>
          <w:szCs w:val="32"/>
        </w:rPr>
        <w:t xml:space="preserve"> </w:t>
      </w:r>
    </w:p>
    <w:p>
      <w:pPr>
        <w:pageBreakBefore w:val="0"/>
        <w:widowControl w:val="0"/>
        <w:kinsoku/>
        <w:wordWrap/>
        <w:overflowPunct/>
        <w:topLinePunct w:val="0"/>
        <w:autoSpaceDE/>
        <w:autoSpaceDN/>
        <w:bidi w:val="0"/>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项目设置了绩效目标，项目绩效目标基本合理，项目资金共计</w:t>
      </w:r>
      <w:r>
        <w:rPr>
          <w:rFonts w:hint="eastAsia" w:ascii="仿宋_GB2312" w:hAnsi="仿宋" w:eastAsia="仿宋_GB2312" w:cs="宋体"/>
          <w:sz w:val="32"/>
          <w:szCs w:val="32"/>
          <w:lang w:eastAsia="zh-CN"/>
        </w:rPr>
        <w:t>584.01</w:t>
      </w:r>
      <w:r>
        <w:rPr>
          <w:rFonts w:hint="eastAsia" w:ascii="仿宋_GB2312" w:hAnsi="仿宋" w:eastAsia="仿宋_GB2312" w:cs="宋体"/>
          <w:sz w:val="32"/>
          <w:szCs w:val="32"/>
        </w:rPr>
        <w:t>万元，</w:t>
      </w:r>
      <w:r>
        <w:rPr>
          <w:rFonts w:hint="eastAsia" w:ascii="仿宋_GB2312" w:hAnsi="仿宋" w:eastAsia="仿宋_GB2312"/>
          <w:sz w:val="32"/>
          <w:szCs w:val="32"/>
        </w:rPr>
        <w:t>保证村容村貌项目稳步提升，扶贫经费用在实处，达到专款专用的效果，并且严格按照会计制度的要求支出，为</w:t>
      </w:r>
      <w:r>
        <w:rPr>
          <w:rFonts w:hint="eastAsia" w:ascii="仿宋_GB2312" w:hAnsi="仿宋" w:eastAsia="仿宋_GB2312"/>
          <w:sz w:val="32"/>
          <w:szCs w:val="32"/>
          <w:lang w:eastAsia="zh-CN"/>
        </w:rPr>
        <w:t>棋盘乡</w:t>
      </w:r>
      <w:r>
        <w:rPr>
          <w:rFonts w:hint="eastAsia" w:ascii="仿宋_GB2312" w:hAnsi="仿宋" w:eastAsia="仿宋_GB2312"/>
          <w:sz w:val="32"/>
          <w:szCs w:val="32"/>
        </w:rPr>
        <w:t>2020年如期脱贫提供基础</w:t>
      </w:r>
      <w:r>
        <w:rPr>
          <w:rFonts w:hint="eastAsia" w:ascii="仿宋_GB2312" w:hAnsi="仿宋" w:eastAsia="仿宋_GB2312" w:cs="宋体"/>
          <w:sz w:val="32"/>
          <w:szCs w:val="32"/>
        </w:rPr>
        <w:t>。</w:t>
      </w:r>
    </w:p>
    <w:p>
      <w:pPr>
        <w:pStyle w:val="20"/>
        <w:pageBreakBefore w:val="0"/>
        <w:widowControl w:val="0"/>
        <w:numPr>
          <w:ilvl w:val="0"/>
          <w:numId w:val="7"/>
        </w:numPr>
        <w:kinsoku/>
        <w:wordWrap/>
        <w:overflowPunct/>
        <w:topLinePunct w:val="0"/>
        <w:autoSpaceDE/>
        <w:autoSpaceDN/>
        <w:bidi w:val="0"/>
        <w:spacing w:line="560" w:lineRule="exact"/>
        <w:ind w:left="0" w:leftChars="0" w:firstLine="643" w:firstLine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rPr>
        <w:t>项目的过程情况</w:t>
      </w:r>
    </w:p>
    <w:p>
      <w:pPr>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Style w:val="16"/>
          <w:rFonts w:ascii="仿宋_GB2312" w:hAnsi="仿宋" w:eastAsia="仿宋_GB2312"/>
          <w:b w:val="0"/>
          <w:bCs w:val="0"/>
          <w:spacing w:val="-4"/>
          <w:sz w:val="32"/>
          <w:szCs w:val="32"/>
        </w:rPr>
      </w:pPr>
      <w:r>
        <w:rPr>
          <w:rFonts w:hint="eastAsia" w:ascii="仿宋_GB2312" w:hAnsi="仿宋" w:eastAsia="仿宋_GB2312" w:cs="宋体"/>
          <w:sz w:val="32"/>
          <w:szCs w:val="32"/>
        </w:rPr>
        <w:t>在资金管理方面，</w:t>
      </w:r>
      <w:r>
        <w:rPr>
          <w:rFonts w:hint="eastAsia" w:ascii="仿宋_GB2312" w:hAnsi="仿宋" w:eastAsia="仿宋_GB2312" w:cs="宋体"/>
          <w:spacing w:val="-4"/>
          <w:sz w:val="32"/>
          <w:szCs w:val="32"/>
        </w:rPr>
        <w:t>本项目</w:t>
      </w:r>
      <w:r>
        <w:rPr>
          <w:rFonts w:hint="eastAsia" w:ascii="仿宋_GB2312" w:hAnsi="仿宋" w:eastAsia="仿宋_GB2312"/>
          <w:bCs/>
          <w:spacing w:val="-4"/>
          <w:sz w:val="32"/>
          <w:szCs w:val="32"/>
        </w:rPr>
        <w:t>资金严格按照</w:t>
      </w:r>
      <w:r>
        <w:rPr>
          <w:rFonts w:hint="eastAsia" w:ascii="仿宋_GB2312" w:hAnsi="仿宋" w:eastAsia="仿宋_GB2312"/>
          <w:sz w:val="32"/>
          <w:szCs w:val="32"/>
        </w:rPr>
        <w:t>村容村貌资金项目</w:t>
      </w:r>
      <w:r>
        <w:rPr>
          <w:rFonts w:hint="eastAsia" w:ascii="仿宋_GB2312" w:hAnsi="仿宋" w:eastAsia="仿宋_GB2312"/>
          <w:bCs/>
          <w:spacing w:val="-4"/>
          <w:sz w:val="32"/>
          <w:szCs w:val="32"/>
        </w:rPr>
        <w:t>资金管理办法和县财政资金管理制度支付资金；资金支付由本单位分管县领导、主管财务领导、县财政局等各级部门审批审核；资金的支付有完整的审批程序和手续符合制度要求；不存在截留、挤占、挪用、虚列支出等情况。</w:t>
      </w:r>
    </w:p>
    <w:p>
      <w:pPr>
        <w:pageBreakBefore w:val="0"/>
        <w:widowControl w:val="0"/>
        <w:kinsoku/>
        <w:wordWrap/>
        <w:overflowPunct/>
        <w:topLinePunct w:val="0"/>
        <w:autoSpaceDE/>
        <w:autoSpaceDN/>
        <w:bidi w:val="0"/>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资金审批时按照相关《会计法》执行国库集中支付，并遵循相关法律法规和相关管理规定。项目在执行中严格按照扶贫资金支付相关手续查看项目合同书、验收报告、资金申请表等资料是否齐全并及时归档。</w:t>
      </w:r>
    </w:p>
    <w:p>
      <w:pPr>
        <w:pStyle w:val="20"/>
        <w:pageBreakBefore w:val="0"/>
        <w:widowControl w:val="0"/>
        <w:numPr>
          <w:ilvl w:val="0"/>
          <w:numId w:val="7"/>
        </w:numPr>
        <w:kinsoku/>
        <w:wordWrap/>
        <w:overflowPunct/>
        <w:topLinePunct w:val="0"/>
        <w:autoSpaceDE/>
        <w:autoSpaceDN/>
        <w:bidi w:val="0"/>
        <w:spacing w:line="560" w:lineRule="exact"/>
        <w:ind w:left="0" w:leftChars="0" w:firstLine="643" w:firstLine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rPr>
        <w:t>项目产出情况</w:t>
      </w:r>
    </w:p>
    <w:p>
      <w:pPr>
        <w:pageBreakBefore w:val="0"/>
        <w:widowControl w:val="0"/>
        <w:kinsoku/>
        <w:wordWrap/>
        <w:overflowPunct/>
        <w:topLinePunct w:val="0"/>
        <w:autoSpaceDE/>
        <w:autoSpaceDN/>
        <w:bidi w:val="0"/>
        <w:spacing w:line="560" w:lineRule="exact"/>
        <w:ind w:left="0" w:leftChars="0" w:firstLine="640" w:firstLineChars="200"/>
        <w:textAlignment w:val="auto"/>
        <w:rPr>
          <w:rFonts w:ascii="仿宋_GB2312" w:eastAsia="仿宋_GB2312"/>
          <w:sz w:val="32"/>
          <w:szCs w:val="32"/>
        </w:rPr>
      </w:pPr>
      <w:r>
        <w:rPr>
          <w:rFonts w:hint="eastAsia" w:ascii="仿宋_GB2312" w:eastAsia="仿宋_GB2312"/>
          <w:sz w:val="32"/>
          <w:szCs w:val="32"/>
        </w:rPr>
        <w:t>项目产出数量为</w:t>
      </w:r>
      <w:r>
        <w:rPr>
          <w:rFonts w:hint="eastAsia" w:ascii="仿宋_GB2312" w:eastAsia="仿宋_GB2312"/>
          <w:sz w:val="32"/>
          <w:szCs w:val="32"/>
          <w:lang w:val="en-US" w:eastAsia="zh-CN"/>
        </w:rPr>
        <w:t>1</w:t>
      </w:r>
      <w:r>
        <w:rPr>
          <w:rFonts w:hint="eastAsia" w:ascii="仿宋_GB2312" w:eastAsia="仿宋_GB2312"/>
          <w:sz w:val="32"/>
          <w:szCs w:val="32"/>
        </w:rPr>
        <w:t>个，</w:t>
      </w:r>
      <w:r>
        <w:rPr>
          <w:rFonts w:hint="eastAsia" w:ascii="仿宋_GB2312" w:hAnsi="仿宋" w:eastAsia="仿宋_GB2312" w:cs="仿宋"/>
          <w:spacing w:val="-4"/>
          <w:sz w:val="32"/>
          <w:szCs w:val="32"/>
        </w:rPr>
        <w:t>村容村貌项目涉及村</w:t>
      </w:r>
      <w:r>
        <w:rPr>
          <w:rFonts w:hint="eastAsia" w:ascii="仿宋_GB2312" w:hAnsi="仿宋" w:eastAsia="仿宋_GB2312" w:cs="仿宋"/>
          <w:spacing w:val="-4"/>
          <w:sz w:val="32"/>
          <w:szCs w:val="32"/>
          <w:lang w:val="en-US" w:eastAsia="zh-CN"/>
        </w:rPr>
        <w:t>7</w:t>
      </w:r>
      <w:r>
        <w:rPr>
          <w:rFonts w:ascii="仿宋_GB2312" w:hAnsi="仿宋" w:eastAsia="仿宋_GB2312" w:cs="仿宋"/>
          <w:spacing w:val="-4"/>
          <w:sz w:val="32"/>
          <w:szCs w:val="32"/>
        </w:rPr>
        <w:t>个</w:t>
      </w:r>
      <w:r>
        <w:rPr>
          <w:rFonts w:hint="eastAsia" w:ascii="仿宋_GB2312" w:hAnsi="仿宋" w:eastAsia="仿宋_GB2312" w:cs="仿宋"/>
          <w:spacing w:val="-4"/>
          <w:sz w:val="32"/>
          <w:szCs w:val="32"/>
        </w:rPr>
        <w:t>，数量指标预期指标值：村容村貌项目涉及村</w:t>
      </w:r>
      <w:r>
        <w:rPr>
          <w:rFonts w:hint="eastAsia" w:ascii="仿宋_GB2312" w:hAnsi="仿宋" w:eastAsia="仿宋_GB2312" w:cs="仿宋"/>
          <w:spacing w:val="-4"/>
          <w:sz w:val="32"/>
          <w:szCs w:val="32"/>
          <w:lang w:val="en-US" w:eastAsia="zh-CN"/>
        </w:rPr>
        <w:t>7</w:t>
      </w:r>
      <w:r>
        <w:rPr>
          <w:rFonts w:ascii="仿宋_GB2312" w:hAnsi="仿宋" w:eastAsia="仿宋_GB2312" w:cs="仿宋"/>
          <w:spacing w:val="-4"/>
          <w:sz w:val="32"/>
          <w:szCs w:val="32"/>
        </w:rPr>
        <w:t>个</w:t>
      </w:r>
      <w:r>
        <w:rPr>
          <w:rFonts w:hint="eastAsia" w:ascii="仿宋_GB2312" w:hAnsi="仿宋" w:eastAsia="仿宋_GB2312" w:cs="仿宋"/>
          <w:spacing w:val="-4"/>
          <w:sz w:val="32"/>
          <w:szCs w:val="32"/>
        </w:rPr>
        <w:t>，实际完成值：村容村貌项目涉及村</w:t>
      </w:r>
      <w:r>
        <w:rPr>
          <w:rFonts w:hint="eastAsia" w:ascii="仿宋_GB2312" w:hAnsi="仿宋" w:eastAsia="仿宋_GB2312" w:cs="仿宋"/>
          <w:spacing w:val="-4"/>
          <w:sz w:val="32"/>
          <w:szCs w:val="32"/>
          <w:lang w:val="en-US" w:eastAsia="zh-CN"/>
        </w:rPr>
        <w:t>7</w:t>
      </w:r>
      <w:r>
        <w:rPr>
          <w:rFonts w:ascii="仿宋_GB2312" w:hAnsi="仿宋" w:eastAsia="仿宋_GB2312" w:cs="仿宋"/>
          <w:spacing w:val="-4"/>
          <w:sz w:val="32"/>
          <w:szCs w:val="32"/>
        </w:rPr>
        <w:t>个</w:t>
      </w:r>
      <w:r>
        <w:rPr>
          <w:rFonts w:hint="eastAsia" w:ascii="仿宋_GB2312" w:hAnsi="仿宋" w:eastAsia="仿宋_GB2312" w:cs="仿宋"/>
          <w:spacing w:val="-4"/>
          <w:sz w:val="32"/>
          <w:szCs w:val="32"/>
        </w:rPr>
        <w:t>，指标完成状况：100%。为进一步改善工作，加大各项排查力度，提高工作效率，提高乡镇村级美化环境能力建设。</w:t>
      </w:r>
    </w:p>
    <w:p>
      <w:pPr>
        <w:pageBreakBefore w:val="0"/>
        <w:widowControl w:val="0"/>
        <w:kinsoku/>
        <w:wordWrap/>
        <w:overflowPunct/>
        <w:topLinePunct w:val="0"/>
        <w:autoSpaceDE/>
        <w:autoSpaceDN/>
        <w:bidi w:val="0"/>
        <w:spacing w:line="560" w:lineRule="exact"/>
        <w:ind w:left="0" w:leftChars="0" w:firstLine="640" w:firstLineChars="200"/>
        <w:textAlignment w:val="auto"/>
        <w:rPr>
          <w:rFonts w:hint="eastAsia" w:ascii="仿宋_GB2312" w:hAnsi="仿宋" w:eastAsia="仿宋_GB2312" w:cs="仿宋"/>
          <w:spacing w:val="-4"/>
          <w:sz w:val="32"/>
          <w:szCs w:val="32"/>
        </w:rPr>
      </w:pPr>
      <w:r>
        <w:rPr>
          <w:rFonts w:hint="eastAsia" w:ascii="仿宋_GB2312" w:eastAsia="仿宋_GB2312"/>
          <w:sz w:val="32"/>
          <w:szCs w:val="32"/>
        </w:rPr>
        <w:t>项目产出质量为1个，预期指标值为</w:t>
      </w:r>
      <w:r>
        <w:rPr>
          <w:rFonts w:hint="eastAsia" w:ascii="仿宋_GB2312" w:hAnsi="仿宋" w:eastAsia="仿宋_GB2312" w:cs="仿宋"/>
          <w:spacing w:val="-4"/>
          <w:sz w:val="32"/>
          <w:szCs w:val="32"/>
        </w:rPr>
        <w:t>项目验收合格率100%，实际完成值：100%，指标完成状况：100%。</w:t>
      </w:r>
    </w:p>
    <w:p>
      <w:pPr>
        <w:pageBreakBefore w:val="0"/>
        <w:widowControl w:val="0"/>
        <w:kinsoku/>
        <w:wordWrap/>
        <w:overflowPunct/>
        <w:topLinePunct w:val="0"/>
        <w:autoSpaceDE/>
        <w:autoSpaceDN/>
        <w:bidi w:val="0"/>
        <w:spacing w:line="560" w:lineRule="exact"/>
        <w:ind w:left="0" w:leftChars="0" w:firstLine="640" w:firstLineChars="200"/>
        <w:textAlignment w:val="auto"/>
        <w:rPr>
          <w:rFonts w:hint="eastAsia" w:ascii="仿宋_GB2312" w:hAnsi="仿宋" w:eastAsia="仿宋_GB2312" w:cs="仿宋"/>
          <w:spacing w:val="-4"/>
          <w:sz w:val="32"/>
          <w:szCs w:val="32"/>
        </w:rPr>
      </w:pPr>
      <w:r>
        <w:rPr>
          <w:rFonts w:hint="eastAsia" w:ascii="仿宋_GB2312" w:eastAsia="仿宋_GB2312"/>
          <w:sz w:val="32"/>
          <w:szCs w:val="32"/>
        </w:rPr>
        <w:t>项目产出时效为1个，预期指标值为</w:t>
      </w:r>
      <w:r>
        <w:rPr>
          <w:rFonts w:hint="eastAsia" w:ascii="仿宋_GB2312" w:hAnsi="仿宋" w:eastAsia="仿宋_GB2312" w:cs="仿宋"/>
          <w:spacing w:val="-4"/>
          <w:sz w:val="32"/>
          <w:szCs w:val="32"/>
        </w:rPr>
        <w:t>项目完工及时率100%，实际完成值：100%，指标完成状况100%。</w:t>
      </w:r>
    </w:p>
    <w:p>
      <w:pPr>
        <w:pageBreakBefore w:val="0"/>
        <w:widowControl w:val="0"/>
        <w:kinsoku/>
        <w:wordWrap/>
        <w:overflowPunct/>
        <w:topLinePunct w:val="0"/>
        <w:autoSpaceDE/>
        <w:autoSpaceDN/>
        <w:bidi w:val="0"/>
        <w:spacing w:line="560" w:lineRule="exact"/>
        <w:ind w:left="0" w:leftChars="0" w:firstLine="640" w:firstLineChars="200"/>
        <w:textAlignment w:val="auto"/>
        <w:rPr>
          <w:rFonts w:hint="eastAsia" w:ascii="仿宋_GB2312" w:hAnsi="仿宋" w:eastAsia="仿宋_GB2312" w:cs="仿宋"/>
          <w:spacing w:val="-4"/>
          <w:sz w:val="32"/>
          <w:szCs w:val="32"/>
        </w:rPr>
      </w:pPr>
      <w:r>
        <w:rPr>
          <w:rFonts w:hint="eastAsia" w:ascii="仿宋_GB2312" w:eastAsia="仿宋_GB2312"/>
          <w:sz w:val="32"/>
          <w:szCs w:val="32"/>
        </w:rPr>
        <w:t>项目产出成本指标为</w:t>
      </w:r>
      <w:r>
        <w:rPr>
          <w:rFonts w:hint="eastAsia" w:ascii="仿宋_GB2312" w:eastAsia="仿宋_GB2312"/>
          <w:sz w:val="32"/>
          <w:szCs w:val="32"/>
          <w:lang w:val="en-US" w:eastAsia="zh-CN"/>
        </w:rPr>
        <w:t>4</w:t>
      </w:r>
      <w:r>
        <w:rPr>
          <w:rFonts w:hint="eastAsia" w:ascii="仿宋_GB2312" w:eastAsia="仿宋_GB2312"/>
          <w:sz w:val="32"/>
          <w:szCs w:val="32"/>
        </w:rPr>
        <w:t>个，预期指标值为</w:t>
      </w:r>
      <w:r>
        <w:rPr>
          <w:rFonts w:hint="eastAsia" w:ascii="仿宋_GB2312" w:hAnsi="仿宋" w:eastAsia="仿宋_GB2312" w:cs="仿宋"/>
          <w:spacing w:val="-4"/>
          <w:sz w:val="32"/>
          <w:szCs w:val="32"/>
        </w:rPr>
        <w:t>村容村貌项目劳务费成本</w:t>
      </w:r>
      <w:r>
        <w:rPr>
          <w:rFonts w:hint="eastAsia" w:ascii="仿宋_GB2312" w:hAnsi="仿宋" w:eastAsia="仿宋_GB2312" w:cs="仿宋"/>
          <w:spacing w:val="-4"/>
          <w:sz w:val="32"/>
          <w:szCs w:val="32"/>
          <w:lang w:val="en-US" w:eastAsia="zh-CN"/>
        </w:rPr>
        <w:t>28.58</w:t>
      </w:r>
      <w:r>
        <w:rPr>
          <w:rFonts w:hint="eastAsia" w:ascii="仿宋_GB2312" w:hAnsi="仿宋" w:eastAsia="仿宋_GB2312" w:cs="仿宋"/>
          <w:spacing w:val="-4"/>
          <w:sz w:val="32"/>
          <w:szCs w:val="32"/>
        </w:rPr>
        <w:t>万元/村，项目路沿石成本</w:t>
      </w:r>
      <w:r>
        <w:rPr>
          <w:rFonts w:hint="eastAsia" w:ascii="仿宋_GB2312" w:hAnsi="仿宋" w:eastAsia="仿宋_GB2312" w:cs="仿宋"/>
          <w:spacing w:val="-4"/>
          <w:sz w:val="32"/>
          <w:szCs w:val="32"/>
          <w:lang w:val="en-US" w:eastAsia="zh-CN"/>
        </w:rPr>
        <w:t>23.48</w:t>
      </w:r>
      <w:r>
        <w:rPr>
          <w:rFonts w:hint="eastAsia" w:ascii="仿宋_GB2312" w:hAnsi="仿宋" w:eastAsia="仿宋_GB2312" w:cs="仿宋"/>
          <w:spacing w:val="-4"/>
          <w:sz w:val="32"/>
          <w:szCs w:val="32"/>
        </w:rPr>
        <w:t>万元/村</w:t>
      </w:r>
      <w:r>
        <w:rPr>
          <w:rFonts w:hint="eastAsia" w:ascii="仿宋_GB2312" w:hAnsi="仿宋" w:eastAsia="仿宋_GB2312" w:cs="仿宋"/>
          <w:spacing w:val="-4"/>
          <w:sz w:val="32"/>
          <w:szCs w:val="32"/>
          <w:lang w:eastAsia="zh-CN"/>
        </w:rPr>
        <w:t>，项目腻子乳胶漆成本</w:t>
      </w:r>
      <w:r>
        <w:rPr>
          <w:rFonts w:hint="eastAsia" w:ascii="仿宋_GB2312" w:hAnsi="仿宋" w:eastAsia="仿宋_GB2312" w:cs="仿宋"/>
          <w:spacing w:val="-4"/>
          <w:sz w:val="32"/>
          <w:szCs w:val="32"/>
          <w:lang w:val="en-US" w:eastAsia="zh-CN"/>
        </w:rPr>
        <w:t>20.65</w:t>
      </w:r>
      <w:r>
        <w:rPr>
          <w:rFonts w:hint="eastAsia" w:ascii="仿宋_GB2312" w:hAnsi="仿宋" w:eastAsia="仿宋_GB2312" w:cs="仿宋"/>
          <w:spacing w:val="-4"/>
          <w:sz w:val="32"/>
          <w:szCs w:val="32"/>
          <w:lang w:eastAsia="zh-CN"/>
        </w:rPr>
        <w:t>万元/村，项目沙子成本</w:t>
      </w:r>
      <w:r>
        <w:rPr>
          <w:rFonts w:hint="eastAsia" w:ascii="仿宋_GB2312" w:hAnsi="仿宋" w:eastAsia="仿宋_GB2312" w:cs="仿宋"/>
          <w:spacing w:val="-4"/>
          <w:sz w:val="32"/>
          <w:szCs w:val="32"/>
          <w:lang w:val="en-US" w:eastAsia="zh-CN"/>
        </w:rPr>
        <w:t>10.72</w:t>
      </w:r>
      <w:r>
        <w:rPr>
          <w:rFonts w:hint="eastAsia" w:ascii="仿宋_GB2312" w:hAnsi="仿宋" w:eastAsia="仿宋_GB2312" w:cs="仿宋"/>
          <w:spacing w:val="-4"/>
          <w:sz w:val="32"/>
          <w:szCs w:val="32"/>
          <w:lang w:eastAsia="zh-CN"/>
        </w:rPr>
        <w:t>万元/村，</w:t>
      </w:r>
      <w:r>
        <w:rPr>
          <w:rFonts w:hint="eastAsia" w:ascii="仿宋_GB2312" w:hAnsi="仿宋" w:eastAsia="仿宋_GB2312" w:cs="仿宋"/>
          <w:spacing w:val="-4"/>
          <w:sz w:val="32"/>
          <w:szCs w:val="32"/>
        </w:rPr>
        <w:t>实际完成值：劳务费成本</w:t>
      </w:r>
      <w:r>
        <w:rPr>
          <w:rFonts w:hint="eastAsia" w:ascii="仿宋_GB2312" w:hAnsi="仿宋" w:eastAsia="仿宋_GB2312" w:cs="仿宋"/>
          <w:spacing w:val="-4"/>
          <w:sz w:val="32"/>
          <w:szCs w:val="32"/>
          <w:lang w:val="en-US" w:eastAsia="zh-CN"/>
        </w:rPr>
        <w:t>28.58</w:t>
      </w:r>
      <w:r>
        <w:rPr>
          <w:rFonts w:hint="eastAsia" w:ascii="仿宋_GB2312" w:hAnsi="仿宋" w:eastAsia="仿宋_GB2312" w:cs="仿宋"/>
          <w:spacing w:val="-4"/>
          <w:sz w:val="32"/>
          <w:szCs w:val="32"/>
        </w:rPr>
        <w:t>万元/村，路沿石成本</w:t>
      </w:r>
      <w:r>
        <w:rPr>
          <w:rFonts w:hint="eastAsia" w:ascii="仿宋_GB2312" w:hAnsi="仿宋" w:eastAsia="仿宋_GB2312" w:cs="仿宋"/>
          <w:spacing w:val="-4"/>
          <w:sz w:val="32"/>
          <w:szCs w:val="32"/>
          <w:lang w:val="en-US" w:eastAsia="zh-CN"/>
        </w:rPr>
        <w:t>23.48</w:t>
      </w:r>
      <w:r>
        <w:rPr>
          <w:rFonts w:hint="eastAsia" w:ascii="仿宋_GB2312" w:hAnsi="仿宋" w:eastAsia="仿宋_GB2312" w:cs="仿宋"/>
          <w:spacing w:val="-4"/>
          <w:sz w:val="32"/>
          <w:szCs w:val="32"/>
        </w:rPr>
        <w:t>万元/村</w:t>
      </w:r>
      <w:r>
        <w:rPr>
          <w:rFonts w:hint="eastAsia" w:ascii="仿宋_GB2312" w:hAnsi="仿宋" w:eastAsia="仿宋_GB2312" w:cs="仿宋"/>
          <w:spacing w:val="-4"/>
          <w:sz w:val="32"/>
          <w:szCs w:val="32"/>
          <w:lang w:eastAsia="zh-CN"/>
        </w:rPr>
        <w:t>，腻子乳胶漆成本20.65万元/村，沙子成本10.72万元/村，</w:t>
      </w:r>
      <w:r>
        <w:rPr>
          <w:rFonts w:hint="eastAsia" w:ascii="仿宋_GB2312" w:hAnsi="仿宋" w:eastAsia="仿宋_GB2312" w:cs="仿宋"/>
          <w:spacing w:val="-4"/>
          <w:sz w:val="32"/>
          <w:szCs w:val="32"/>
        </w:rPr>
        <w:t>指标完成状况100%。为建设美丽社会主义新农村，提高广大人民群众生活水平。</w:t>
      </w:r>
    </w:p>
    <w:tbl>
      <w:tblPr>
        <w:tblStyle w:val="13"/>
        <w:tblW w:w="8342" w:type="dxa"/>
        <w:tblInd w:w="0" w:type="dxa"/>
        <w:shd w:val="clear" w:color="auto" w:fill="auto"/>
        <w:tblLayout w:type="fixed"/>
        <w:tblCellMar>
          <w:top w:w="0" w:type="dxa"/>
          <w:left w:w="0" w:type="dxa"/>
          <w:bottom w:w="0" w:type="dxa"/>
          <w:right w:w="0" w:type="dxa"/>
        </w:tblCellMar>
      </w:tblPr>
      <w:tblGrid>
        <w:gridCol w:w="1221"/>
        <w:gridCol w:w="1458"/>
        <w:gridCol w:w="2916"/>
        <w:gridCol w:w="1458"/>
        <w:gridCol w:w="1289"/>
      </w:tblGrid>
      <w:tr>
        <w:tblPrEx>
          <w:shd w:val="clear" w:color="auto" w:fill="auto"/>
          <w:tblCellMar>
            <w:top w:w="0" w:type="dxa"/>
            <w:left w:w="0" w:type="dxa"/>
            <w:bottom w:w="0" w:type="dxa"/>
            <w:right w:w="0" w:type="dxa"/>
          </w:tblCellMar>
        </w:tblPrEx>
        <w:trPr>
          <w:trHeight w:val="560" w:hRule="atLeast"/>
        </w:trPr>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4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2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45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2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r>
      <w:tr>
        <w:tblPrEx>
          <w:tblCellMar>
            <w:top w:w="0" w:type="dxa"/>
            <w:left w:w="0" w:type="dxa"/>
            <w:bottom w:w="0" w:type="dxa"/>
            <w:right w:w="0" w:type="dxa"/>
          </w:tblCellMar>
        </w:tblPrEx>
        <w:trPr>
          <w:trHeight w:val="500" w:hRule="atLeast"/>
        </w:trPr>
        <w:tc>
          <w:tcPr>
            <w:tcW w:w="122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w:t>
            </w:r>
          </w:p>
        </w:tc>
        <w:tc>
          <w:tcPr>
            <w:tcW w:w="14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2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行政村数量（个）</w:t>
            </w:r>
          </w:p>
        </w:tc>
        <w:tc>
          <w:tcPr>
            <w:tcW w:w="145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128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r>
      <w:tr>
        <w:tblPrEx>
          <w:tblCellMar>
            <w:top w:w="0" w:type="dxa"/>
            <w:left w:w="0" w:type="dxa"/>
            <w:bottom w:w="0" w:type="dxa"/>
            <w:right w:w="0" w:type="dxa"/>
          </w:tblCellMar>
        </w:tblPrEx>
        <w:trPr>
          <w:trHeight w:val="500" w:hRule="atLeast"/>
        </w:trPr>
        <w:tc>
          <w:tcPr>
            <w:tcW w:w="122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2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项目验收合格率（%）</w:t>
            </w:r>
          </w:p>
        </w:tc>
        <w:tc>
          <w:tcPr>
            <w:tcW w:w="145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28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tblPrEx>
          <w:tblCellMar>
            <w:top w:w="0" w:type="dxa"/>
            <w:left w:w="0" w:type="dxa"/>
            <w:bottom w:w="0" w:type="dxa"/>
            <w:right w:w="0" w:type="dxa"/>
          </w:tblCellMar>
        </w:tblPrEx>
        <w:trPr>
          <w:trHeight w:val="500" w:hRule="atLeast"/>
        </w:trPr>
        <w:tc>
          <w:tcPr>
            <w:tcW w:w="122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5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2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项目完工及时率（%）</w:t>
            </w:r>
          </w:p>
        </w:tc>
        <w:tc>
          <w:tcPr>
            <w:tcW w:w="14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2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r>
      <w:tr>
        <w:tblPrEx>
          <w:tblCellMar>
            <w:top w:w="0" w:type="dxa"/>
            <w:left w:w="0" w:type="dxa"/>
            <w:bottom w:w="0" w:type="dxa"/>
            <w:right w:w="0" w:type="dxa"/>
          </w:tblCellMar>
        </w:tblPrEx>
        <w:trPr>
          <w:trHeight w:val="500" w:hRule="atLeast"/>
        </w:trPr>
        <w:tc>
          <w:tcPr>
            <w:tcW w:w="122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58"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w:t>
            </w:r>
          </w:p>
        </w:tc>
        <w:tc>
          <w:tcPr>
            <w:tcW w:w="2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项目劳务费成本（万元/村）</w:t>
            </w:r>
          </w:p>
        </w:tc>
        <w:tc>
          <w:tcPr>
            <w:tcW w:w="14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28.58</w:t>
            </w:r>
          </w:p>
        </w:tc>
        <w:tc>
          <w:tcPr>
            <w:tcW w:w="12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28.58</w:t>
            </w:r>
          </w:p>
        </w:tc>
      </w:tr>
      <w:tr>
        <w:tblPrEx>
          <w:tblCellMar>
            <w:top w:w="0" w:type="dxa"/>
            <w:left w:w="0" w:type="dxa"/>
            <w:bottom w:w="0" w:type="dxa"/>
            <w:right w:w="0" w:type="dxa"/>
          </w:tblCellMar>
        </w:tblPrEx>
        <w:trPr>
          <w:trHeight w:val="500" w:hRule="atLeast"/>
        </w:trPr>
        <w:tc>
          <w:tcPr>
            <w:tcW w:w="122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58"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项目路沿石成本（万元/村）</w:t>
            </w:r>
          </w:p>
        </w:tc>
        <w:tc>
          <w:tcPr>
            <w:tcW w:w="14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23.48</w:t>
            </w:r>
          </w:p>
        </w:tc>
        <w:tc>
          <w:tcPr>
            <w:tcW w:w="12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23.48</w:t>
            </w:r>
          </w:p>
        </w:tc>
      </w:tr>
      <w:tr>
        <w:tblPrEx>
          <w:tblCellMar>
            <w:top w:w="0" w:type="dxa"/>
            <w:left w:w="0" w:type="dxa"/>
            <w:bottom w:w="0" w:type="dxa"/>
            <w:right w:w="0" w:type="dxa"/>
          </w:tblCellMar>
        </w:tblPrEx>
        <w:trPr>
          <w:trHeight w:val="500" w:hRule="atLeast"/>
        </w:trPr>
        <w:tc>
          <w:tcPr>
            <w:tcW w:w="122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58"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项目腻子乳胶漆成本（万元/村）</w:t>
            </w:r>
          </w:p>
        </w:tc>
        <w:tc>
          <w:tcPr>
            <w:tcW w:w="14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20.65</w:t>
            </w:r>
          </w:p>
        </w:tc>
        <w:tc>
          <w:tcPr>
            <w:tcW w:w="12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20.65</w:t>
            </w:r>
          </w:p>
        </w:tc>
      </w:tr>
      <w:tr>
        <w:tblPrEx>
          <w:tblCellMar>
            <w:top w:w="0" w:type="dxa"/>
            <w:left w:w="0" w:type="dxa"/>
            <w:bottom w:w="0" w:type="dxa"/>
            <w:right w:w="0" w:type="dxa"/>
          </w:tblCellMar>
        </w:tblPrEx>
        <w:trPr>
          <w:trHeight w:val="500" w:hRule="atLeast"/>
        </w:trPr>
        <w:tc>
          <w:tcPr>
            <w:tcW w:w="122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58"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项目沙子成本（万元/村）</w:t>
            </w:r>
          </w:p>
        </w:tc>
        <w:tc>
          <w:tcPr>
            <w:tcW w:w="14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10.72</w:t>
            </w:r>
          </w:p>
        </w:tc>
        <w:tc>
          <w:tcPr>
            <w:tcW w:w="12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10.72</w:t>
            </w:r>
          </w:p>
        </w:tc>
      </w:tr>
    </w:tbl>
    <w:p>
      <w:pPr>
        <w:pageBreakBefore w:val="0"/>
        <w:widowControl w:val="0"/>
        <w:kinsoku/>
        <w:wordWrap/>
        <w:overflowPunct/>
        <w:topLinePunct w:val="0"/>
        <w:autoSpaceDE/>
        <w:autoSpaceDN/>
        <w:bidi w:val="0"/>
        <w:spacing w:line="560" w:lineRule="exact"/>
        <w:ind w:left="0" w:leftChars="0" w:firstLine="624" w:firstLineChars="200"/>
        <w:textAlignment w:val="auto"/>
        <w:rPr>
          <w:rFonts w:hint="eastAsia" w:ascii="仿宋_GB2312" w:hAnsi="仿宋" w:eastAsia="仿宋_GB2312" w:cs="仿宋"/>
          <w:spacing w:val="-4"/>
          <w:sz w:val="32"/>
          <w:szCs w:val="32"/>
        </w:rPr>
      </w:pPr>
    </w:p>
    <w:p>
      <w:pPr>
        <w:pStyle w:val="20"/>
        <w:pageBreakBefore w:val="0"/>
        <w:widowControl w:val="0"/>
        <w:numPr>
          <w:ilvl w:val="0"/>
          <w:numId w:val="7"/>
        </w:numPr>
        <w:kinsoku/>
        <w:wordWrap/>
        <w:overflowPunct/>
        <w:topLinePunct w:val="0"/>
        <w:autoSpaceDE/>
        <w:autoSpaceDN/>
        <w:bidi w:val="0"/>
        <w:spacing w:line="560" w:lineRule="exact"/>
        <w:ind w:left="0" w:leftChars="0" w:firstLine="643" w:firstLine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rPr>
        <w:t>项目效益情况</w:t>
      </w:r>
    </w:p>
    <w:p>
      <w:pPr>
        <w:pageBreakBefore w:val="0"/>
        <w:widowControl w:val="0"/>
        <w:kinsoku/>
        <w:wordWrap/>
        <w:overflowPunct/>
        <w:topLinePunct w:val="0"/>
        <w:autoSpaceDE/>
        <w:autoSpaceDN/>
        <w:bidi w:val="0"/>
        <w:spacing w:line="560" w:lineRule="exact"/>
        <w:ind w:left="0" w:leftChars="0" w:firstLine="640" w:firstLineChars="200"/>
        <w:textAlignment w:val="auto"/>
        <w:rPr>
          <w:rFonts w:ascii="仿宋_GB2312" w:hAnsi="仿宋" w:eastAsia="仿宋_GB2312" w:cs="仿宋"/>
          <w:spacing w:val="-4"/>
          <w:sz w:val="32"/>
          <w:szCs w:val="32"/>
        </w:rPr>
      </w:pPr>
      <w:r>
        <w:rPr>
          <w:rFonts w:hint="eastAsia" w:ascii="仿宋_GB2312" w:hAnsi="仿宋" w:eastAsia="仿宋_GB2312" w:cs="宋体"/>
          <w:bCs/>
          <w:sz w:val="32"/>
          <w:szCs w:val="32"/>
        </w:rPr>
        <w:t>项目实施产生的经济效益</w:t>
      </w:r>
      <w:r>
        <w:rPr>
          <w:rFonts w:hint="eastAsia" w:ascii="仿宋_GB2312" w:eastAsia="仿宋_GB2312"/>
          <w:sz w:val="32"/>
          <w:szCs w:val="32"/>
        </w:rPr>
        <w:t>指标</w:t>
      </w:r>
      <w:r>
        <w:rPr>
          <w:rFonts w:hint="eastAsia" w:ascii="仿宋_GB2312" w:eastAsia="仿宋_GB2312"/>
          <w:sz w:val="32"/>
          <w:szCs w:val="32"/>
          <w:lang w:eastAsia="zh-CN"/>
        </w:rPr>
        <w:t>：</w:t>
      </w:r>
      <w:r>
        <w:rPr>
          <w:rFonts w:hint="eastAsia" w:ascii="仿宋_GB2312" w:eastAsia="仿宋_GB2312"/>
          <w:sz w:val="32"/>
          <w:szCs w:val="32"/>
          <w:lang w:val="en-US" w:eastAsia="zh-CN"/>
        </w:rPr>
        <w:t>无</w:t>
      </w:r>
      <w:r>
        <w:rPr>
          <w:rFonts w:hint="eastAsia" w:ascii="仿宋_GB2312" w:eastAsia="仿宋_GB2312"/>
          <w:sz w:val="32"/>
          <w:szCs w:val="32"/>
          <w:lang w:eastAsia="zh-CN"/>
        </w:rPr>
        <w:t>。</w:t>
      </w:r>
    </w:p>
    <w:p>
      <w:pPr>
        <w:pageBreakBefore w:val="0"/>
        <w:widowControl w:val="0"/>
        <w:kinsoku/>
        <w:wordWrap/>
        <w:overflowPunct/>
        <w:topLinePunct w:val="0"/>
        <w:autoSpaceDE/>
        <w:autoSpaceDN/>
        <w:bidi w:val="0"/>
        <w:spacing w:line="560" w:lineRule="exact"/>
        <w:ind w:left="0" w:leftChars="0" w:firstLine="640" w:firstLineChars="200"/>
        <w:textAlignment w:val="auto"/>
        <w:rPr>
          <w:rFonts w:hint="eastAsia" w:ascii="仿宋_GB2312" w:hAnsi="仿宋" w:eastAsia="仿宋_GB2312" w:cs="仿宋"/>
          <w:spacing w:val="-4"/>
          <w:sz w:val="32"/>
          <w:szCs w:val="32"/>
        </w:rPr>
      </w:pPr>
      <w:r>
        <w:rPr>
          <w:rFonts w:hint="eastAsia" w:ascii="仿宋_GB2312" w:hAnsi="仿宋" w:eastAsia="仿宋_GB2312" w:cs="宋体"/>
          <w:bCs/>
          <w:sz w:val="32"/>
          <w:szCs w:val="32"/>
        </w:rPr>
        <w:t>项目实施产生的社会效益</w:t>
      </w:r>
      <w:r>
        <w:rPr>
          <w:rFonts w:hint="eastAsia" w:ascii="仿宋_GB2312" w:eastAsia="仿宋_GB2312"/>
          <w:sz w:val="32"/>
          <w:szCs w:val="32"/>
        </w:rPr>
        <w:t>指标为1个，预期指标值为</w:t>
      </w:r>
      <w:r>
        <w:rPr>
          <w:rFonts w:hint="eastAsia" w:ascii="仿宋_GB2312" w:hAnsi="仿宋" w:eastAsia="仿宋_GB2312" w:cs="仿宋"/>
          <w:spacing w:val="-4"/>
          <w:sz w:val="32"/>
          <w:szCs w:val="32"/>
        </w:rPr>
        <w:t>改善农村农居建筑风貌有效提升，实际完成值：有效提升，指标完成状况100%。为进一步改善工作，加大各项排查力度，提高工作效率。极大提高服务办事效率，加强基层建设。</w:t>
      </w:r>
    </w:p>
    <w:p>
      <w:pPr>
        <w:pageBreakBefore w:val="0"/>
        <w:widowControl w:val="0"/>
        <w:kinsoku/>
        <w:wordWrap/>
        <w:overflowPunct/>
        <w:topLinePunct w:val="0"/>
        <w:autoSpaceDE/>
        <w:autoSpaceDN/>
        <w:bidi w:val="0"/>
        <w:spacing w:line="560" w:lineRule="exact"/>
        <w:ind w:left="0" w:leftChars="0" w:firstLine="640" w:firstLineChars="200"/>
        <w:textAlignment w:val="auto"/>
        <w:rPr>
          <w:rFonts w:ascii="仿宋_GB2312" w:hAnsi="仿宋" w:eastAsia="仿宋_GB2312" w:cs="仿宋"/>
          <w:spacing w:val="-4"/>
          <w:sz w:val="32"/>
          <w:szCs w:val="32"/>
        </w:rPr>
      </w:pPr>
      <w:r>
        <w:rPr>
          <w:rFonts w:hint="eastAsia" w:ascii="仿宋_GB2312" w:hAnsi="仿宋" w:eastAsia="仿宋_GB2312" w:cs="宋体"/>
          <w:bCs/>
          <w:sz w:val="32"/>
          <w:szCs w:val="32"/>
        </w:rPr>
        <w:t>项目实施产生的生态效益</w:t>
      </w:r>
      <w:r>
        <w:rPr>
          <w:rFonts w:hint="eastAsia" w:ascii="仿宋_GB2312" w:eastAsia="仿宋_GB2312"/>
          <w:sz w:val="32"/>
          <w:szCs w:val="32"/>
        </w:rPr>
        <w:t>指标</w:t>
      </w:r>
      <w:r>
        <w:rPr>
          <w:rFonts w:hint="eastAsia" w:ascii="仿宋_GB2312" w:eastAsia="仿宋_GB2312"/>
          <w:sz w:val="32"/>
          <w:szCs w:val="32"/>
          <w:lang w:val="en-US" w:eastAsia="zh-CN"/>
        </w:rPr>
        <w:t>为1个，</w:t>
      </w:r>
      <w:r>
        <w:rPr>
          <w:rFonts w:hint="eastAsia" w:ascii="仿宋_GB2312" w:eastAsia="仿宋_GB2312"/>
          <w:sz w:val="32"/>
          <w:szCs w:val="32"/>
        </w:rPr>
        <w:t>预期指标值为</w:t>
      </w:r>
      <w:r>
        <w:rPr>
          <w:rFonts w:hint="eastAsia" w:ascii="仿宋_GB2312" w:eastAsia="仿宋_GB2312"/>
          <w:sz w:val="32"/>
          <w:szCs w:val="32"/>
          <w:lang w:val="en-US" w:eastAsia="zh-CN"/>
        </w:rPr>
        <w:t>全面</w:t>
      </w:r>
      <w:r>
        <w:rPr>
          <w:rFonts w:hint="eastAsia" w:ascii="仿宋_GB2312" w:hAnsi="仿宋" w:eastAsia="仿宋_GB2312" w:cs="仿宋"/>
          <w:spacing w:val="-4"/>
          <w:sz w:val="32"/>
          <w:szCs w:val="32"/>
        </w:rPr>
        <w:t>提升环境质量，实际完成值：</w:t>
      </w:r>
      <w:r>
        <w:rPr>
          <w:rFonts w:hint="eastAsia" w:ascii="仿宋_GB2312" w:hAnsi="仿宋" w:eastAsia="仿宋_GB2312" w:cs="仿宋"/>
          <w:spacing w:val="-4"/>
          <w:sz w:val="32"/>
          <w:szCs w:val="32"/>
          <w:lang w:val="en-US" w:eastAsia="zh-CN"/>
        </w:rPr>
        <w:t>全面改善</w:t>
      </w:r>
      <w:r>
        <w:rPr>
          <w:rFonts w:hint="eastAsia" w:ascii="仿宋_GB2312" w:hAnsi="仿宋" w:eastAsia="仿宋_GB2312" w:cs="仿宋"/>
          <w:spacing w:val="-4"/>
          <w:sz w:val="32"/>
          <w:szCs w:val="32"/>
        </w:rPr>
        <w:t>，指标完成状况100%。</w:t>
      </w:r>
      <w:r>
        <w:rPr>
          <w:rFonts w:hint="eastAsia" w:ascii="仿宋_GB2312" w:hAnsi="仿宋" w:eastAsia="仿宋_GB2312" w:cs="仿宋"/>
          <w:spacing w:val="-4"/>
          <w:sz w:val="32"/>
          <w:szCs w:val="32"/>
          <w:lang w:val="en-US" w:eastAsia="zh-CN"/>
        </w:rPr>
        <w:t>为棋盘乡的乡村面貌及环境卫生有了很大的改变，生态环境有了有效的整治</w:t>
      </w:r>
      <w:r>
        <w:rPr>
          <w:rFonts w:hint="eastAsia" w:ascii="仿宋_GB2312" w:eastAsia="仿宋_GB2312"/>
          <w:sz w:val="32"/>
          <w:szCs w:val="32"/>
        </w:rPr>
        <w:t>。</w:t>
      </w:r>
    </w:p>
    <w:p>
      <w:pPr>
        <w:pageBreakBefore w:val="0"/>
        <w:widowControl w:val="0"/>
        <w:kinsoku/>
        <w:wordWrap/>
        <w:overflowPunct/>
        <w:topLinePunct w:val="0"/>
        <w:autoSpaceDE/>
        <w:autoSpaceDN/>
        <w:bidi w:val="0"/>
        <w:spacing w:line="560" w:lineRule="exact"/>
        <w:ind w:left="0" w:leftChars="0" w:firstLine="640" w:firstLineChars="200"/>
        <w:textAlignment w:val="auto"/>
        <w:rPr>
          <w:rFonts w:hint="eastAsia" w:ascii="仿宋_GB2312" w:hAnsi="仿宋" w:eastAsia="仿宋_GB2312" w:cs="仿宋"/>
          <w:spacing w:val="-4"/>
          <w:sz w:val="32"/>
          <w:szCs w:val="32"/>
        </w:rPr>
      </w:pPr>
      <w:r>
        <w:rPr>
          <w:rFonts w:hint="eastAsia" w:ascii="仿宋_GB2312" w:hAnsi="仿宋" w:eastAsia="仿宋_GB2312" w:cs="宋体"/>
          <w:bCs/>
          <w:sz w:val="32"/>
          <w:szCs w:val="32"/>
        </w:rPr>
        <w:t>项目的可持续效益效益</w:t>
      </w:r>
      <w:r>
        <w:rPr>
          <w:rFonts w:hint="eastAsia" w:ascii="仿宋_GB2312" w:eastAsia="仿宋_GB2312"/>
          <w:sz w:val="32"/>
          <w:szCs w:val="32"/>
        </w:rPr>
        <w:t>指标为1个，预期指标值</w:t>
      </w:r>
      <w:r>
        <w:rPr>
          <w:rFonts w:hint="eastAsia" w:ascii="仿宋_GB2312" w:hAnsi="仿宋" w:eastAsia="仿宋_GB2312" w:cs="仿宋"/>
          <w:spacing w:val="-4"/>
          <w:sz w:val="32"/>
          <w:szCs w:val="32"/>
        </w:rPr>
        <w:t>项目持续年限1</w:t>
      </w:r>
      <w:r>
        <w:rPr>
          <w:rFonts w:hint="eastAsia" w:ascii="仿宋_GB2312" w:hAnsi="仿宋" w:eastAsia="仿宋_GB2312" w:cs="仿宋"/>
          <w:spacing w:val="-4"/>
          <w:sz w:val="32"/>
          <w:szCs w:val="32"/>
          <w:lang w:val="en-US" w:eastAsia="zh-CN"/>
        </w:rPr>
        <w:t>0</w:t>
      </w:r>
      <w:r>
        <w:rPr>
          <w:rFonts w:hint="eastAsia" w:ascii="仿宋_GB2312" w:hAnsi="仿宋" w:eastAsia="仿宋_GB2312" w:cs="仿宋"/>
          <w:spacing w:val="-4"/>
          <w:sz w:val="32"/>
          <w:szCs w:val="32"/>
        </w:rPr>
        <w:t>年，经验收项目持续年限实际完成值为</w:t>
      </w:r>
      <w:r>
        <w:rPr>
          <w:rFonts w:hint="eastAsia" w:ascii="仿宋_GB2312" w:hAnsi="仿宋" w:eastAsia="仿宋_GB2312" w:cs="仿宋"/>
          <w:spacing w:val="-4"/>
          <w:sz w:val="32"/>
          <w:szCs w:val="32"/>
          <w:lang w:val="en-US" w:eastAsia="zh-CN"/>
        </w:rPr>
        <w:t>1</w:t>
      </w:r>
      <w:r>
        <w:rPr>
          <w:rFonts w:hint="eastAsia" w:ascii="仿宋_GB2312" w:hAnsi="仿宋" w:eastAsia="仿宋_GB2312" w:cs="仿宋"/>
          <w:spacing w:val="-4"/>
          <w:sz w:val="32"/>
          <w:szCs w:val="32"/>
        </w:rPr>
        <w:t>，指标完成情况为</w:t>
      </w:r>
      <w:r>
        <w:rPr>
          <w:rFonts w:hint="eastAsia" w:ascii="仿宋_GB2312" w:hAnsi="仿宋" w:eastAsia="仿宋_GB2312" w:cs="仿宋"/>
          <w:spacing w:val="-4"/>
          <w:sz w:val="32"/>
          <w:szCs w:val="32"/>
          <w:lang w:val="en-US" w:eastAsia="zh-CN"/>
        </w:rPr>
        <w:t>70</w:t>
      </w:r>
      <w:r>
        <w:rPr>
          <w:rFonts w:hint="eastAsia" w:ascii="仿宋_GB2312" w:hAnsi="仿宋" w:eastAsia="仿宋_GB2312" w:cs="仿宋"/>
          <w:spacing w:val="-4"/>
          <w:sz w:val="32"/>
          <w:szCs w:val="32"/>
        </w:rPr>
        <w:t>%。</w:t>
      </w:r>
    </w:p>
    <w:p>
      <w:pPr>
        <w:pageBreakBefore w:val="0"/>
        <w:widowControl w:val="0"/>
        <w:kinsoku/>
        <w:wordWrap/>
        <w:overflowPunct/>
        <w:topLinePunct w:val="0"/>
        <w:autoSpaceDE/>
        <w:autoSpaceDN/>
        <w:bidi w:val="0"/>
        <w:spacing w:line="560" w:lineRule="exact"/>
        <w:ind w:left="0" w:leftChars="0" w:firstLine="624" w:firstLineChars="200"/>
        <w:textAlignment w:val="auto"/>
        <w:rPr>
          <w:rFonts w:hint="eastAsia" w:ascii="仿宋_GB2312" w:hAnsi="仿宋" w:eastAsia="仿宋_GB2312" w:cs="宋体"/>
          <w:bCs/>
          <w:sz w:val="32"/>
          <w:szCs w:val="32"/>
        </w:rPr>
      </w:pPr>
      <w:r>
        <w:rPr>
          <w:rFonts w:hint="eastAsia" w:ascii="仿宋_GB2312" w:hAnsi="仿宋" w:eastAsia="仿宋_GB2312" w:cs="仿宋"/>
          <w:spacing w:val="-4"/>
          <w:sz w:val="32"/>
          <w:szCs w:val="32"/>
        </w:rPr>
        <w:t>按计划完成项目实施，已做满意度调查问卷，群众满意度达9</w:t>
      </w:r>
      <w:r>
        <w:rPr>
          <w:rFonts w:hint="eastAsia" w:ascii="仿宋_GB2312" w:hAnsi="仿宋" w:eastAsia="仿宋_GB2312" w:cs="仿宋"/>
          <w:spacing w:val="-4"/>
          <w:sz w:val="32"/>
          <w:szCs w:val="32"/>
          <w:lang w:val="en-US" w:eastAsia="zh-CN"/>
        </w:rPr>
        <w:t>6</w:t>
      </w:r>
      <w:r>
        <w:rPr>
          <w:rFonts w:hint="eastAsia" w:ascii="仿宋_GB2312" w:hAnsi="仿宋" w:eastAsia="仿宋_GB2312" w:cs="仿宋"/>
          <w:spacing w:val="-4"/>
          <w:sz w:val="32"/>
          <w:szCs w:val="32"/>
        </w:rPr>
        <w:t>%，服务对象满意度指标完成</w:t>
      </w:r>
      <w:r>
        <w:rPr>
          <w:rFonts w:hint="eastAsia" w:ascii="仿宋_GB2312" w:hAnsi="仿宋" w:eastAsia="仿宋_GB2312" w:cs="宋体"/>
          <w:bCs/>
          <w:sz w:val="32"/>
          <w:szCs w:val="32"/>
        </w:rPr>
        <w:t>。</w:t>
      </w:r>
    </w:p>
    <w:tbl>
      <w:tblPr>
        <w:tblStyle w:val="13"/>
        <w:tblW w:w="8342" w:type="dxa"/>
        <w:tblInd w:w="0" w:type="dxa"/>
        <w:shd w:val="clear" w:color="auto" w:fill="auto"/>
        <w:tblLayout w:type="fixed"/>
        <w:tblCellMar>
          <w:top w:w="0" w:type="dxa"/>
          <w:left w:w="0" w:type="dxa"/>
          <w:bottom w:w="0" w:type="dxa"/>
          <w:right w:w="0" w:type="dxa"/>
        </w:tblCellMar>
      </w:tblPr>
      <w:tblGrid>
        <w:gridCol w:w="1221"/>
        <w:gridCol w:w="1458"/>
        <w:gridCol w:w="2916"/>
        <w:gridCol w:w="1458"/>
        <w:gridCol w:w="1289"/>
      </w:tblGrid>
      <w:tr>
        <w:tblPrEx>
          <w:shd w:val="clear" w:color="auto" w:fill="auto"/>
          <w:tblCellMar>
            <w:top w:w="0" w:type="dxa"/>
            <w:left w:w="0" w:type="dxa"/>
            <w:bottom w:w="0" w:type="dxa"/>
            <w:right w:w="0" w:type="dxa"/>
          </w:tblCellMar>
        </w:tblPrEx>
        <w:trPr>
          <w:trHeight w:val="500" w:hRule="atLeast"/>
        </w:trPr>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一级指标</w:t>
            </w:r>
          </w:p>
        </w:tc>
        <w:tc>
          <w:tcPr>
            <w:tcW w:w="145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二级指标</w:t>
            </w:r>
          </w:p>
        </w:tc>
        <w:tc>
          <w:tcPr>
            <w:tcW w:w="2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18"/>
                <w:szCs w:val="18"/>
                <w:u w:val="none"/>
                <w:lang w:val="en-US" w:eastAsia="zh-CN" w:bidi="ar"/>
              </w:rPr>
              <w:t>三级指标</w:t>
            </w:r>
          </w:p>
        </w:tc>
        <w:tc>
          <w:tcPr>
            <w:tcW w:w="14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2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r>
      <w:tr>
        <w:tblPrEx>
          <w:tblCellMar>
            <w:top w:w="0" w:type="dxa"/>
            <w:left w:w="0" w:type="dxa"/>
            <w:bottom w:w="0" w:type="dxa"/>
            <w:right w:w="0" w:type="dxa"/>
          </w:tblCellMar>
        </w:tblPrEx>
        <w:trPr>
          <w:trHeight w:val="500" w:hRule="atLeast"/>
        </w:trPr>
        <w:tc>
          <w:tcPr>
            <w:tcW w:w="122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w:t>
            </w:r>
          </w:p>
        </w:tc>
        <w:tc>
          <w:tcPr>
            <w:tcW w:w="145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2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500" w:hRule="atLeast"/>
        </w:trPr>
        <w:tc>
          <w:tcPr>
            <w:tcW w:w="122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5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2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改善农村农居建筑风貌</w:t>
            </w:r>
          </w:p>
        </w:tc>
        <w:tc>
          <w:tcPr>
            <w:tcW w:w="14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有效提升</w:t>
            </w:r>
          </w:p>
        </w:tc>
        <w:tc>
          <w:tcPr>
            <w:tcW w:w="12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r>
      <w:tr>
        <w:tblPrEx>
          <w:tblCellMar>
            <w:top w:w="0" w:type="dxa"/>
            <w:left w:w="0" w:type="dxa"/>
            <w:bottom w:w="0" w:type="dxa"/>
            <w:right w:w="0" w:type="dxa"/>
          </w:tblCellMar>
        </w:tblPrEx>
        <w:trPr>
          <w:trHeight w:val="1320" w:hRule="atLeast"/>
        </w:trPr>
        <w:tc>
          <w:tcPr>
            <w:tcW w:w="122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5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2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提升环境质量</w:t>
            </w:r>
          </w:p>
        </w:tc>
        <w:tc>
          <w:tcPr>
            <w:tcW w:w="14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全面改善</w:t>
            </w:r>
          </w:p>
        </w:tc>
        <w:tc>
          <w:tcPr>
            <w:tcW w:w="12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80%</w:t>
            </w:r>
          </w:p>
        </w:tc>
      </w:tr>
      <w:tr>
        <w:tblPrEx>
          <w:tblCellMar>
            <w:top w:w="0" w:type="dxa"/>
            <w:left w:w="0" w:type="dxa"/>
            <w:bottom w:w="0" w:type="dxa"/>
            <w:right w:w="0" w:type="dxa"/>
          </w:tblCellMar>
        </w:tblPrEx>
        <w:trPr>
          <w:trHeight w:val="1320" w:hRule="atLeast"/>
        </w:trPr>
        <w:tc>
          <w:tcPr>
            <w:tcW w:w="122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2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持续影响年限（年）</w:t>
            </w:r>
          </w:p>
        </w:tc>
        <w:tc>
          <w:tcPr>
            <w:tcW w:w="14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2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70%</w:t>
            </w:r>
          </w:p>
        </w:tc>
      </w:tr>
      <w:tr>
        <w:tblPrEx>
          <w:tblCellMar>
            <w:top w:w="0" w:type="dxa"/>
            <w:left w:w="0" w:type="dxa"/>
            <w:bottom w:w="0" w:type="dxa"/>
            <w:right w:w="0" w:type="dxa"/>
          </w:tblCellMar>
        </w:tblPrEx>
        <w:trPr>
          <w:trHeight w:val="500" w:hRule="atLeast"/>
        </w:trPr>
        <w:tc>
          <w:tcPr>
            <w:tcW w:w="122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w:t>
            </w:r>
          </w:p>
        </w:tc>
        <w:tc>
          <w:tcPr>
            <w:tcW w:w="145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2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受益群众满意度（%）</w:t>
            </w:r>
          </w:p>
        </w:tc>
        <w:tc>
          <w:tcPr>
            <w:tcW w:w="14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12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96%</w:t>
            </w:r>
          </w:p>
        </w:tc>
      </w:tr>
    </w:tbl>
    <w:p>
      <w:pPr>
        <w:pageBreakBefore w:val="0"/>
        <w:widowControl w:val="0"/>
        <w:kinsoku/>
        <w:wordWrap/>
        <w:overflowPunct/>
        <w:topLinePunct w:val="0"/>
        <w:autoSpaceDE/>
        <w:autoSpaceDN/>
        <w:bidi w:val="0"/>
        <w:spacing w:line="560" w:lineRule="exact"/>
        <w:ind w:left="0" w:leftChars="0" w:firstLine="640" w:firstLineChars="200"/>
        <w:textAlignment w:val="auto"/>
        <w:rPr>
          <w:rFonts w:hint="eastAsia" w:ascii="仿宋_GB2312" w:hAnsi="仿宋" w:eastAsia="仿宋_GB2312" w:cs="宋体"/>
          <w:bCs/>
          <w:sz w:val="32"/>
          <w:szCs w:val="32"/>
        </w:rPr>
      </w:pPr>
    </w:p>
    <w:p>
      <w:pPr>
        <w:pStyle w:val="24"/>
        <w:pageBreakBefore w:val="0"/>
        <w:widowControl w:val="0"/>
        <w:numPr>
          <w:ilvl w:val="0"/>
          <w:numId w:val="2"/>
        </w:numPr>
        <w:kinsoku/>
        <w:wordWrap/>
        <w:overflowPunct/>
        <w:topLinePunct w:val="0"/>
        <w:autoSpaceDE/>
        <w:autoSpaceDN/>
        <w:bidi w:val="0"/>
        <w:spacing w:before="0" w:after="0" w:line="560" w:lineRule="exact"/>
        <w:ind w:left="0" w:leftChars="0" w:firstLine="643" w:firstLineChars="200"/>
        <w:textAlignment w:val="auto"/>
      </w:pPr>
      <w:r>
        <w:rPr>
          <w:rFonts w:hint="eastAsia" w:ascii="黑体" w:hAnsi="黑体"/>
        </w:rPr>
        <w:t>主要经验及做法、存在的问题及原因分析</w:t>
      </w:r>
    </w:p>
    <w:p>
      <w:pPr>
        <w:pStyle w:val="26"/>
        <w:pageBreakBefore w:val="0"/>
        <w:widowControl w:val="0"/>
        <w:numPr>
          <w:ilvl w:val="0"/>
          <w:numId w:val="8"/>
        </w:numPr>
        <w:kinsoku/>
        <w:wordWrap/>
        <w:overflowPunct/>
        <w:topLinePunct w:val="0"/>
        <w:autoSpaceDE/>
        <w:autoSpaceDN/>
        <w:bidi w:val="0"/>
        <w:spacing w:before="0" w:after="0" w:line="560" w:lineRule="exact"/>
        <w:ind w:left="0" w:leftChars="0" w:firstLine="643" w:firstLineChars="200"/>
        <w:textAlignment w:val="auto"/>
      </w:pPr>
      <w:r>
        <w:rPr>
          <w:rFonts w:hint="eastAsia"/>
        </w:rPr>
        <w:t>主要经验及做法</w:t>
      </w:r>
    </w:p>
    <w:p>
      <w:pPr>
        <w:pStyle w:val="20"/>
        <w:pageBreakBefore w:val="0"/>
        <w:widowControl w:val="0"/>
        <w:kinsoku/>
        <w:wordWrap/>
        <w:overflowPunct/>
        <w:topLinePunct w:val="0"/>
        <w:autoSpaceDE/>
        <w:autoSpaceDN/>
        <w:bidi w:val="0"/>
        <w:adjustRightInd w:val="0"/>
        <w:snapToGrid w:val="0"/>
        <w:spacing w:line="560" w:lineRule="exact"/>
        <w:ind w:left="0" w:leftChars="0" w:firstLine="624" w:firstLineChars="200"/>
        <w:textAlignment w:val="auto"/>
        <w:rPr>
          <w:rFonts w:ascii="仿宋_GB2312" w:hAnsi="仿宋" w:eastAsia="仿宋_GB2312"/>
          <w:bCs/>
          <w:spacing w:val="-4"/>
          <w:sz w:val="32"/>
          <w:szCs w:val="32"/>
        </w:rPr>
      </w:pPr>
      <w:r>
        <w:rPr>
          <w:rFonts w:hint="eastAsia" w:ascii="仿宋_GB2312" w:hAnsi="仿宋" w:eastAsia="仿宋_GB2312"/>
          <w:bCs/>
          <w:spacing w:val="-4"/>
          <w:sz w:val="32"/>
          <w:szCs w:val="32"/>
          <w:lang w:eastAsia="zh-CN"/>
        </w:rPr>
        <w:t>棋盘乡</w:t>
      </w:r>
      <w:r>
        <w:rPr>
          <w:rFonts w:hint="eastAsia" w:ascii="仿宋_GB2312" w:hAnsi="仿宋" w:eastAsia="仿宋_GB2312"/>
          <w:bCs/>
          <w:spacing w:val="-4"/>
          <w:sz w:val="32"/>
          <w:szCs w:val="32"/>
        </w:rPr>
        <w:t>人民政府在2019年村容村貌项目中，严把支出关，确保了扶贫资金用在关键地方，有效地杜绝了挤占挪用、虚报冒领等套取财政资金违规行为，确保</w:t>
      </w:r>
      <w:r>
        <w:rPr>
          <w:rFonts w:hint="eastAsia" w:ascii="仿宋_GB2312" w:hAnsi="仿宋" w:eastAsia="仿宋_GB2312"/>
          <w:bCs/>
          <w:spacing w:val="-4"/>
          <w:sz w:val="32"/>
          <w:szCs w:val="32"/>
          <w:lang w:eastAsia="zh-CN"/>
        </w:rPr>
        <w:t>棋盘乡</w:t>
      </w:r>
      <w:r>
        <w:rPr>
          <w:rFonts w:hint="eastAsia" w:ascii="仿宋_GB2312" w:hAnsi="仿宋" w:eastAsia="仿宋_GB2312"/>
          <w:bCs/>
          <w:spacing w:val="-4"/>
          <w:sz w:val="32"/>
          <w:szCs w:val="32"/>
        </w:rPr>
        <w:t>大局安定。</w:t>
      </w:r>
      <w:r>
        <w:rPr>
          <w:rFonts w:hint="eastAsia" w:ascii="仿宋_GB2312" w:hAnsi="仿宋_GB2312" w:eastAsia="仿宋_GB2312" w:cs="仿宋_GB2312"/>
          <w:bCs/>
          <w:sz w:val="32"/>
          <w:szCs w:val="32"/>
        </w:rPr>
        <w:t>极大提高服务办事效率，加强基层建设。资金使用完毕，村环境得到极大提升。为</w:t>
      </w:r>
      <w:r>
        <w:rPr>
          <w:rFonts w:hint="eastAsia" w:ascii="仿宋_GB2312" w:hAnsi="仿宋_GB2312" w:eastAsia="仿宋_GB2312" w:cs="仿宋_GB2312"/>
          <w:bCs/>
          <w:sz w:val="32"/>
          <w:szCs w:val="32"/>
          <w:lang w:eastAsia="zh-CN"/>
        </w:rPr>
        <w:t>棋盘乡</w:t>
      </w:r>
      <w:r>
        <w:rPr>
          <w:rFonts w:hint="eastAsia" w:ascii="仿宋_GB2312" w:hAnsi="仿宋_GB2312" w:eastAsia="仿宋_GB2312" w:cs="仿宋_GB2312"/>
          <w:bCs/>
          <w:sz w:val="32"/>
          <w:szCs w:val="32"/>
        </w:rPr>
        <w:t>2020年如期脱贫奠定基础。</w:t>
      </w:r>
    </w:p>
    <w:p>
      <w:pPr>
        <w:pStyle w:val="26"/>
        <w:pageBreakBefore w:val="0"/>
        <w:widowControl w:val="0"/>
        <w:numPr>
          <w:ilvl w:val="0"/>
          <w:numId w:val="8"/>
        </w:numPr>
        <w:kinsoku/>
        <w:wordWrap/>
        <w:overflowPunct/>
        <w:topLinePunct w:val="0"/>
        <w:autoSpaceDE/>
        <w:autoSpaceDN/>
        <w:bidi w:val="0"/>
        <w:spacing w:before="0" w:after="0" w:line="560" w:lineRule="exact"/>
        <w:ind w:left="0" w:leftChars="0" w:firstLine="643" w:firstLineChars="200"/>
        <w:textAlignment w:val="auto"/>
      </w:pPr>
      <w:r>
        <w:rPr>
          <w:rFonts w:hint="eastAsia"/>
        </w:rPr>
        <w:t>存在的问题及原因分析</w:t>
      </w:r>
    </w:p>
    <w:p>
      <w:pPr>
        <w:pStyle w:val="20"/>
        <w:pageBreakBefore w:val="0"/>
        <w:widowControl w:val="0"/>
        <w:kinsoku/>
        <w:wordWrap/>
        <w:overflowPunct/>
        <w:topLinePunct w:val="0"/>
        <w:autoSpaceDE/>
        <w:autoSpaceDN/>
        <w:bidi w:val="0"/>
        <w:adjustRightInd w:val="0"/>
        <w:snapToGrid w:val="0"/>
        <w:spacing w:line="560" w:lineRule="exact"/>
        <w:ind w:left="0" w:leftChars="0"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rPr>
        <w:t>村容村貌资金项目物资使用年限短，不能长久解决问题，缺少明确的资金使用界限。</w:t>
      </w:r>
    </w:p>
    <w:p>
      <w:pPr>
        <w:pStyle w:val="2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六、</w:t>
      </w:r>
      <w:r>
        <w:rPr>
          <w:rFonts w:hint="eastAsia" w:ascii="黑体" w:hAnsi="黑体" w:eastAsia="黑体" w:cs="黑体"/>
          <w:sz w:val="32"/>
          <w:szCs w:val="32"/>
        </w:rPr>
        <w:t>有关建议</w:t>
      </w:r>
    </w:p>
    <w:p>
      <w:pPr>
        <w:pStyle w:val="20"/>
        <w:pageBreakBefore w:val="0"/>
        <w:widowControl w:val="0"/>
        <w:kinsoku/>
        <w:wordWrap/>
        <w:overflowPunct/>
        <w:topLinePunct w:val="0"/>
        <w:autoSpaceDE/>
        <w:autoSpaceDN/>
        <w:bidi w:val="0"/>
        <w:adjustRightInd w:val="0"/>
        <w:snapToGrid w:val="0"/>
        <w:spacing w:line="560" w:lineRule="exact"/>
        <w:ind w:left="0" w:leftChars="0"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rPr>
        <w:t>更加明确资金用途，达到专款专用。在村容村貌项目实施中，严格按照村民大会的意见，积极争取群众意见，在项目建设选址及实施中，合理合规。</w:t>
      </w:r>
    </w:p>
    <w:p>
      <w:pPr>
        <w:pStyle w:val="2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七、其他需要说明的问题</w:t>
      </w:r>
    </w:p>
    <w:p>
      <w:pPr>
        <w:pStyle w:val="20"/>
        <w:pageBreakBefore w:val="0"/>
        <w:widowControl w:val="0"/>
        <w:kinsoku/>
        <w:wordWrap/>
        <w:overflowPunct/>
        <w:topLinePunct w:val="0"/>
        <w:autoSpaceDE/>
        <w:autoSpaceDN/>
        <w:bidi w:val="0"/>
        <w:adjustRightInd w:val="0"/>
        <w:snapToGrid w:val="0"/>
        <w:spacing w:line="560" w:lineRule="exact"/>
        <w:ind w:left="0" w:leftChars="0"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lang w:val="en-US" w:eastAsia="zh-CN"/>
        </w:rPr>
        <w:t>无其他说明问题</w:t>
      </w:r>
      <w:r>
        <w:rPr>
          <w:rFonts w:hint="eastAsia" w:ascii="仿宋_GB2312" w:hAnsi="仿宋" w:eastAsia="仿宋_GB2312"/>
          <w:bCs/>
          <w:spacing w:val="-4"/>
          <w:sz w:val="32"/>
          <w:szCs w:val="32"/>
        </w:rPr>
        <w:t>。</w:t>
      </w:r>
    </w:p>
    <w:p>
      <w:pPr>
        <w:pStyle w:val="24"/>
        <w:pageBreakBefore w:val="0"/>
        <w:widowControl w:val="0"/>
        <w:kinsoku/>
        <w:wordWrap/>
        <w:overflowPunct/>
        <w:topLinePunct w:val="0"/>
        <w:autoSpaceDE/>
        <w:autoSpaceDN/>
        <w:bidi w:val="0"/>
        <w:spacing w:before="0" w:after="0" w:line="560" w:lineRule="exact"/>
        <w:ind w:left="0" w:leftChars="0" w:firstLine="624" w:firstLineChars="200"/>
        <w:textAlignment w:val="auto"/>
        <w:rPr>
          <w:rFonts w:ascii="仿宋_GB2312" w:hAnsi="仿宋" w:eastAsia="仿宋_GB2312" w:cstheme="minorBidi"/>
          <w:b w:val="0"/>
          <w:spacing w:val="-4"/>
          <w:kern w:val="2"/>
        </w:rPr>
      </w:pPr>
    </w:p>
    <w:p>
      <w:pPr>
        <w:pStyle w:val="24"/>
        <w:pageBreakBefore w:val="0"/>
        <w:widowControl w:val="0"/>
        <w:kinsoku/>
        <w:wordWrap/>
        <w:overflowPunct/>
        <w:topLinePunct w:val="0"/>
        <w:autoSpaceDE/>
        <w:autoSpaceDN/>
        <w:bidi w:val="0"/>
        <w:spacing w:before="0" w:after="0" w:line="560" w:lineRule="exact"/>
        <w:ind w:left="0" w:leftChars="0" w:firstLine="624" w:firstLineChars="200"/>
        <w:textAlignment w:val="auto"/>
        <w:rPr>
          <w:rFonts w:ascii="仿宋_GB2312" w:hAnsi="仿宋" w:eastAsia="仿宋_GB2312" w:cstheme="minorBidi"/>
          <w:b w:val="0"/>
          <w:spacing w:val="-4"/>
          <w:kern w:val="2"/>
        </w:rPr>
      </w:pPr>
    </w:p>
    <w:p>
      <w:pPr>
        <w:pageBreakBefore w:val="0"/>
        <w:widowControl w:val="0"/>
        <w:kinsoku/>
        <w:wordWrap/>
        <w:overflowPunct/>
        <w:topLinePunct w:val="0"/>
        <w:autoSpaceDE/>
        <w:autoSpaceDN/>
        <w:bidi w:val="0"/>
        <w:spacing w:line="560" w:lineRule="exact"/>
        <w:ind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附件1：喀什地区叶城县</w:t>
      </w:r>
      <w:r>
        <w:rPr>
          <w:rFonts w:hint="eastAsia" w:ascii="仿宋_GB2312" w:hAnsi="仿宋" w:eastAsia="仿宋_GB2312" w:cs="宋体"/>
          <w:sz w:val="32"/>
          <w:szCs w:val="32"/>
          <w:lang w:eastAsia="zh-CN"/>
        </w:rPr>
        <w:t>棋盘乡</w:t>
      </w:r>
      <w:r>
        <w:rPr>
          <w:rFonts w:hint="eastAsia" w:ascii="仿宋_GB2312" w:hAnsi="仿宋" w:eastAsia="仿宋_GB2312" w:cs="宋体"/>
          <w:sz w:val="32"/>
          <w:szCs w:val="32"/>
        </w:rPr>
        <w:t>村容村貌项目支出绩效目标申报表</w:t>
      </w:r>
    </w:p>
    <w:p>
      <w:pPr>
        <w:pageBreakBefore w:val="0"/>
        <w:widowControl w:val="0"/>
        <w:kinsoku/>
        <w:wordWrap/>
        <w:overflowPunct/>
        <w:topLinePunct w:val="0"/>
        <w:autoSpaceDE/>
        <w:autoSpaceDN/>
        <w:bidi w:val="0"/>
        <w:spacing w:line="560" w:lineRule="exact"/>
        <w:ind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附件2：喀什地区叶城县</w:t>
      </w:r>
      <w:r>
        <w:rPr>
          <w:rFonts w:hint="eastAsia" w:ascii="仿宋_GB2312" w:hAnsi="仿宋" w:eastAsia="仿宋_GB2312" w:cs="宋体"/>
          <w:sz w:val="32"/>
          <w:szCs w:val="32"/>
          <w:lang w:eastAsia="zh-CN"/>
        </w:rPr>
        <w:t>棋盘乡</w:t>
      </w:r>
      <w:r>
        <w:rPr>
          <w:rFonts w:hint="eastAsia" w:ascii="仿宋_GB2312" w:hAnsi="仿宋" w:eastAsia="仿宋_GB2312" w:cs="宋体"/>
          <w:sz w:val="32"/>
          <w:szCs w:val="32"/>
        </w:rPr>
        <w:t>村容村貌项目支出绩效自评表</w:t>
      </w:r>
    </w:p>
    <w:p>
      <w:pPr>
        <w:pageBreakBefore w:val="0"/>
        <w:widowControl w:val="0"/>
        <w:kinsoku/>
        <w:wordWrap/>
        <w:overflowPunct/>
        <w:topLinePunct w:val="0"/>
        <w:autoSpaceDE/>
        <w:autoSpaceDN/>
        <w:bidi w:val="0"/>
        <w:spacing w:line="560" w:lineRule="exact"/>
        <w:ind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附件3：喀什地区叶城县</w:t>
      </w:r>
      <w:bookmarkStart w:id="8" w:name="_GoBack"/>
      <w:bookmarkEnd w:id="8"/>
      <w:r>
        <w:rPr>
          <w:rFonts w:hint="eastAsia" w:ascii="仿宋_GB2312" w:hAnsi="仿宋" w:eastAsia="仿宋_GB2312" w:cs="宋体"/>
          <w:sz w:val="32"/>
          <w:szCs w:val="32"/>
          <w:lang w:eastAsia="zh-CN"/>
        </w:rPr>
        <w:t>棋盘乡</w:t>
      </w:r>
      <w:r>
        <w:rPr>
          <w:rFonts w:hint="eastAsia" w:ascii="仿宋_GB2312" w:hAnsi="仿宋" w:eastAsia="仿宋_GB2312" w:cs="宋体"/>
          <w:sz w:val="32"/>
          <w:szCs w:val="32"/>
        </w:rPr>
        <w:t>村容村貌资项目支出绩效评价指标体系</w:t>
      </w:r>
    </w:p>
    <w:p>
      <w:pPr>
        <w:pageBreakBefore w:val="0"/>
        <w:widowControl w:val="0"/>
        <w:kinsoku/>
        <w:wordWrap/>
        <w:overflowPunct/>
        <w:topLinePunct w:val="0"/>
        <w:autoSpaceDE/>
        <w:autoSpaceDN/>
        <w:bidi w:val="0"/>
        <w:spacing w:line="560" w:lineRule="exact"/>
        <w:ind w:leftChars="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附件4：喀什地区部门支出绩效评价评分表</w:t>
      </w:r>
    </w:p>
    <w:sectPr>
      <w:footerReference r:id="rId3" w:type="default"/>
      <w:pgSz w:w="11906" w:h="16838"/>
      <w:pgMar w:top="1440" w:right="1797" w:bottom="1440" w:left="1797" w:header="851" w:footer="992" w:gutter="0"/>
      <w:pgNumType w:start="1"/>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Microsoft Himalaya">
    <w:panose1 w:val="01010100010101010101"/>
    <w:charset w:val="00"/>
    <w:family w:val="auto"/>
    <w:pitch w:val="default"/>
    <w:sig w:usb0="80000003" w:usb1="00010000" w:usb2="00000040" w:usb3="00000000" w:csb0="00000001" w:csb1="00000000"/>
  </w:font>
  <w:font w:name="等线 Light">
    <w:altName w:val="宋体"/>
    <w:panose1 w:val="00000000000000000000"/>
    <w:charset w:val="86"/>
    <w:family w:val="auto"/>
    <w:pitch w:val="default"/>
    <w:sig w:usb0="00000000" w:usb1="00000000"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MingLiU">
    <w:panose1 w:val="02020509000000000000"/>
    <w:charset w:val="88"/>
    <w:family w:val="modern"/>
    <w:pitch w:val="default"/>
    <w:sig w:usb0="A00002FF" w:usb1="28CFFCFA" w:usb2="00000016" w:usb3="00000000" w:csb0="00100001"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B932666"/>
    <w:multiLevelType w:val="singleLevel"/>
    <w:tmpl w:val="CB932666"/>
    <w:lvl w:ilvl="0" w:tentative="0">
      <w:start w:val="1"/>
      <w:numFmt w:val="decimal"/>
      <w:lvlText w:val="%1."/>
      <w:lvlJc w:val="left"/>
      <w:pPr>
        <w:tabs>
          <w:tab w:val="left" w:pos="312"/>
        </w:tabs>
      </w:pPr>
    </w:lvl>
  </w:abstractNum>
  <w:abstractNum w:abstractNumId="1">
    <w:nsid w:val="316D4D14"/>
    <w:multiLevelType w:val="multilevel"/>
    <w:tmpl w:val="316D4D14"/>
    <w:lvl w:ilvl="0" w:tentative="0">
      <w:start w:val="1"/>
      <w:numFmt w:val="decimal"/>
      <w:lvlText w:val="%1."/>
      <w:lvlJc w:val="left"/>
      <w:pPr>
        <w:ind w:left="988" w:hanging="420"/>
      </w:pPr>
    </w:lvl>
    <w:lvl w:ilvl="1" w:tentative="0">
      <w:start w:val="1"/>
      <w:numFmt w:val="decimal"/>
      <w:lvlText w:val="%2."/>
      <w:lvlJc w:val="left"/>
      <w:pPr>
        <w:ind w:left="1408" w:hanging="420"/>
      </w:pPr>
    </w:lvl>
    <w:lvl w:ilvl="2" w:tentative="0">
      <w:start w:val="1"/>
      <w:numFmt w:val="lowerRoman"/>
      <w:lvlText w:val="%3."/>
      <w:lvlJc w:val="right"/>
      <w:pPr>
        <w:ind w:left="1828" w:hanging="420"/>
      </w:pPr>
    </w:lvl>
    <w:lvl w:ilvl="3" w:tentative="0">
      <w:start w:val="1"/>
      <w:numFmt w:val="decimal"/>
      <w:lvlText w:val="%4."/>
      <w:lvlJc w:val="left"/>
      <w:pPr>
        <w:ind w:left="2248" w:hanging="420"/>
      </w:pPr>
    </w:lvl>
    <w:lvl w:ilvl="4" w:tentative="0">
      <w:start w:val="1"/>
      <w:numFmt w:val="lowerLetter"/>
      <w:lvlText w:val="%5)"/>
      <w:lvlJc w:val="left"/>
      <w:pPr>
        <w:ind w:left="2668" w:hanging="420"/>
      </w:pPr>
    </w:lvl>
    <w:lvl w:ilvl="5" w:tentative="0">
      <w:start w:val="1"/>
      <w:numFmt w:val="lowerRoman"/>
      <w:lvlText w:val="%6."/>
      <w:lvlJc w:val="right"/>
      <w:pPr>
        <w:ind w:left="3088" w:hanging="420"/>
      </w:pPr>
    </w:lvl>
    <w:lvl w:ilvl="6" w:tentative="0">
      <w:start w:val="1"/>
      <w:numFmt w:val="decimal"/>
      <w:lvlText w:val="%7."/>
      <w:lvlJc w:val="left"/>
      <w:pPr>
        <w:ind w:left="3508" w:hanging="420"/>
      </w:pPr>
    </w:lvl>
    <w:lvl w:ilvl="7" w:tentative="0">
      <w:start w:val="1"/>
      <w:numFmt w:val="lowerLetter"/>
      <w:lvlText w:val="%8)"/>
      <w:lvlJc w:val="left"/>
      <w:pPr>
        <w:ind w:left="3928" w:hanging="420"/>
      </w:pPr>
    </w:lvl>
    <w:lvl w:ilvl="8" w:tentative="0">
      <w:start w:val="1"/>
      <w:numFmt w:val="lowerRoman"/>
      <w:lvlText w:val="%9."/>
      <w:lvlJc w:val="right"/>
      <w:pPr>
        <w:ind w:left="4348" w:hanging="420"/>
      </w:pPr>
    </w:lvl>
  </w:abstractNum>
  <w:abstractNum w:abstractNumId="2">
    <w:nsid w:val="3A7260C0"/>
    <w:multiLevelType w:val="multilevel"/>
    <w:tmpl w:val="3A7260C0"/>
    <w:lvl w:ilvl="0" w:tentative="0">
      <w:start w:val="1"/>
      <w:numFmt w:val="chineseCountingThousand"/>
      <w:pStyle w:val="26"/>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F37299F"/>
    <w:multiLevelType w:val="multilevel"/>
    <w:tmpl w:val="4F37299F"/>
    <w:lvl w:ilvl="0" w:tentative="0">
      <w:start w:val="1"/>
      <w:numFmt w:val="chineseCountingThousand"/>
      <w:lvlText w:val="(%1)"/>
      <w:lvlJc w:val="left"/>
      <w:pPr>
        <w:ind w:left="420" w:hanging="420"/>
      </w:pPr>
      <w:rPr>
        <w:rFonts w:hint="eastAsia"/>
      </w:rPr>
    </w:lvl>
    <w:lvl w:ilvl="1" w:tentative="0">
      <w:start w:val="1"/>
      <w:numFmt w:val="japaneseCounting"/>
      <w:lvlText w:val="（%2）"/>
      <w:lvlJc w:val="left"/>
      <w:pPr>
        <w:ind w:left="1500" w:hanging="10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54451D54"/>
    <w:multiLevelType w:val="multilevel"/>
    <w:tmpl w:val="54451D54"/>
    <w:lvl w:ilvl="0" w:tentative="0">
      <w:start w:val="1"/>
      <w:numFmt w:val="decimal"/>
      <w:lvlText w:val="%1．"/>
      <w:lvlJc w:val="left"/>
      <w:pPr>
        <w:ind w:left="1065" w:hanging="420"/>
      </w:pPr>
      <w:rPr>
        <w:rFonts w:hint="eastAsia"/>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abstractNum w:abstractNumId="5">
    <w:nsid w:val="5B493FDA"/>
    <w:multiLevelType w:val="multilevel"/>
    <w:tmpl w:val="5B493FDA"/>
    <w:lvl w:ilvl="0" w:tentative="0">
      <w:start w:val="1"/>
      <w:numFmt w:val="chineseCountingThousand"/>
      <w:lvlText w:val="(%1)"/>
      <w:lvlJc w:val="left"/>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6">
    <w:nsid w:val="6757463D"/>
    <w:multiLevelType w:val="multilevel"/>
    <w:tmpl w:val="6757463D"/>
    <w:lvl w:ilvl="0" w:tentative="0">
      <w:start w:val="1"/>
      <w:numFmt w:val="chineseCountingThousand"/>
      <w:lvlText w:val="%1、"/>
      <w:lvlJc w:val="left"/>
      <w:pPr>
        <w:ind w:left="1063" w:hanging="420"/>
      </w:pPr>
      <w:rPr>
        <w:rFonts w:hint="eastAsia"/>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2"/>
  </w:num>
  <w:num w:numId="2">
    <w:abstractNumId w:val="6"/>
  </w:num>
  <w:num w:numId="3">
    <w:abstractNumId w:val="4"/>
  </w:num>
  <w:num w:numId="4">
    <w:abstractNumId w:val="3"/>
  </w:num>
  <w:num w:numId="5">
    <w:abstractNumId w:val="0"/>
  </w:num>
  <w:num w:numId="6">
    <w:abstractNumId w:val="1"/>
  </w:num>
  <w:num w:numId="7">
    <w:abstractNumId w:val="5"/>
  </w:num>
  <w:num w:numId="8">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0"/>
  <w:drawingGridHorizontalSpacing w:val="210"/>
  <w:drawingGridVerticalSpacing w:val="15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75715"/>
    <w:rsid w:val="0002225B"/>
    <w:rsid w:val="00022413"/>
    <w:rsid w:val="00037F93"/>
    <w:rsid w:val="00042126"/>
    <w:rsid w:val="000E0C7B"/>
    <w:rsid w:val="000F2007"/>
    <w:rsid w:val="00100A64"/>
    <w:rsid w:val="00100AA9"/>
    <w:rsid w:val="001143D6"/>
    <w:rsid w:val="00127691"/>
    <w:rsid w:val="0012798F"/>
    <w:rsid w:val="00130994"/>
    <w:rsid w:val="00132553"/>
    <w:rsid w:val="00151AF1"/>
    <w:rsid w:val="00174F3A"/>
    <w:rsid w:val="0018169D"/>
    <w:rsid w:val="00193649"/>
    <w:rsid w:val="0019720C"/>
    <w:rsid w:val="001A1902"/>
    <w:rsid w:val="001A4FFA"/>
    <w:rsid w:val="001B5B44"/>
    <w:rsid w:val="001D5FF2"/>
    <w:rsid w:val="001D6F2E"/>
    <w:rsid w:val="00203FB6"/>
    <w:rsid w:val="00233ECE"/>
    <w:rsid w:val="002A1BF4"/>
    <w:rsid w:val="002B3A72"/>
    <w:rsid w:val="002C6231"/>
    <w:rsid w:val="002F7CDC"/>
    <w:rsid w:val="00324E56"/>
    <w:rsid w:val="00331AF1"/>
    <w:rsid w:val="003468D7"/>
    <w:rsid w:val="00363E52"/>
    <w:rsid w:val="00382736"/>
    <w:rsid w:val="003A04D1"/>
    <w:rsid w:val="003C327E"/>
    <w:rsid w:val="003C4B3D"/>
    <w:rsid w:val="003C6E7F"/>
    <w:rsid w:val="003E0E95"/>
    <w:rsid w:val="003F1C70"/>
    <w:rsid w:val="003F2E47"/>
    <w:rsid w:val="00403544"/>
    <w:rsid w:val="004115AA"/>
    <w:rsid w:val="00434C92"/>
    <w:rsid w:val="00443C47"/>
    <w:rsid w:val="00452560"/>
    <w:rsid w:val="00467DBB"/>
    <w:rsid w:val="004701CF"/>
    <w:rsid w:val="004A0587"/>
    <w:rsid w:val="004C56AB"/>
    <w:rsid w:val="004D088E"/>
    <w:rsid w:val="004D4F06"/>
    <w:rsid w:val="005011BC"/>
    <w:rsid w:val="005201A9"/>
    <w:rsid w:val="005225F1"/>
    <w:rsid w:val="0052672D"/>
    <w:rsid w:val="00531253"/>
    <w:rsid w:val="00540B36"/>
    <w:rsid w:val="00563E06"/>
    <w:rsid w:val="0058554B"/>
    <w:rsid w:val="00596DDF"/>
    <w:rsid w:val="005A425A"/>
    <w:rsid w:val="005B6EAB"/>
    <w:rsid w:val="005D7AC7"/>
    <w:rsid w:val="00630E69"/>
    <w:rsid w:val="006362B2"/>
    <w:rsid w:val="0065420A"/>
    <w:rsid w:val="006869EC"/>
    <w:rsid w:val="00692EE8"/>
    <w:rsid w:val="00694A44"/>
    <w:rsid w:val="006D0AA4"/>
    <w:rsid w:val="006F2513"/>
    <w:rsid w:val="006F64CB"/>
    <w:rsid w:val="0071759F"/>
    <w:rsid w:val="007253B3"/>
    <w:rsid w:val="00731D46"/>
    <w:rsid w:val="00734BAD"/>
    <w:rsid w:val="00752C57"/>
    <w:rsid w:val="00781733"/>
    <w:rsid w:val="007C5CF9"/>
    <w:rsid w:val="007D2E07"/>
    <w:rsid w:val="007D340B"/>
    <w:rsid w:val="007E6392"/>
    <w:rsid w:val="007F3C25"/>
    <w:rsid w:val="00811F2D"/>
    <w:rsid w:val="008126D3"/>
    <w:rsid w:val="00815938"/>
    <w:rsid w:val="008226BA"/>
    <w:rsid w:val="00827DA6"/>
    <w:rsid w:val="00835103"/>
    <w:rsid w:val="00854416"/>
    <w:rsid w:val="00866F54"/>
    <w:rsid w:val="00883FF2"/>
    <w:rsid w:val="0089293E"/>
    <w:rsid w:val="00893E6C"/>
    <w:rsid w:val="008D7BC7"/>
    <w:rsid w:val="0090104C"/>
    <w:rsid w:val="00982B10"/>
    <w:rsid w:val="009A45E1"/>
    <w:rsid w:val="009B64BB"/>
    <w:rsid w:val="009C0267"/>
    <w:rsid w:val="009D4DA0"/>
    <w:rsid w:val="009E5354"/>
    <w:rsid w:val="00A01E7E"/>
    <w:rsid w:val="00A10F1E"/>
    <w:rsid w:val="00A12A0C"/>
    <w:rsid w:val="00A17305"/>
    <w:rsid w:val="00A365D5"/>
    <w:rsid w:val="00A41DB8"/>
    <w:rsid w:val="00A43094"/>
    <w:rsid w:val="00A53361"/>
    <w:rsid w:val="00A5786D"/>
    <w:rsid w:val="00A60191"/>
    <w:rsid w:val="00A81609"/>
    <w:rsid w:val="00A85237"/>
    <w:rsid w:val="00AB07C5"/>
    <w:rsid w:val="00AE1FDF"/>
    <w:rsid w:val="00AE3042"/>
    <w:rsid w:val="00B03B29"/>
    <w:rsid w:val="00B16C8F"/>
    <w:rsid w:val="00B32FA4"/>
    <w:rsid w:val="00B36F46"/>
    <w:rsid w:val="00B47B13"/>
    <w:rsid w:val="00B53BE4"/>
    <w:rsid w:val="00B6063F"/>
    <w:rsid w:val="00B70451"/>
    <w:rsid w:val="00B9042A"/>
    <w:rsid w:val="00BA0855"/>
    <w:rsid w:val="00BA65AD"/>
    <w:rsid w:val="00BC7696"/>
    <w:rsid w:val="00C2671D"/>
    <w:rsid w:val="00C563AA"/>
    <w:rsid w:val="00C71FF0"/>
    <w:rsid w:val="00C77259"/>
    <w:rsid w:val="00C97E2D"/>
    <w:rsid w:val="00D043D7"/>
    <w:rsid w:val="00D117FB"/>
    <w:rsid w:val="00D23C2E"/>
    <w:rsid w:val="00D5775D"/>
    <w:rsid w:val="00D61EC8"/>
    <w:rsid w:val="00D93516"/>
    <w:rsid w:val="00DA7F4C"/>
    <w:rsid w:val="00DC5F94"/>
    <w:rsid w:val="00DE152F"/>
    <w:rsid w:val="00DE293B"/>
    <w:rsid w:val="00E05626"/>
    <w:rsid w:val="00E25B2F"/>
    <w:rsid w:val="00E326F6"/>
    <w:rsid w:val="00E373A5"/>
    <w:rsid w:val="00E66A4D"/>
    <w:rsid w:val="00E72B1C"/>
    <w:rsid w:val="00E96169"/>
    <w:rsid w:val="00F0780F"/>
    <w:rsid w:val="00F16D54"/>
    <w:rsid w:val="00F6015C"/>
    <w:rsid w:val="00F75715"/>
    <w:rsid w:val="00FB2E2F"/>
    <w:rsid w:val="00FD300A"/>
    <w:rsid w:val="00FF137F"/>
    <w:rsid w:val="00FF6959"/>
    <w:rsid w:val="00FF6C14"/>
    <w:rsid w:val="01BE6316"/>
    <w:rsid w:val="02207236"/>
    <w:rsid w:val="06102AEC"/>
    <w:rsid w:val="07AE4845"/>
    <w:rsid w:val="14CE67DB"/>
    <w:rsid w:val="1E76518A"/>
    <w:rsid w:val="217F35A7"/>
    <w:rsid w:val="24E73B1F"/>
    <w:rsid w:val="26F03C06"/>
    <w:rsid w:val="27242A93"/>
    <w:rsid w:val="2A547683"/>
    <w:rsid w:val="306A4501"/>
    <w:rsid w:val="31C366C0"/>
    <w:rsid w:val="31E47F95"/>
    <w:rsid w:val="33CA34B6"/>
    <w:rsid w:val="3BC01B4C"/>
    <w:rsid w:val="3EF224C8"/>
    <w:rsid w:val="46C16BC4"/>
    <w:rsid w:val="509F44DE"/>
    <w:rsid w:val="54BB3404"/>
    <w:rsid w:val="55945462"/>
    <w:rsid w:val="57964064"/>
    <w:rsid w:val="5A781A20"/>
    <w:rsid w:val="5CA106F2"/>
    <w:rsid w:val="5D56321A"/>
    <w:rsid w:val="5F4D13B5"/>
    <w:rsid w:val="65AC5A8D"/>
    <w:rsid w:val="667765BF"/>
    <w:rsid w:val="68AC0EA3"/>
    <w:rsid w:val="752001FB"/>
    <w:rsid w:val="7775238E"/>
    <w:rsid w:val="7A8638D9"/>
    <w:rsid w:val="7EE4114E"/>
  </w:rsids>
  <m:mathPr>
    <m:mathFont m:val="Cambria Math"/>
    <m:brkBin m:val="before"/>
    <m:brkBinSub m:val="--"/>
    <m:smallFrac m:val="1"/>
    <m:dispDef/>
    <m:lMargin m:val="0"/>
    <m:rMargin m:val="0"/>
    <m:defJc m:val="centerGroup"/>
    <m:wrapIndent m:val="1440"/>
    <m:intLim m:val="subSup"/>
    <m:naryLim m:val="undOvr"/>
  </m:mathPr>
  <w:themeFontLang w:val="en-US" w:eastAsia="zh-CN" w:bidi="bo-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1"/>
      <w:lang w:val="en-US" w:eastAsia="zh-CN" w:bidi="ar-SA"/>
    </w:rPr>
  </w:style>
  <w:style w:type="paragraph" w:styleId="2">
    <w:name w:val="heading 1"/>
    <w:basedOn w:val="1"/>
    <w:next w:val="1"/>
    <w:link w:val="19"/>
    <w:qFormat/>
    <w:uiPriority w:val="9"/>
    <w:pPr>
      <w:keepNext/>
      <w:keepLines/>
      <w:spacing w:before="340" w:after="330" w:line="578" w:lineRule="auto"/>
      <w:outlineLvl w:val="0"/>
    </w:pPr>
    <w:rPr>
      <w:rFonts w:ascii="Times New Roman" w:hAnsi="Times New Roman" w:eastAsia="黑体" w:cs="Arial"/>
      <w:b/>
      <w:bCs/>
      <w:kern w:val="44"/>
      <w:sz w:val="28"/>
      <w:szCs w:val="44"/>
    </w:rPr>
  </w:style>
  <w:style w:type="paragraph" w:styleId="3">
    <w:name w:val="heading 2"/>
    <w:basedOn w:val="1"/>
    <w:next w:val="1"/>
    <w:link w:val="2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5"/>
    <w:unhideWhenUsed/>
    <w:qFormat/>
    <w:uiPriority w:val="9"/>
    <w:pPr>
      <w:keepNext/>
      <w:keepLines/>
      <w:spacing w:before="260" w:after="260" w:line="416" w:lineRule="auto"/>
      <w:outlineLvl w:val="2"/>
    </w:pPr>
    <w:rPr>
      <w:b/>
      <w:bCs/>
      <w:sz w:val="32"/>
      <w:szCs w:val="32"/>
    </w:rPr>
  </w:style>
  <w:style w:type="character" w:default="1" w:styleId="15">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5">
    <w:name w:val="annotation text"/>
    <w:basedOn w:val="1"/>
    <w:unhideWhenUsed/>
    <w:qFormat/>
    <w:uiPriority w:val="99"/>
    <w:pPr>
      <w:jc w:val="left"/>
    </w:pPr>
  </w:style>
  <w:style w:type="paragraph" w:styleId="6">
    <w:name w:val="toc 3"/>
    <w:basedOn w:val="1"/>
    <w:next w:val="1"/>
    <w:unhideWhenUsed/>
    <w:qFormat/>
    <w:uiPriority w:val="39"/>
    <w:rPr>
      <w:rFonts w:eastAsia="仿宋_GB2312"/>
      <w:sz w:val="28"/>
    </w:rPr>
  </w:style>
  <w:style w:type="paragraph" w:styleId="7">
    <w:name w:val="Balloon Text"/>
    <w:basedOn w:val="1"/>
    <w:link w:val="23"/>
    <w:unhideWhenUsed/>
    <w:qFormat/>
    <w:uiPriority w:val="99"/>
    <w:rPr>
      <w:sz w:val="18"/>
      <w:szCs w:val="18"/>
    </w:rPr>
  </w:style>
  <w:style w:type="paragraph" w:styleId="8">
    <w:name w:val="footer"/>
    <w:basedOn w:val="1"/>
    <w:link w:val="22"/>
    <w:unhideWhenUsed/>
    <w:qFormat/>
    <w:uiPriority w:val="99"/>
    <w:pPr>
      <w:tabs>
        <w:tab w:val="center" w:pos="4153"/>
        <w:tab w:val="right" w:pos="8306"/>
      </w:tabs>
      <w:snapToGrid w:val="0"/>
      <w:jc w:val="left"/>
    </w:pPr>
    <w:rPr>
      <w:sz w:val="18"/>
      <w:szCs w:val="18"/>
    </w:rPr>
  </w:style>
  <w:style w:type="paragraph" w:styleId="9">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uiPriority w:val="39"/>
    <w:rPr>
      <w:rFonts w:eastAsia="仿宋_GB2312"/>
      <w:sz w:val="28"/>
    </w:rPr>
  </w:style>
  <w:style w:type="paragraph" w:styleId="11">
    <w:name w:val="toc 2"/>
    <w:basedOn w:val="1"/>
    <w:next w:val="1"/>
    <w:unhideWhenUsed/>
    <w:qFormat/>
    <w:uiPriority w:val="39"/>
    <w:rPr>
      <w:rFonts w:eastAsia="仿宋_GB2312"/>
      <w:sz w:val="28"/>
    </w:rPr>
  </w:style>
  <w:style w:type="paragraph" w:styleId="1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Strong"/>
    <w:basedOn w:val="15"/>
    <w:qFormat/>
    <w:uiPriority w:val="0"/>
    <w:rPr>
      <w:b/>
      <w:bCs/>
    </w:rPr>
  </w:style>
  <w:style w:type="character" w:styleId="17">
    <w:name w:val="Hyperlink"/>
    <w:basedOn w:val="15"/>
    <w:unhideWhenUsed/>
    <w:qFormat/>
    <w:uiPriority w:val="99"/>
    <w:rPr>
      <w:color w:val="0563C1" w:themeColor="hyperlink"/>
      <w:u w:val="single"/>
    </w:rPr>
  </w:style>
  <w:style w:type="character" w:styleId="18">
    <w:name w:val="annotation reference"/>
    <w:basedOn w:val="15"/>
    <w:unhideWhenUsed/>
    <w:qFormat/>
    <w:uiPriority w:val="99"/>
    <w:rPr>
      <w:sz w:val="21"/>
      <w:szCs w:val="21"/>
    </w:rPr>
  </w:style>
  <w:style w:type="character" w:customStyle="1" w:styleId="19">
    <w:name w:val="标题 1 Char"/>
    <w:basedOn w:val="15"/>
    <w:link w:val="2"/>
    <w:qFormat/>
    <w:uiPriority w:val="9"/>
    <w:rPr>
      <w:rFonts w:ascii="Times New Roman" w:hAnsi="Times New Roman" w:eastAsia="黑体" w:cs="Arial"/>
      <w:b/>
      <w:bCs/>
      <w:kern w:val="44"/>
      <w:sz w:val="28"/>
      <w:szCs w:val="44"/>
    </w:rPr>
  </w:style>
  <w:style w:type="paragraph" w:styleId="20">
    <w:name w:val="List Paragraph"/>
    <w:basedOn w:val="1"/>
    <w:qFormat/>
    <w:uiPriority w:val="34"/>
    <w:pPr>
      <w:ind w:firstLine="420" w:firstLineChars="200"/>
    </w:pPr>
  </w:style>
  <w:style w:type="character" w:customStyle="1" w:styleId="21">
    <w:name w:val="页眉 Char"/>
    <w:basedOn w:val="15"/>
    <w:link w:val="9"/>
    <w:qFormat/>
    <w:uiPriority w:val="99"/>
    <w:rPr>
      <w:sz w:val="18"/>
      <w:szCs w:val="18"/>
    </w:rPr>
  </w:style>
  <w:style w:type="character" w:customStyle="1" w:styleId="22">
    <w:name w:val="页脚 Char"/>
    <w:basedOn w:val="15"/>
    <w:link w:val="8"/>
    <w:qFormat/>
    <w:uiPriority w:val="99"/>
    <w:rPr>
      <w:sz w:val="18"/>
      <w:szCs w:val="18"/>
    </w:rPr>
  </w:style>
  <w:style w:type="character" w:customStyle="1" w:styleId="23">
    <w:name w:val="批注框文本 Char"/>
    <w:basedOn w:val="15"/>
    <w:link w:val="7"/>
    <w:semiHidden/>
    <w:qFormat/>
    <w:uiPriority w:val="99"/>
    <w:rPr>
      <w:sz w:val="18"/>
      <w:szCs w:val="18"/>
    </w:rPr>
  </w:style>
  <w:style w:type="paragraph" w:customStyle="1" w:styleId="24">
    <w:name w:val="标题1"/>
    <w:basedOn w:val="2"/>
    <w:qFormat/>
    <w:uiPriority w:val="0"/>
    <w:pPr>
      <w:spacing w:before="120" w:after="120" w:line="500" w:lineRule="exact"/>
      <w:ind w:firstLine="200" w:firstLineChars="200"/>
    </w:pPr>
    <w:rPr>
      <w:rFonts w:cs="Times New Roman"/>
      <w:sz w:val="32"/>
      <w:szCs w:val="32"/>
    </w:rPr>
  </w:style>
  <w:style w:type="character" w:customStyle="1" w:styleId="25">
    <w:name w:val="标题 2 Char"/>
    <w:basedOn w:val="15"/>
    <w:link w:val="3"/>
    <w:qFormat/>
    <w:uiPriority w:val="9"/>
    <w:rPr>
      <w:rFonts w:asciiTheme="majorHAnsi" w:hAnsiTheme="majorHAnsi" w:eastAsiaTheme="majorEastAsia" w:cstheme="majorBidi"/>
      <w:b/>
      <w:bCs/>
      <w:sz w:val="32"/>
      <w:szCs w:val="32"/>
    </w:rPr>
  </w:style>
  <w:style w:type="paragraph" w:customStyle="1" w:styleId="26">
    <w:name w:val="标题2"/>
    <w:basedOn w:val="3"/>
    <w:qFormat/>
    <w:uiPriority w:val="0"/>
    <w:pPr>
      <w:numPr>
        <w:ilvl w:val="0"/>
        <w:numId w:val="1"/>
      </w:numPr>
      <w:spacing w:before="120" w:after="120" w:line="500" w:lineRule="exact"/>
    </w:pPr>
    <w:rPr>
      <w:rFonts w:ascii="仿宋_GB2312" w:eastAsia="仿宋_GB2312" w:cs="Times New Roman"/>
    </w:rPr>
  </w:style>
  <w:style w:type="paragraph" w:customStyle="1" w:styleId="27">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28">
    <w:name w:val="闻政正文 Char"/>
    <w:link w:val="29"/>
    <w:qFormat/>
    <w:uiPriority w:val="0"/>
    <w:rPr>
      <w:rFonts w:ascii="Times New Roman" w:hAnsi="Times New Roman" w:eastAsia="仿宋_GB2312" w:cs="Times New Roman"/>
      <w:sz w:val="28"/>
      <w:szCs w:val="28"/>
    </w:rPr>
  </w:style>
  <w:style w:type="paragraph" w:customStyle="1" w:styleId="29">
    <w:name w:val="闻政正文"/>
    <w:basedOn w:val="1"/>
    <w:link w:val="28"/>
    <w:qFormat/>
    <w:uiPriority w:val="0"/>
    <w:pPr>
      <w:spacing w:line="500" w:lineRule="exact"/>
      <w:ind w:firstLine="560" w:firstLineChars="200"/>
    </w:pPr>
    <w:rPr>
      <w:rFonts w:ascii="Times New Roman" w:hAnsi="Times New Roman" w:eastAsia="仿宋_GB2312" w:cs="Times New Roman"/>
      <w:sz w:val="28"/>
      <w:szCs w:val="28"/>
    </w:rPr>
  </w:style>
  <w:style w:type="character" w:customStyle="1" w:styleId="30">
    <w:name w:val="闻政表 Char"/>
    <w:link w:val="31"/>
    <w:qFormat/>
    <w:uiPriority w:val="0"/>
    <w:rPr>
      <w:rFonts w:ascii="Times New Roman" w:hAnsi="Times New Roman" w:eastAsia="仿宋_GB2312" w:cs="Times New Roman"/>
      <w:b/>
      <w:sz w:val="24"/>
      <w:szCs w:val="28"/>
    </w:rPr>
  </w:style>
  <w:style w:type="paragraph" w:customStyle="1" w:styleId="31">
    <w:name w:val="闻政表"/>
    <w:basedOn w:val="1"/>
    <w:link w:val="30"/>
    <w:qFormat/>
    <w:uiPriority w:val="0"/>
    <w:pPr>
      <w:spacing w:before="60" w:after="60"/>
      <w:jc w:val="center"/>
    </w:pPr>
    <w:rPr>
      <w:rFonts w:ascii="Times New Roman" w:hAnsi="Times New Roman" w:eastAsia="仿宋_GB2312" w:cs="Times New Roman"/>
      <w:b/>
      <w:sz w:val="24"/>
      <w:szCs w:val="28"/>
    </w:rPr>
  </w:style>
  <w:style w:type="paragraph" w:customStyle="1" w:styleId="32">
    <w:name w:val="Char"/>
    <w:basedOn w:val="1"/>
    <w:qFormat/>
    <w:uiPriority w:val="0"/>
    <w:pPr>
      <w:widowControl/>
      <w:spacing w:after="160" w:line="240" w:lineRule="exact"/>
      <w:jc w:val="left"/>
    </w:pPr>
    <w:rPr>
      <w:rFonts w:ascii="Times New Roman" w:hAnsi="Times New Roman" w:eastAsia="宋体" w:cs="Times New Roman"/>
      <w:szCs w:val="22"/>
    </w:rPr>
  </w:style>
  <w:style w:type="character" w:customStyle="1" w:styleId="33">
    <w:name w:val="闻政标题3 Char"/>
    <w:link w:val="34"/>
    <w:qFormat/>
    <w:uiPriority w:val="0"/>
    <w:rPr>
      <w:rFonts w:ascii="黑体" w:hAnsi="黑体" w:eastAsia="黑体" w:cs="Times New Roman"/>
      <w:bCs/>
      <w:sz w:val="32"/>
      <w:szCs w:val="32"/>
    </w:rPr>
  </w:style>
  <w:style w:type="paragraph" w:customStyle="1" w:styleId="34">
    <w:name w:val="闻政标题3"/>
    <w:basedOn w:val="4"/>
    <w:link w:val="33"/>
    <w:qFormat/>
    <w:uiPriority w:val="99"/>
    <w:pPr>
      <w:spacing w:before="120" w:after="60" w:line="500" w:lineRule="exact"/>
      <w:jc w:val="left"/>
      <w:outlineLvl w:val="0"/>
    </w:pPr>
    <w:rPr>
      <w:rFonts w:ascii="黑体" w:hAnsi="黑体" w:eastAsia="黑体" w:cs="Times New Roman"/>
      <w:b w:val="0"/>
    </w:rPr>
  </w:style>
  <w:style w:type="character" w:customStyle="1" w:styleId="35">
    <w:name w:val="标题 3 Char"/>
    <w:basedOn w:val="15"/>
    <w:link w:val="4"/>
    <w:semiHidden/>
    <w:qFormat/>
    <w:uiPriority w:val="9"/>
    <w:rPr>
      <w:b/>
      <w:bCs/>
      <w:sz w:val="32"/>
      <w:szCs w:val="32"/>
    </w:rPr>
  </w:style>
  <w:style w:type="paragraph" w:customStyle="1" w:styleId="36">
    <w:name w:val="Body text|1"/>
    <w:basedOn w:val="1"/>
    <w:link w:val="37"/>
    <w:qFormat/>
    <w:uiPriority w:val="0"/>
    <w:pPr>
      <w:spacing w:after="40" w:line="334" w:lineRule="auto"/>
    </w:pPr>
    <w:rPr>
      <w:rFonts w:ascii="MingLiU" w:hAnsi="MingLiU" w:eastAsia="MingLiU" w:cs="MingLiU"/>
      <w:sz w:val="20"/>
      <w:szCs w:val="20"/>
      <w:lang w:val="zh-TW" w:eastAsia="zh-TW" w:bidi="zh-TW"/>
    </w:rPr>
  </w:style>
  <w:style w:type="character" w:customStyle="1" w:styleId="37">
    <w:name w:val="Body text|1_"/>
    <w:basedOn w:val="15"/>
    <w:link w:val="36"/>
    <w:unhideWhenUsed/>
    <w:qFormat/>
    <w:uiPriority w:val="0"/>
    <w:rPr>
      <w:rFonts w:ascii="MingLiU" w:hAnsi="MingLiU" w:eastAsia="MingLiU" w:cs="MingLiU"/>
      <w:sz w:val="20"/>
      <w:szCs w:val="20"/>
      <w:lang w:val="zh-TW" w:eastAsia="zh-TW" w:bidi="zh-TW"/>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512F1EB-F90A-43BA-ADA9-C32044478457}">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750</Words>
  <Characters>4280</Characters>
  <Lines>35</Lines>
  <Paragraphs>10</Paragraphs>
  <TotalTime>1</TotalTime>
  <ScaleCrop>false</ScaleCrop>
  <LinksUpToDate>false</LinksUpToDate>
  <CharactersWithSpaces>5020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2019-11-22T05:12:00Z</dcterms:created>
  <dc:creator>ThinkPad</dc:creator>
  <cp:lastModifiedBy>ptph</cp:lastModifiedBy>
  <dcterms:modified xsi:type="dcterms:W3CDTF">2020-05-27T12:06:04Z</dcterms:modified>
  <dc:title>新疆普天鹏华商务信息咨询有限公司</dc:title>
  <cp:revision>91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