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rPr>
        <w:t>喀什地区</w:t>
      </w:r>
      <w:r>
        <w:rPr>
          <w:rFonts w:hint="eastAsia" w:ascii="方正小标宋简体" w:eastAsia="方正小标宋简体"/>
          <w:sz w:val="44"/>
          <w:szCs w:val="44"/>
          <w:lang w:eastAsia="zh-CN"/>
        </w:rPr>
        <w:t>叶城县</w:t>
      </w:r>
      <w:r>
        <w:rPr>
          <w:rFonts w:hint="eastAsia" w:ascii="方正小标宋简体" w:eastAsia="方正小标宋简体"/>
          <w:sz w:val="44"/>
          <w:szCs w:val="44"/>
        </w:rPr>
        <w:t>农村危房改造项目支出绩效评价报告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项目名称：农村危房改造项目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eastAsia="zh-CN"/>
        </w:rPr>
        <w:t>叶城县江格勒斯乡人民政府</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eastAsia="zh-CN"/>
        </w:rPr>
        <w:t>叶城县江格勒斯乡人民政府</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56" w:beforeLines="50" w:line="0" w:lineRule="atLeast"/>
        <w:jc w:val="left"/>
        <w:rPr>
          <w:sz w:val="28"/>
          <w:szCs w:val="28"/>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pStyle w:val="22"/>
        <w:numPr>
          <w:ilvl w:val="0"/>
          <w:numId w:val="2"/>
        </w:numPr>
        <w:ind w:firstLineChars="0"/>
        <w:rPr>
          <w:lang w:bidi="ar"/>
        </w:rPr>
      </w:pPr>
      <w:r>
        <w:rPr>
          <w:rFonts w:hint="eastAsia"/>
          <w:lang w:bidi="ar"/>
        </w:rPr>
        <w:t>基本情况</w:t>
      </w:r>
    </w:p>
    <w:p>
      <w:pPr>
        <w:pStyle w:val="24"/>
        <w:ind w:left="0" w:firstLine="643" w:firstLineChars="200"/>
        <w:rPr>
          <w:lang w:bidi="ar"/>
        </w:rPr>
      </w:pPr>
      <w:bookmarkStart w:id="0" w:name="_Toc26401549"/>
      <w:r>
        <w:rPr>
          <w:rFonts w:hint="eastAsia"/>
          <w:lang w:bidi="ar"/>
        </w:rPr>
        <w:t>项目概况</w:t>
      </w:r>
      <w:bookmarkEnd w:id="0"/>
    </w:p>
    <w:p>
      <w:pPr>
        <w:pStyle w:val="18"/>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eastAsia="zh-CN" w:bidi="ar"/>
        </w:rPr>
        <w:t>本项目根据住房城乡建设部、财政部、国务院扶贫办《关于加强建档立卡贫困户等重点对象危房改造工作的指导意见》（建村【</w:t>
      </w:r>
      <w:r>
        <w:rPr>
          <w:rFonts w:hint="eastAsia" w:ascii="仿宋_GB2312" w:hAnsi="仿宋" w:eastAsia="仿宋_GB2312" w:cs="宋体"/>
          <w:color w:val="auto"/>
          <w:sz w:val="32"/>
          <w:szCs w:val="32"/>
          <w:highlight w:val="none"/>
          <w:lang w:val="en-US" w:eastAsia="zh-CN" w:bidi="ar"/>
        </w:rPr>
        <w:t>2016</w:t>
      </w:r>
      <w:r>
        <w:rPr>
          <w:rFonts w:hint="eastAsia" w:ascii="仿宋_GB2312" w:hAnsi="仿宋" w:eastAsia="仿宋_GB2312" w:cs="宋体"/>
          <w:color w:val="auto"/>
          <w:sz w:val="32"/>
          <w:szCs w:val="32"/>
          <w:highlight w:val="none"/>
          <w:lang w:eastAsia="zh-CN" w:bidi="ar"/>
        </w:rPr>
        <w:t>】</w:t>
      </w:r>
      <w:r>
        <w:rPr>
          <w:rFonts w:hint="eastAsia" w:ascii="仿宋_GB2312" w:hAnsi="仿宋" w:eastAsia="仿宋_GB2312" w:cs="宋体"/>
          <w:color w:val="auto"/>
          <w:sz w:val="32"/>
          <w:szCs w:val="32"/>
          <w:highlight w:val="none"/>
          <w:lang w:val="en-US" w:eastAsia="zh-CN" w:bidi="ar"/>
        </w:rPr>
        <w:t>251号）文件、新疆维吾尔自治区住房和城乡建设厅《转发住房城乡建设布关于加强农村危房改造质量安全管理工作的通知》（新建村函【2017】21号）文件和《关于印发&lt;关于全面做好叶城县农村危房拆除工作的指导意见&gt;的通知》（叶政办发【2018】76号）文件</w:t>
      </w:r>
      <w:r>
        <w:rPr>
          <w:rFonts w:hint="eastAsia" w:ascii="仿宋_GB2312" w:hAnsi="仿宋" w:eastAsia="仿宋_GB2312" w:cs="宋体"/>
          <w:color w:val="auto"/>
          <w:sz w:val="32"/>
          <w:szCs w:val="32"/>
          <w:highlight w:val="none"/>
          <w:lang w:eastAsia="zh-CN" w:bidi="ar"/>
        </w:rPr>
        <w:t>等相关规定立项，旨在为我乡建房户发放建房补贴，</w:t>
      </w:r>
      <w:r>
        <w:rPr>
          <w:rFonts w:hint="eastAsia" w:ascii="仿宋_GB2312" w:hAnsi="仿宋" w:eastAsia="仿宋_GB2312" w:cs="宋体"/>
          <w:color w:val="auto"/>
          <w:sz w:val="32"/>
          <w:szCs w:val="32"/>
          <w:highlight w:val="none"/>
          <w:lang w:bidi="ar"/>
        </w:rPr>
        <w:t>解决建房困难户经济困难，提升建房户获得感与幸福感。</w:t>
      </w:r>
    </w:p>
    <w:p>
      <w:pPr>
        <w:pStyle w:val="18"/>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项目主要内容及实施情况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bidi="ar"/>
        </w:rPr>
      </w:pPr>
      <w:r>
        <w:rPr>
          <w:rFonts w:hint="eastAsia" w:ascii="仿宋_GB2312" w:hAnsi="仿宋" w:eastAsia="仿宋_GB2312" w:cs="宋体"/>
          <w:color w:val="auto"/>
          <w:sz w:val="32"/>
          <w:szCs w:val="32"/>
          <w:highlight w:val="none"/>
          <w:lang w:bidi="ar"/>
        </w:rPr>
        <w:t>本项目</w:t>
      </w:r>
      <w:r>
        <w:rPr>
          <w:rFonts w:hint="eastAsia" w:ascii="仿宋_GB2312" w:hAnsi="仿宋" w:eastAsia="仿宋_GB2312" w:cs="宋体"/>
          <w:color w:val="auto"/>
          <w:sz w:val="32"/>
          <w:szCs w:val="32"/>
          <w:highlight w:val="none"/>
          <w:lang w:eastAsia="zh-CN" w:bidi="ar"/>
        </w:rPr>
        <w:t>资金按照喀什地区财政局、喀什地区住房和城乡建设局《关于拨付</w:t>
      </w:r>
      <w:r>
        <w:rPr>
          <w:rFonts w:hint="eastAsia" w:ascii="仿宋_GB2312" w:hAnsi="仿宋" w:eastAsia="仿宋_GB2312" w:cs="宋体"/>
          <w:color w:val="auto"/>
          <w:sz w:val="32"/>
          <w:szCs w:val="32"/>
          <w:highlight w:val="none"/>
          <w:lang w:val="en-US" w:eastAsia="zh-CN" w:bidi="ar"/>
        </w:rPr>
        <w:t>2019年自治区地方政府债券资金用于农村安居工程（统筹整合部分）的通知</w:t>
      </w:r>
      <w:r>
        <w:rPr>
          <w:rFonts w:hint="eastAsia" w:ascii="仿宋_GB2312" w:hAnsi="仿宋" w:eastAsia="仿宋_GB2312" w:cs="宋体"/>
          <w:color w:val="auto"/>
          <w:sz w:val="32"/>
          <w:szCs w:val="32"/>
          <w:highlight w:val="none"/>
          <w:lang w:eastAsia="zh-CN" w:bidi="ar"/>
        </w:rPr>
        <w:t>》（</w:t>
      </w:r>
      <w:r>
        <w:rPr>
          <w:rFonts w:hint="eastAsia" w:ascii="仿宋_GB2312" w:hAnsi="仿宋" w:eastAsia="仿宋_GB2312" w:cs="宋体"/>
          <w:color w:val="auto"/>
          <w:sz w:val="32"/>
          <w:szCs w:val="32"/>
          <w:highlight w:val="none"/>
          <w:lang w:bidi="ar"/>
        </w:rPr>
        <w:t>喀地财建</w:t>
      </w:r>
      <w:r>
        <w:rPr>
          <w:rFonts w:hint="eastAsia" w:ascii="仿宋_GB2312" w:hAnsi="仿宋" w:eastAsia="仿宋_GB2312" w:cs="宋体"/>
          <w:color w:val="auto"/>
          <w:sz w:val="32"/>
          <w:szCs w:val="32"/>
          <w:highlight w:val="none"/>
          <w:lang w:eastAsia="zh-CN" w:bidi="ar"/>
        </w:rPr>
        <w:t>【</w:t>
      </w:r>
      <w:r>
        <w:rPr>
          <w:rFonts w:hint="eastAsia" w:ascii="仿宋_GB2312" w:hAnsi="仿宋" w:eastAsia="仿宋_GB2312" w:cs="宋体"/>
          <w:color w:val="auto"/>
          <w:sz w:val="32"/>
          <w:szCs w:val="32"/>
          <w:highlight w:val="none"/>
          <w:lang w:bidi="ar"/>
        </w:rPr>
        <w:t>2019</w:t>
      </w:r>
      <w:r>
        <w:rPr>
          <w:rFonts w:hint="eastAsia" w:ascii="仿宋_GB2312" w:hAnsi="仿宋" w:eastAsia="仿宋_GB2312" w:cs="宋体"/>
          <w:color w:val="auto"/>
          <w:sz w:val="32"/>
          <w:szCs w:val="32"/>
          <w:highlight w:val="none"/>
          <w:lang w:eastAsia="zh-CN" w:bidi="ar"/>
        </w:rPr>
        <w:t>】</w:t>
      </w:r>
      <w:r>
        <w:rPr>
          <w:rFonts w:hint="eastAsia" w:ascii="仿宋_GB2312" w:hAnsi="仿宋" w:eastAsia="仿宋_GB2312" w:cs="宋体"/>
          <w:color w:val="auto"/>
          <w:sz w:val="32"/>
          <w:szCs w:val="32"/>
          <w:highlight w:val="none"/>
          <w:lang w:bidi="ar"/>
        </w:rPr>
        <w:t>44号</w:t>
      </w:r>
      <w:r>
        <w:rPr>
          <w:rFonts w:hint="eastAsia" w:ascii="仿宋_GB2312" w:hAnsi="仿宋" w:eastAsia="仿宋_GB2312" w:cs="宋体"/>
          <w:color w:val="auto"/>
          <w:sz w:val="32"/>
          <w:szCs w:val="32"/>
          <w:highlight w:val="none"/>
          <w:lang w:eastAsia="zh-CN" w:bidi="ar"/>
        </w:rPr>
        <w:t>）文件，喀什地区财政局、喀什地区住房和城乡建设局《关于调整下达</w:t>
      </w:r>
      <w:r>
        <w:rPr>
          <w:rFonts w:hint="eastAsia" w:ascii="仿宋_GB2312" w:hAnsi="仿宋" w:eastAsia="仿宋_GB2312" w:cs="宋体"/>
          <w:color w:val="auto"/>
          <w:sz w:val="32"/>
          <w:szCs w:val="32"/>
          <w:highlight w:val="none"/>
          <w:lang w:val="en-US" w:eastAsia="zh-CN" w:bidi="ar"/>
        </w:rPr>
        <w:t>2019年自治区地方政府债券资金用于农村安居工程（统筹整合部分）预算指标的通知</w:t>
      </w:r>
      <w:r>
        <w:rPr>
          <w:rFonts w:hint="eastAsia" w:ascii="仿宋_GB2312" w:hAnsi="仿宋" w:eastAsia="仿宋_GB2312" w:cs="宋体"/>
          <w:color w:val="auto"/>
          <w:sz w:val="32"/>
          <w:szCs w:val="32"/>
          <w:highlight w:val="none"/>
          <w:lang w:eastAsia="zh-CN" w:bidi="ar"/>
        </w:rPr>
        <w:t>》（</w:t>
      </w:r>
      <w:r>
        <w:rPr>
          <w:rFonts w:hint="eastAsia" w:ascii="仿宋_GB2312" w:hAnsi="仿宋" w:eastAsia="仿宋_GB2312" w:cs="宋体"/>
          <w:color w:val="auto"/>
          <w:sz w:val="32"/>
          <w:szCs w:val="32"/>
          <w:highlight w:val="none"/>
          <w:lang w:bidi="ar"/>
        </w:rPr>
        <w:t>喀地财建</w:t>
      </w:r>
      <w:r>
        <w:rPr>
          <w:rFonts w:hint="eastAsia" w:ascii="仿宋_GB2312" w:hAnsi="仿宋" w:eastAsia="仿宋_GB2312" w:cs="宋体"/>
          <w:color w:val="auto"/>
          <w:sz w:val="32"/>
          <w:szCs w:val="32"/>
          <w:highlight w:val="none"/>
          <w:lang w:eastAsia="zh-CN" w:bidi="ar"/>
        </w:rPr>
        <w:t>【</w:t>
      </w:r>
      <w:r>
        <w:rPr>
          <w:rFonts w:hint="eastAsia" w:ascii="仿宋_GB2312" w:hAnsi="仿宋" w:eastAsia="仿宋_GB2312" w:cs="宋体"/>
          <w:color w:val="auto"/>
          <w:sz w:val="32"/>
          <w:szCs w:val="32"/>
          <w:highlight w:val="none"/>
          <w:lang w:bidi="ar"/>
        </w:rPr>
        <w:t>2019</w:t>
      </w:r>
      <w:r>
        <w:rPr>
          <w:rFonts w:hint="eastAsia" w:ascii="仿宋_GB2312" w:hAnsi="仿宋" w:eastAsia="仿宋_GB2312" w:cs="宋体"/>
          <w:color w:val="auto"/>
          <w:sz w:val="32"/>
          <w:szCs w:val="32"/>
          <w:highlight w:val="none"/>
          <w:lang w:eastAsia="zh-CN" w:bidi="ar"/>
        </w:rPr>
        <w:t>】</w:t>
      </w:r>
      <w:r>
        <w:rPr>
          <w:rFonts w:hint="eastAsia" w:ascii="仿宋_GB2312" w:hAnsi="仿宋" w:eastAsia="仿宋_GB2312" w:cs="宋体"/>
          <w:color w:val="auto"/>
          <w:sz w:val="32"/>
          <w:szCs w:val="32"/>
          <w:highlight w:val="none"/>
          <w:lang w:bidi="ar"/>
        </w:rPr>
        <w:t>44号</w:t>
      </w:r>
      <w:r>
        <w:rPr>
          <w:rFonts w:hint="eastAsia" w:ascii="仿宋_GB2312" w:hAnsi="仿宋" w:eastAsia="仿宋_GB2312" w:cs="宋体"/>
          <w:color w:val="auto"/>
          <w:sz w:val="32"/>
          <w:szCs w:val="32"/>
          <w:highlight w:val="none"/>
          <w:lang w:eastAsia="zh-CN" w:bidi="ar"/>
        </w:rPr>
        <w:t>）文件精神，以“三最两就”为原则，严格落实农村危房改造范围及审批手续，按照个人申请、村级评议、乡级审核、县级批准、地区备案的审批流程，根据自治区下达补助资金及实施方案，结合我乡实际，制定了《江格勒斯乡农村危房改造项目资金管理制度》并组织实施。在竣工验收后，根据我乡农村危房改造项目以“三最两就”原则，并按照补助标准的不同，保障全乡634户建房户发放建房补助。</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 w:eastAsia="仿宋_GB2312" w:cs="宋体"/>
          <w:color w:val="auto"/>
          <w:sz w:val="32"/>
          <w:szCs w:val="32"/>
          <w:highlight w:val="none"/>
          <w:lang w:val="en-US" w:eastAsia="zh-CN" w:bidi="ar"/>
        </w:rPr>
      </w:pPr>
      <w:r>
        <w:rPr>
          <w:rFonts w:hint="eastAsia" w:ascii="仿宋_GB2312" w:hAnsi="仿宋" w:eastAsia="仿宋_GB2312" w:cs="宋体"/>
          <w:color w:val="auto"/>
          <w:sz w:val="32"/>
          <w:szCs w:val="32"/>
          <w:highlight w:val="none"/>
          <w:lang w:val="en-US" w:eastAsia="zh-CN" w:bidi="ar"/>
        </w:rPr>
        <w:t>3.项目负责人为陈国疆，主要职责为确定</w:t>
      </w:r>
      <w:r>
        <w:rPr>
          <w:rFonts w:hint="default" w:ascii="仿宋_GB2312" w:hAnsi="仿宋" w:eastAsia="仿宋_GB2312" w:cs="宋体"/>
          <w:color w:val="auto"/>
          <w:sz w:val="32"/>
          <w:szCs w:val="32"/>
          <w:highlight w:val="none"/>
          <w:lang w:val="en-US" w:eastAsia="zh-CN" w:bidi="ar"/>
        </w:rPr>
        <w:t>农村危房改造</w:t>
      </w:r>
      <w:r>
        <w:rPr>
          <w:rFonts w:hint="eastAsia" w:ascii="仿宋_GB2312" w:hAnsi="仿宋" w:eastAsia="仿宋_GB2312" w:cs="宋体"/>
          <w:color w:val="auto"/>
          <w:sz w:val="32"/>
          <w:szCs w:val="32"/>
          <w:highlight w:val="none"/>
          <w:lang w:val="en-US" w:eastAsia="zh-CN" w:bidi="ar"/>
        </w:rPr>
        <w:t>项目</w:t>
      </w:r>
      <w:r>
        <w:rPr>
          <w:rFonts w:hint="default" w:ascii="仿宋_GB2312" w:hAnsi="仿宋" w:eastAsia="仿宋_GB2312" w:cs="宋体"/>
          <w:color w:val="auto"/>
          <w:sz w:val="32"/>
          <w:szCs w:val="32"/>
          <w:highlight w:val="none"/>
          <w:lang w:val="en-US" w:eastAsia="zh-CN" w:bidi="ar"/>
        </w:rPr>
        <w:t>资金管理办法</w:t>
      </w:r>
      <w:r>
        <w:rPr>
          <w:rFonts w:hint="eastAsia" w:ascii="仿宋_GB2312" w:hAnsi="仿宋" w:eastAsia="仿宋_GB2312" w:cs="宋体"/>
          <w:color w:val="auto"/>
          <w:sz w:val="32"/>
          <w:szCs w:val="32"/>
          <w:highlight w:val="none"/>
          <w:lang w:val="en-US" w:eastAsia="zh-CN" w:bidi="ar"/>
        </w:rPr>
        <w:t>，确保项目资金按照</w:t>
      </w:r>
      <w:r>
        <w:rPr>
          <w:rFonts w:hint="default" w:ascii="仿宋_GB2312" w:hAnsi="仿宋" w:eastAsia="仿宋_GB2312" w:cs="宋体"/>
          <w:color w:val="auto"/>
          <w:sz w:val="32"/>
          <w:szCs w:val="32"/>
          <w:highlight w:val="none"/>
          <w:lang w:val="en-US" w:eastAsia="zh-CN" w:bidi="ar"/>
        </w:rPr>
        <w:t>财政资金管理制度</w:t>
      </w:r>
      <w:r>
        <w:rPr>
          <w:rFonts w:hint="eastAsia" w:ascii="仿宋_GB2312" w:hAnsi="仿宋" w:eastAsia="仿宋_GB2312" w:cs="宋体"/>
          <w:color w:val="auto"/>
          <w:sz w:val="32"/>
          <w:szCs w:val="32"/>
          <w:highlight w:val="none"/>
          <w:lang w:val="en-US" w:eastAsia="zh-CN" w:bidi="ar"/>
        </w:rPr>
        <w:t>进行</w:t>
      </w:r>
      <w:r>
        <w:rPr>
          <w:rFonts w:hint="default" w:ascii="仿宋_GB2312" w:hAnsi="仿宋" w:eastAsia="仿宋_GB2312" w:cs="宋体"/>
          <w:color w:val="auto"/>
          <w:sz w:val="32"/>
          <w:szCs w:val="32"/>
          <w:highlight w:val="none"/>
          <w:lang w:val="en-US" w:eastAsia="zh-CN" w:bidi="ar"/>
        </w:rPr>
        <w:t>支付</w:t>
      </w:r>
      <w:r>
        <w:rPr>
          <w:rFonts w:hint="eastAsia" w:ascii="仿宋_GB2312" w:hAnsi="仿宋" w:eastAsia="仿宋_GB2312" w:cs="宋体"/>
          <w:color w:val="auto"/>
          <w:sz w:val="32"/>
          <w:szCs w:val="32"/>
          <w:highlight w:val="none"/>
          <w:lang w:val="en-US" w:eastAsia="zh-CN" w:bidi="ar"/>
        </w:rPr>
        <w:t>，同时负责项目相关手续</w:t>
      </w:r>
      <w:r>
        <w:rPr>
          <w:rFonts w:hint="default" w:ascii="仿宋_GB2312" w:hAnsi="仿宋" w:eastAsia="仿宋_GB2312" w:cs="宋体"/>
          <w:color w:val="auto"/>
          <w:sz w:val="32"/>
          <w:szCs w:val="32"/>
          <w:highlight w:val="none"/>
          <w:lang w:val="en-US" w:eastAsia="zh-CN" w:bidi="ar"/>
        </w:rPr>
        <w:t>审批审核</w:t>
      </w:r>
      <w:r>
        <w:rPr>
          <w:rFonts w:hint="eastAsia" w:ascii="仿宋_GB2312" w:hAnsi="仿宋" w:eastAsia="仿宋_GB2312" w:cs="宋体"/>
          <w:color w:val="auto"/>
          <w:sz w:val="32"/>
          <w:szCs w:val="32"/>
          <w:highlight w:val="none"/>
          <w:lang w:val="en-US" w:eastAsia="zh-CN" w:bidi="ar"/>
        </w:rPr>
        <w:t>，确保</w:t>
      </w:r>
      <w:r>
        <w:rPr>
          <w:rFonts w:hint="default" w:ascii="仿宋_GB2312" w:hAnsi="仿宋" w:eastAsia="仿宋_GB2312" w:cs="宋体"/>
          <w:color w:val="auto"/>
          <w:sz w:val="32"/>
          <w:szCs w:val="32"/>
          <w:highlight w:val="none"/>
          <w:lang w:val="en-US" w:eastAsia="zh-CN" w:bidi="ar"/>
        </w:rPr>
        <w:t>资金的支付有完整的审批程序和手续符合制度要求。</w:t>
      </w:r>
    </w:p>
    <w:p>
      <w:pPr>
        <w:pStyle w:val="24"/>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rPr>
          <w:lang w:bidi="ar"/>
        </w:rPr>
      </w:pPr>
      <w:bookmarkStart w:id="1" w:name="_Toc26401550"/>
      <w:r>
        <w:rPr>
          <w:rFonts w:hint="eastAsia"/>
          <w:lang w:bidi="ar"/>
        </w:rPr>
        <w:t>资金</w:t>
      </w:r>
      <w:bookmarkEnd w:id="1"/>
      <w:r>
        <w:rPr>
          <w:rFonts w:hint="eastAsia"/>
          <w:lang w:bidi="ar"/>
        </w:rPr>
        <w:t>投入和使用情况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本项目总投资</w:t>
      </w:r>
      <w:r>
        <w:rPr>
          <w:rFonts w:hint="eastAsia" w:ascii="仿宋_GB2312" w:hAnsi="仿宋_GB2312" w:eastAsia="仿宋_GB2312" w:cs="仿宋_GB2312"/>
          <w:b w:val="0"/>
          <w:bCs/>
          <w:color w:val="auto"/>
          <w:sz w:val="32"/>
          <w:szCs w:val="32"/>
          <w:lang w:val="en-US" w:eastAsia="zh-CN"/>
        </w:rPr>
        <w:t>2333.12万</w:t>
      </w:r>
      <w:r>
        <w:rPr>
          <w:rFonts w:hint="eastAsia" w:ascii="仿宋_GB2312" w:hAnsi="仿宋" w:eastAsia="仿宋_GB2312" w:cs="宋体"/>
          <w:sz w:val="32"/>
          <w:szCs w:val="32"/>
          <w:lang w:bidi="ar"/>
        </w:rPr>
        <w:t>元，资金来源为自治区专项资金</w:t>
      </w:r>
      <w:r>
        <w:rPr>
          <w:rFonts w:hint="eastAsia" w:ascii="仿宋_GB2312" w:hAnsi="仿宋_GB2312" w:eastAsia="仿宋_GB2312" w:cs="仿宋_GB2312"/>
          <w:b w:val="0"/>
          <w:bCs/>
          <w:color w:val="auto"/>
          <w:sz w:val="32"/>
          <w:szCs w:val="32"/>
          <w:lang w:val="en-US" w:eastAsia="zh-CN"/>
        </w:rPr>
        <w:t>2333.12万</w:t>
      </w:r>
      <w:r>
        <w:rPr>
          <w:rFonts w:hint="eastAsia" w:ascii="仿宋_GB2312" w:hAnsi="仿宋" w:eastAsia="仿宋_GB2312" w:cs="宋体"/>
          <w:sz w:val="32"/>
          <w:szCs w:val="32"/>
          <w:lang w:bidi="ar"/>
        </w:rPr>
        <w:t>元。</w:t>
      </w:r>
      <w:r>
        <w:rPr>
          <w:rFonts w:hint="eastAsia" w:ascii="仿宋_GB2312" w:hAnsi="仿宋" w:eastAsia="仿宋_GB2312" w:cs="宋体"/>
          <w:sz w:val="32"/>
          <w:szCs w:val="32"/>
          <w:lang w:eastAsia="zh-CN" w:bidi="ar"/>
        </w:rPr>
        <w:t>此</w:t>
      </w:r>
      <w:r>
        <w:rPr>
          <w:rFonts w:hint="eastAsia" w:ascii="仿宋_GB2312" w:hAnsi="仿宋" w:eastAsia="仿宋_GB2312" w:cs="宋体"/>
          <w:sz w:val="32"/>
          <w:szCs w:val="32"/>
          <w:lang w:bidi="ar"/>
        </w:rPr>
        <w:t>项资金的使用范围：根据新财建</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2019</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69号、喀地财建</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2019</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44号</w:t>
      </w:r>
      <w:r>
        <w:rPr>
          <w:rFonts w:hint="eastAsia" w:ascii="仿宋_GB2312" w:hAnsi="仿宋" w:eastAsia="仿宋_GB2312" w:cs="宋体"/>
          <w:sz w:val="32"/>
          <w:szCs w:val="32"/>
          <w:lang w:eastAsia="zh-CN" w:bidi="ar"/>
        </w:rPr>
        <w:t>文件精神，本项目资金用于</w:t>
      </w:r>
      <w:r>
        <w:rPr>
          <w:rFonts w:hint="eastAsia" w:ascii="仿宋_GB2312" w:hAnsi="仿宋" w:eastAsia="仿宋_GB2312" w:cs="宋体"/>
          <w:sz w:val="32"/>
          <w:szCs w:val="32"/>
          <w:lang w:bidi="ar"/>
        </w:rPr>
        <w:t>(</w:t>
      </w:r>
      <w:r>
        <w:rPr>
          <w:rFonts w:hint="eastAsia" w:ascii="仿宋_GB2312" w:hAnsi="仿宋_GB2312" w:eastAsia="仿宋_GB2312" w:cs="仿宋_GB2312"/>
          <w:b w:val="0"/>
          <w:bCs/>
          <w:color w:val="auto"/>
          <w:sz w:val="32"/>
          <w:szCs w:val="32"/>
        </w:rPr>
        <w:t>用于完善我乡住房保障体系，改善住房保障服务，解决建房困难户经济困难，有效促进建房户就业，提升建房户获得感与幸福感。</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eastAsia="zh-CN" w:bidi="ar"/>
        </w:rPr>
        <w:t>叶城县江格勒斯乡人民政府</w:t>
      </w:r>
      <w:r>
        <w:rPr>
          <w:rFonts w:hint="eastAsia" w:ascii="仿宋_GB2312" w:hAnsi="仿宋" w:eastAsia="仿宋_GB2312" w:cs="宋体"/>
          <w:sz w:val="32"/>
          <w:szCs w:val="32"/>
          <w:lang w:bidi="ar"/>
        </w:rPr>
        <w:t>制定了农村危房改造项目资金管理办法，</w:t>
      </w:r>
      <w:r>
        <w:rPr>
          <w:rFonts w:hint="eastAsia" w:ascii="仿宋_GB2312" w:hAnsi="仿宋" w:eastAsia="仿宋_GB2312" w:cs="宋体"/>
          <w:sz w:val="32"/>
          <w:szCs w:val="32"/>
          <w:lang w:eastAsia="zh-CN" w:bidi="ar"/>
        </w:rPr>
        <w:t>资金完全</w:t>
      </w:r>
      <w:r>
        <w:rPr>
          <w:rFonts w:hint="eastAsia" w:ascii="仿宋_GB2312" w:hAnsi="仿宋" w:eastAsia="仿宋_GB2312" w:cs="宋体"/>
          <w:sz w:val="32"/>
          <w:szCs w:val="32"/>
          <w:lang w:bidi="ar"/>
        </w:rPr>
        <w:t>按照新财建</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2019</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69号、喀地财建</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2019</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44号</w:t>
      </w:r>
      <w:r>
        <w:rPr>
          <w:rFonts w:hint="eastAsia" w:ascii="仿宋_GB2312" w:hAnsi="仿宋" w:eastAsia="仿宋_GB2312" w:cs="宋体"/>
          <w:sz w:val="32"/>
          <w:szCs w:val="32"/>
          <w:lang w:eastAsia="zh-CN" w:bidi="ar"/>
        </w:rPr>
        <w:t>文件及实施方案</w:t>
      </w:r>
      <w:r>
        <w:rPr>
          <w:rFonts w:hint="eastAsia" w:ascii="仿宋_GB2312" w:hAnsi="仿宋" w:eastAsia="仿宋_GB2312" w:cs="宋体"/>
          <w:sz w:val="32"/>
          <w:szCs w:val="32"/>
          <w:lang w:bidi="ar"/>
        </w:rPr>
        <w:t>进行使用</w:t>
      </w:r>
      <w:r>
        <w:rPr>
          <w:rFonts w:hint="eastAsia" w:ascii="仿宋_GB2312" w:hAnsi="仿宋" w:eastAsia="仿宋_GB2312" w:cs="宋体"/>
          <w:sz w:val="32"/>
          <w:szCs w:val="32"/>
          <w:lang w:eastAsia="zh-CN" w:bidi="ar"/>
        </w:rPr>
        <w:t>。</w:t>
      </w:r>
    </w:p>
    <w:p>
      <w:pPr>
        <w:pStyle w:val="24"/>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rPr>
          <w:lang w:bidi="ar"/>
        </w:rPr>
      </w:pPr>
      <w:bookmarkStart w:id="2" w:name="_Toc26401551"/>
      <w:r>
        <w:rPr>
          <w:rFonts w:hint="eastAsia"/>
          <w:lang w:bidi="ar"/>
        </w:rPr>
        <w:t>绩效目标</w:t>
      </w:r>
      <w:bookmarkEnd w:id="2"/>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总体目标为：江格勒斯乡2019年农村危房改造项目主要用于完善我乡住房保障体系，改善住房保障服务，解决建房困难户经济困难，有效促进建房户就业，提升建房户获得感与幸福感。共涉及叶城县江格勒斯乡人民政府1个单位。按照年度预算，此项资金按时支出，完善我乡住房保障体系，改善住房保障服务，解决建房困难户经济困难，有效促进建房户就业，提升建房户获得感与幸福感。</w:t>
      </w:r>
    </w:p>
    <w:p>
      <w:pPr>
        <w:pStyle w:val="22"/>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rPr>
          <w:lang w:bidi="ar"/>
        </w:rPr>
      </w:pPr>
      <w:bookmarkStart w:id="3" w:name="_Toc26401552"/>
      <w:r>
        <w:rPr>
          <w:rFonts w:hint="eastAsia"/>
          <w:lang w:bidi="ar"/>
        </w:rPr>
        <w:t>评价工作简述</w:t>
      </w:r>
      <w:bookmarkEnd w:id="3"/>
    </w:p>
    <w:p>
      <w:pPr>
        <w:pStyle w:val="24"/>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rPr>
          <w:lang w:bidi="ar"/>
        </w:rPr>
      </w:pPr>
      <w:bookmarkStart w:id="4" w:name="_Toc26401553"/>
      <w:r>
        <w:rPr>
          <w:rFonts w:hint="eastAsia"/>
          <w:lang w:bidi="ar"/>
        </w:rPr>
        <w:t>评价目的</w:t>
      </w:r>
      <w:bookmarkEnd w:id="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FF0000"/>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w:t>
      </w:r>
      <w:r>
        <w:rPr>
          <w:rFonts w:ascii="仿宋_GB2312" w:hAnsi="仿宋" w:eastAsia="仿宋_GB2312" w:cs="宋体"/>
          <w:sz w:val="32"/>
          <w:szCs w:val="32"/>
          <w:highlight w:val="none"/>
          <w:lang w:bidi="ar"/>
        </w:rPr>
        <w:t>策文件与规定，</w:t>
      </w:r>
      <w:r>
        <w:rPr>
          <w:rFonts w:hint="eastAsia" w:ascii="仿宋_GB2312" w:hAnsi="仿宋" w:eastAsia="仿宋_GB2312" w:cs="宋体"/>
          <w:sz w:val="32"/>
          <w:szCs w:val="32"/>
          <w:highlight w:val="none"/>
          <w:lang w:bidi="ar"/>
        </w:rPr>
        <w:t>旨在评价农村危房改造项目实施前期、过程</w:t>
      </w:r>
      <w:r>
        <w:rPr>
          <w:rFonts w:hint="eastAsia" w:ascii="仿宋_GB2312" w:hAnsi="仿宋" w:eastAsia="仿宋_GB2312" w:cs="宋体"/>
          <w:sz w:val="32"/>
          <w:szCs w:val="32"/>
          <w:lang w:bidi="ar"/>
        </w:rPr>
        <w:t>及效果，评价财政预算资金使用的效率及效益。</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通过部门</w:t>
      </w:r>
      <w:r>
        <w:rPr>
          <w:rFonts w:hint="eastAsia" w:ascii="仿宋_GB2312" w:hAnsi="仿宋" w:eastAsia="仿宋_GB2312" w:cs="宋体"/>
          <w:color w:val="auto"/>
          <w:sz w:val="32"/>
          <w:szCs w:val="32"/>
          <w:highlight w:val="none"/>
          <w:lang w:val="en-US" w:eastAsia="zh-CN" w:bidi="ar"/>
        </w:rPr>
        <w:t>项目支出</w:t>
      </w:r>
      <w:r>
        <w:rPr>
          <w:rFonts w:hint="eastAsia" w:ascii="仿宋_GB2312" w:hAnsi="仿宋" w:eastAsia="仿宋_GB2312" w:cs="宋体"/>
          <w:color w:val="auto"/>
          <w:sz w:val="32"/>
          <w:szCs w:val="32"/>
          <w:highlight w:val="none"/>
          <w:lang w:eastAsia="zh-CN" w:bidi="ar"/>
        </w:rPr>
        <w:t>绩效自评,进一步严格落实《预算法》以及党中央、国务院关于加强预算绩效管理的指示精神,建立健全“花钱问效”的绩效预算管理机制、提升政府效能。通过部门</w:t>
      </w:r>
      <w:r>
        <w:rPr>
          <w:rFonts w:hint="eastAsia" w:ascii="仿宋_GB2312" w:hAnsi="仿宋" w:eastAsia="仿宋_GB2312" w:cs="宋体"/>
          <w:color w:val="auto"/>
          <w:sz w:val="32"/>
          <w:szCs w:val="32"/>
          <w:highlight w:val="none"/>
          <w:lang w:val="en-US" w:eastAsia="zh-CN" w:bidi="ar"/>
        </w:rPr>
        <w:t>项目支出</w:t>
      </w:r>
      <w:r>
        <w:rPr>
          <w:rFonts w:hint="eastAsia" w:ascii="仿宋_GB2312" w:hAnsi="仿宋" w:eastAsia="仿宋_GB2312" w:cs="宋体"/>
          <w:color w:val="auto"/>
          <w:sz w:val="32"/>
          <w:szCs w:val="32"/>
          <w:highlight w:val="none"/>
          <w:lang w:eastAsia="zh-CN" w:bidi="ar"/>
        </w:rPr>
        <w:t>绩效</w:t>
      </w:r>
      <w:r>
        <w:rPr>
          <w:rFonts w:hint="eastAsia" w:ascii="仿宋_GB2312" w:hAnsi="仿宋" w:eastAsia="仿宋_GB2312" w:cs="宋体"/>
          <w:color w:val="auto"/>
          <w:sz w:val="32"/>
          <w:szCs w:val="32"/>
          <w:highlight w:val="none"/>
          <w:lang w:val="en-US" w:eastAsia="zh-CN" w:bidi="ar"/>
        </w:rPr>
        <w:t>评价</w:t>
      </w:r>
      <w:r>
        <w:rPr>
          <w:rFonts w:hint="eastAsia" w:ascii="仿宋_GB2312" w:hAnsi="仿宋" w:eastAsia="仿宋_GB2312" w:cs="宋体"/>
          <w:color w:val="auto"/>
          <w:sz w:val="32"/>
          <w:szCs w:val="32"/>
          <w:highlight w:val="none"/>
          <w:lang w:eastAsia="zh-CN" w:bidi="ar"/>
        </w:rPr>
        <w:t>,进一步做实绩效目标,根据项目绩效目标,细化形成多维度绩效指标,将绩效指标细化为数量、质量、</w:t>
      </w:r>
      <w:r>
        <w:rPr>
          <w:rFonts w:hint="eastAsia" w:ascii="仿宋_GB2312" w:hAnsi="仿宋" w:eastAsia="仿宋_GB2312" w:cs="宋体"/>
          <w:color w:val="auto"/>
          <w:sz w:val="32"/>
          <w:szCs w:val="32"/>
          <w:highlight w:val="none"/>
          <w:lang w:val="en-US" w:eastAsia="zh-CN" w:bidi="ar"/>
        </w:rPr>
        <w:t>时效</w:t>
      </w:r>
      <w:r>
        <w:rPr>
          <w:rFonts w:hint="eastAsia" w:ascii="仿宋_GB2312" w:hAnsi="仿宋" w:eastAsia="仿宋_GB2312" w:cs="宋体"/>
          <w:color w:val="auto"/>
          <w:sz w:val="32"/>
          <w:szCs w:val="32"/>
          <w:highlight w:val="none"/>
          <w:lang w:eastAsia="zh-CN" w:bidi="ar"/>
        </w:rPr>
        <w:t>、成本、经济效益、社会效益、可持续影响、服务对象满意度等内容,保证项目绩效指标设置规范、合理、可衡量。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w:t>
      </w:r>
      <w:r>
        <w:rPr>
          <w:rFonts w:hint="eastAsia" w:ascii="仿宋_GB2312" w:hAnsi="仿宋" w:eastAsia="仿宋_GB2312" w:cs="宋体"/>
          <w:color w:val="auto"/>
          <w:sz w:val="32"/>
          <w:szCs w:val="32"/>
          <w:highlight w:val="none"/>
          <w:lang w:val="en-US" w:eastAsia="zh-CN" w:bidi="ar"/>
        </w:rPr>
        <w:t>全覆盖、全过程</w:t>
      </w:r>
      <w:r>
        <w:rPr>
          <w:rFonts w:hint="eastAsia" w:ascii="仿宋_GB2312" w:hAnsi="仿宋" w:eastAsia="仿宋_GB2312" w:cs="宋体"/>
          <w:color w:val="auto"/>
          <w:sz w:val="32"/>
          <w:szCs w:val="32"/>
          <w:highlight w:val="none"/>
          <w:lang w:eastAsia="zh-CN" w:bidi="ar"/>
        </w:rPr>
        <w:t>”的绩效预算管理新体制。</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本项目</w:t>
      </w:r>
      <w:r>
        <w:rPr>
          <w:rFonts w:hint="eastAsia" w:ascii="仿宋_GB2312" w:hAnsi="仿宋" w:eastAsia="仿宋_GB2312" w:cs="宋体"/>
          <w:color w:val="auto"/>
          <w:sz w:val="32"/>
          <w:szCs w:val="32"/>
          <w:highlight w:val="none"/>
          <w:lang w:val="en-US" w:eastAsia="zh-CN" w:bidi="ar"/>
        </w:rPr>
        <w:t>为</w:t>
      </w:r>
      <w:r>
        <w:rPr>
          <w:rFonts w:hint="eastAsia" w:ascii="仿宋_GB2312" w:hAnsi="仿宋" w:eastAsia="仿宋_GB2312" w:cs="宋体"/>
          <w:color w:val="auto"/>
          <w:sz w:val="32"/>
          <w:szCs w:val="32"/>
          <w:highlight w:val="none"/>
          <w:lang w:eastAsia="zh-CN" w:bidi="ar"/>
        </w:rPr>
        <w:t>财政支出绩效评价,是通过对该项目决策、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本次评价从</w:t>
      </w:r>
      <w:r>
        <w:rPr>
          <w:rFonts w:hint="eastAsia" w:ascii="仿宋_GB2312" w:hAnsi="仿宋" w:eastAsia="仿宋_GB2312" w:cs="宋体"/>
          <w:color w:val="auto"/>
          <w:sz w:val="32"/>
          <w:szCs w:val="32"/>
          <w:highlight w:val="none"/>
          <w:lang w:bidi="ar"/>
        </w:rPr>
        <w:t>农村危房改造项目</w:t>
      </w:r>
      <w:r>
        <w:rPr>
          <w:rFonts w:hint="eastAsia" w:ascii="仿宋_GB2312" w:hAnsi="仿宋" w:eastAsia="仿宋_GB2312" w:cs="宋体"/>
          <w:color w:val="auto"/>
          <w:sz w:val="32"/>
          <w:szCs w:val="32"/>
          <w:highlight w:val="none"/>
          <w:lang w:eastAsia="zh-CN" w:bidi="ar"/>
        </w:rPr>
        <w:t>产生的效果角度出发,力求从绩效的角度发现</w:t>
      </w:r>
      <w:r>
        <w:rPr>
          <w:rFonts w:hint="eastAsia" w:ascii="仿宋_GB2312" w:hAnsi="仿宋" w:eastAsia="仿宋_GB2312" w:cs="宋体"/>
          <w:color w:val="auto"/>
          <w:sz w:val="32"/>
          <w:szCs w:val="32"/>
          <w:highlight w:val="none"/>
          <w:lang w:val="en-US" w:eastAsia="zh-CN" w:bidi="ar"/>
        </w:rPr>
        <w:t>2019</w:t>
      </w:r>
      <w:r>
        <w:rPr>
          <w:rFonts w:hint="eastAsia" w:ascii="仿宋_GB2312" w:hAnsi="仿宋" w:eastAsia="仿宋_GB2312" w:cs="宋体"/>
          <w:color w:val="auto"/>
          <w:sz w:val="32"/>
          <w:szCs w:val="32"/>
          <w:highlight w:val="none"/>
          <w:lang w:eastAsia="zh-CN" w:bidi="ar"/>
        </w:rPr>
        <w:t>年度</w:t>
      </w:r>
      <w:r>
        <w:rPr>
          <w:rFonts w:hint="eastAsia" w:ascii="仿宋_GB2312" w:hAnsi="仿宋" w:eastAsia="仿宋_GB2312" w:cs="宋体"/>
          <w:color w:val="auto"/>
          <w:sz w:val="32"/>
          <w:szCs w:val="32"/>
          <w:highlight w:val="none"/>
          <w:lang w:bidi="ar"/>
        </w:rPr>
        <w:t>农村危房改造项目</w:t>
      </w:r>
      <w:r>
        <w:rPr>
          <w:rFonts w:hint="eastAsia" w:ascii="仿宋_GB2312" w:hAnsi="仿宋" w:eastAsia="仿宋_GB2312" w:cs="宋体"/>
          <w:color w:val="auto"/>
          <w:sz w:val="32"/>
          <w:szCs w:val="32"/>
          <w:highlight w:val="none"/>
          <w:lang w:eastAsia="zh-CN" w:bidi="ar"/>
        </w:rPr>
        <w:t>中取得的成绩和产生的问题,优化财政支出管理改革,为下一步实施绩效预算奠定基础。</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（1）通过评价,了解</w:t>
      </w:r>
      <w:r>
        <w:rPr>
          <w:rFonts w:hint="eastAsia" w:ascii="仿宋_GB2312" w:hAnsi="仿宋" w:eastAsia="仿宋_GB2312" w:cs="宋体"/>
          <w:color w:val="auto"/>
          <w:sz w:val="32"/>
          <w:szCs w:val="32"/>
          <w:highlight w:val="none"/>
          <w:lang w:val="en-US" w:eastAsia="zh-CN" w:bidi="ar"/>
        </w:rPr>
        <w:t>2019</w:t>
      </w:r>
      <w:r>
        <w:rPr>
          <w:rFonts w:hint="eastAsia" w:ascii="仿宋_GB2312" w:hAnsi="仿宋" w:eastAsia="仿宋_GB2312" w:cs="宋体"/>
          <w:color w:val="auto"/>
          <w:sz w:val="32"/>
          <w:szCs w:val="32"/>
          <w:highlight w:val="none"/>
          <w:lang w:eastAsia="zh-CN" w:bidi="ar"/>
        </w:rPr>
        <w:t>年度</w:t>
      </w:r>
      <w:r>
        <w:rPr>
          <w:rFonts w:hint="eastAsia" w:ascii="仿宋_GB2312" w:hAnsi="仿宋" w:eastAsia="仿宋_GB2312" w:cs="宋体"/>
          <w:color w:val="auto"/>
          <w:sz w:val="32"/>
          <w:szCs w:val="32"/>
          <w:highlight w:val="none"/>
          <w:lang w:bidi="ar"/>
        </w:rPr>
        <w:t>农村危房改造项目</w:t>
      </w:r>
      <w:r>
        <w:rPr>
          <w:rFonts w:hint="eastAsia" w:ascii="仿宋_GB2312" w:hAnsi="仿宋" w:eastAsia="仿宋_GB2312" w:cs="宋体"/>
          <w:color w:val="auto"/>
          <w:sz w:val="32"/>
          <w:szCs w:val="32"/>
          <w:highlight w:val="none"/>
          <w:lang w:eastAsia="zh-CN" w:bidi="ar"/>
        </w:rPr>
        <w:t>的基本情况对项目背景和目的、项目内容和现状、项目预算做深入调研和分析;</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（2）通过评价,了解201</w:t>
      </w:r>
      <w:r>
        <w:rPr>
          <w:rFonts w:hint="eastAsia" w:ascii="仿宋_GB2312" w:hAnsi="仿宋" w:eastAsia="仿宋_GB2312" w:cs="宋体"/>
          <w:color w:val="auto"/>
          <w:sz w:val="32"/>
          <w:szCs w:val="32"/>
          <w:highlight w:val="none"/>
          <w:lang w:val="en-US" w:eastAsia="zh-CN" w:bidi="ar"/>
        </w:rPr>
        <w:t>9</w:t>
      </w:r>
      <w:r>
        <w:rPr>
          <w:rFonts w:hint="eastAsia" w:ascii="仿宋_GB2312" w:hAnsi="仿宋" w:eastAsia="仿宋_GB2312" w:cs="宋体"/>
          <w:color w:val="auto"/>
          <w:sz w:val="32"/>
          <w:szCs w:val="32"/>
          <w:highlight w:val="none"/>
          <w:lang w:eastAsia="zh-CN" w:bidi="ar"/>
        </w:rPr>
        <w:t>年度</w:t>
      </w:r>
      <w:r>
        <w:rPr>
          <w:rFonts w:hint="eastAsia" w:ascii="仿宋_GB2312" w:hAnsi="仿宋" w:eastAsia="仿宋_GB2312" w:cs="宋体"/>
          <w:color w:val="auto"/>
          <w:sz w:val="32"/>
          <w:szCs w:val="32"/>
          <w:highlight w:val="none"/>
          <w:lang w:bidi="ar"/>
        </w:rPr>
        <w:t>农村危房改造项目</w:t>
      </w:r>
      <w:r>
        <w:rPr>
          <w:rFonts w:hint="eastAsia" w:ascii="仿宋_GB2312" w:hAnsi="仿宋" w:eastAsia="仿宋_GB2312" w:cs="宋体"/>
          <w:color w:val="auto"/>
          <w:sz w:val="32"/>
          <w:szCs w:val="32"/>
          <w:highlight w:val="none"/>
          <w:lang w:eastAsia="zh-CN" w:bidi="ar"/>
        </w:rPr>
        <w:t>的产出和效果情况,及整体绩效状况</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auto"/>
          <w:sz w:val="32"/>
          <w:szCs w:val="32"/>
          <w:highlight w:val="none"/>
          <w:lang w:eastAsia="zh-CN" w:bidi="ar"/>
        </w:rPr>
      </w:pPr>
      <w:r>
        <w:rPr>
          <w:rFonts w:hint="eastAsia" w:ascii="仿宋_GB2312" w:hAnsi="仿宋" w:eastAsia="仿宋_GB2312" w:cs="宋体"/>
          <w:color w:val="auto"/>
          <w:sz w:val="32"/>
          <w:szCs w:val="32"/>
          <w:highlight w:val="none"/>
          <w:lang w:eastAsia="zh-CN" w:bidi="ar"/>
        </w:rPr>
        <w:t>（3）通过评价,发掘201</w:t>
      </w:r>
      <w:r>
        <w:rPr>
          <w:rFonts w:hint="eastAsia" w:ascii="仿宋_GB2312" w:hAnsi="仿宋" w:eastAsia="仿宋_GB2312" w:cs="宋体"/>
          <w:color w:val="auto"/>
          <w:sz w:val="32"/>
          <w:szCs w:val="32"/>
          <w:highlight w:val="none"/>
          <w:lang w:val="en-US" w:eastAsia="zh-CN" w:bidi="ar"/>
        </w:rPr>
        <w:t>9</w:t>
      </w:r>
      <w:r>
        <w:rPr>
          <w:rFonts w:hint="eastAsia" w:ascii="仿宋_GB2312" w:hAnsi="仿宋" w:eastAsia="仿宋_GB2312" w:cs="宋体"/>
          <w:color w:val="auto"/>
          <w:sz w:val="32"/>
          <w:szCs w:val="32"/>
          <w:highlight w:val="none"/>
          <w:lang w:eastAsia="zh-CN" w:bidi="ar"/>
        </w:rPr>
        <w:t>年度</w:t>
      </w:r>
      <w:r>
        <w:rPr>
          <w:rFonts w:hint="eastAsia" w:ascii="仿宋_GB2312" w:hAnsi="仿宋" w:eastAsia="仿宋_GB2312" w:cs="宋体"/>
          <w:color w:val="auto"/>
          <w:sz w:val="32"/>
          <w:szCs w:val="32"/>
          <w:highlight w:val="none"/>
          <w:lang w:bidi="ar"/>
        </w:rPr>
        <w:t>农村危房改造项目</w:t>
      </w:r>
      <w:r>
        <w:rPr>
          <w:rFonts w:hint="eastAsia" w:ascii="仿宋_GB2312" w:hAnsi="仿宋" w:eastAsia="仿宋_GB2312" w:cs="宋体"/>
          <w:color w:val="auto"/>
          <w:sz w:val="32"/>
          <w:szCs w:val="32"/>
          <w:highlight w:val="none"/>
          <w:lang w:eastAsia="zh-CN" w:bidi="ar"/>
        </w:rPr>
        <w:t>所产生的现实意义和实际价值:</w:t>
      </w:r>
    </w:p>
    <w:p>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auto"/>
          <w:sz w:val="32"/>
          <w:szCs w:val="32"/>
          <w:highlight w:val="none"/>
          <w:lang w:val="en-US" w:eastAsia="zh-CN" w:bidi="ar"/>
        </w:rPr>
      </w:pPr>
      <w:r>
        <w:rPr>
          <w:rFonts w:hint="eastAsia" w:ascii="仿宋_GB2312" w:hAnsi="仿宋" w:eastAsia="仿宋_GB2312" w:cs="宋体"/>
          <w:color w:val="auto"/>
          <w:sz w:val="32"/>
          <w:szCs w:val="32"/>
          <w:highlight w:val="none"/>
          <w:lang w:eastAsia="zh-CN" w:bidi="ar"/>
        </w:rPr>
        <w:t>（4）通过评价,从绩效的角度发现该项目在决策、实施和管理过程中存在的问题,寻求解决方案,为进一步深化项目管理工作提供依据,以促进</w:t>
      </w:r>
      <w:r>
        <w:rPr>
          <w:rFonts w:hint="eastAsia" w:ascii="仿宋_GB2312" w:hAnsi="仿宋_GB2312" w:eastAsia="仿宋_GB2312" w:cs="仿宋_GB2312"/>
          <w:b w:val="0"/>
          <w:bCs/>
          <w:color w:val="auto"/>
          <w:sz w:val="32"/>
          <w:szCs w:val="32"/>
          <w:highlight w:val="none"/>
        </w:rPr>
        <w:t>完善我乡住房保障体系，改善住房保障服务，解决建房困难户经济困难，有效促进建房户就业，提升建房户获得感与幸福感。</w:t>
      </w:r>
    </w:p>
    <w:p>
      <w:pPr>
        <w:pStyle w:val="24"/>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rPr>
          <w:lang w:bidi="ar"/>
        </w:rPr>
      </w:pPr>
      <w:r>
        <w:rPr>
          <w:rFonts w:hint="eastAsia"/>
          <w:lang w:bidi="ar"/>
        </w:rPr>
        <w:t>本次绩效评价的对象及范围</w:t>
      </w:r>
      <w:bookmarkStart w:id="5" w:name="_Toc2640155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highlight w:val="none"/>
          <w:lang w:eastAsia="zh-CN" w:bidi="ar"/>
        </w:rPr>
      </w:pPr>
      <w:r>
        <w:rPr>
          <w:rFonts w:ascii="仿宋_GB2312" w:hAnsi="仿宋" w:eastAsia="仿宋_GB2312" w:cs="宋体"/>
          <w:sz w:val="32"/>
          <w:szCs w:val="32"/>
          <w:highlight w:val="none"/>
          <w:lang w:bidi="ar"/>
        </w:rPr>
        <w:t>本次评价对象为</w:t>
      </w:r>
      <w:r>
        <w:rPr>
          <w:rFonts w:hint="eastAsia" w:ascii="仿宋_GB2312" w:hAnsi="仿宋" w:eastAsia="仿宋_GB2312" w:cs="宋体"/>
          <w:sz w:val="32"/>
          <w:szCs w:val="32"/>
          <w:highlight w:val="none"/>
          <w:lang w:bidi="ar"/>
        </w:rPr>
        <w:t>农村危房改造项目</w:t>
      </w:r>
      <w:r>
        <w:rPr>
          <w:rFonts w:hint="eastAsia" w:ascii="仿宋_GB2312" w:hAnsi="仿宋" w:eastAsia="仿宋_GB2312" w:cs="宋体"/>
          <w:sz w:val="32"/>
          <w:szCs w:val="32"/>
          <w:highlight w:val="none"/>
          <w:lang w:eastAsia="zh-CN" w:bidi="ar"/>
        </w:rPr>
        <w:t>，项目资金共计</w:t>
      </w:r>
      <w:r>
        <w:rPr>
          <w:rFonts w:hint="eastAsia" w:ascii="仿宋_GB2312" w:hAnsi="仿宋" w:eastAsia="仿宋_GB2312" w:cs="宋体"/>
          <w:sz w:val="32"/>
          <w:szCs w:val="32"/>
          <w:highlight w:val="none"/>
          <w:lang w:val="en-US" w:eastAsia="zh-CN" w:bidi="ar"/>
        </w:rPr>
        <w:t>2333.12万</w:t>
      </w:r>
      <w:r>
        <w:rPr>
          <w:rFonts w:hint="eastAsia" w:ascii="仿宋_GB2312" w:hAnsi="仿宋" w:eastAsia="仿宋_GB2312" w:cs="宋体"/>
          <w:sz w:val="32"/>
          <w:szCs w:val="32"/>
          <w:highlight w:val="none"/>
          <w:lang w:eastAsia="zh-CN" w:bidi="ar"/>
        </w:rPr>
        <w:t>元资金，以“三最两就”原则，严格落实农村危房改造范围及审批手续，按照个人申请、村级评议、乡级审核、县级批准、地区备案的审批流程，根据自治区下达补助资金实施方案及《江格勒斯乡农村危房改造项目资金管理制度》并组织实施。在竣工验收后，根据补助标准及方式进行发放。评价范围包括项目资金收益户数、受益户户均补助金额、资金保障率、资金支付率、增加受益户生活补助、提升受益户幸福感、改善受益户生活条件年限等方面进行绩效评价，</w:t>
      </w:r>
    </w:p>
    <w:p>
      <w:pPr>
        <w:pStyle w:val="24"/>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rPr>
          <w:lang w:bidi="ar"/>
        </w:rPr>
      </w:pPr>
      <w:r>
        <w:rPr>
          <w:rFonts w:hint="eastAsia"/>
          <w:lang w:bidi="ar"/>
        </w:rPr>
        <w:t>绩效评价原则</w:t>
      </w:r>
      <w:bookmarkEnd w:id="5"/>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4"/>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4"/>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4"/>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b w:val="0"/>
          <w:lang w:bidi="ar"/>
        </w:rPr>
      </w:pPr>
      <w:r>
        <w:rPr>
          <w:rFonts w:hint="eastAsia" w:hAnsi="仿宋" w:cs="宋体"/>
          <w:b w:val="0"/>
          <w:lang w:bidi="ar"/>
        </w:rPr>
        <w:t>公开透明。绩效评价结果应依法依规公开，并自觉接受社会监督。</w:t>
      </w:r>
      <w:r>
        <w:rPr>
          <w:rFonts w:hint="eastAsia"/>
          <w:b w:val="0"/>
          <w:lang w:bidi="ar"/>
        </w:rPr>
        <w:t>绩效评价体系</w:t>
      </w:r>
    </w:p>
    <w:p>
      <w:pPr>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_GB2312" w:hAnsi="仿宋" w:eastAsia="仿宋_GB2312" w:cs="宋体"/>
          <w:b/>
          <w:bCs/>
          <w:sz w:val="32"/>
          <w:szCs w:val="32"/>
          <w:lang w:bidi="ar"/>
        </w:rPr>
      </w:pP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val="en-US" w:eastAsia="zh-CN" w:bidi="ar"/>
        </w:rPr>
        <w:t>四</w:t>
      </w: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bidi="ar"/>
        </w:rPr>
        <w:t>本项目绩效评价体系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bidi="ar"/>
        </w:rPr>
        <w:t>遵循“科学性、规范性、客观性和公正性”的绩效评价原则,根据财政部制定的《项目支出绩效评价共性指标体系框架》,结合农村危房改造项目特性、</w:t>
      </w:r>
      <w:r>
        <w:rPr>
          <w:rFonts w:hint="eastAsia" w:ascii="仿宋_GB2312" w:hAnsi="仿宋" w:eastAsia="仿宋_GB2312" w:cs="宋体"/>
          <w:sz w:val="32"/>
          <w:szCs w:val="32"/>
          <w:lang w:val="en-US" w:eastAsia="zh-CN" w:bidi="ar"/>
        </w:rPr>
        <w:t>叶城县江格勒斯乡人民政府</w:t>
      </w:r>
      <w:r>
        <w:rPr>
          <w:rFonts w:hint="eastAsia" w:ascii="仿宋_GB2312" w:hAnsi="仿宋" w:eastAsia="仿宋_GB2312" w:cs="宋体"/>
          <w:sz w:val="32"/>
          <w:szCs w:val="32"/>
          <w:lang w:bidi="ar"/>
        </w:rPr>
        <w:t>实际情况,本项目</w:t>
      </w:r>
      <w:r>
        <w:rPr>
          <w:rFonts w:hint="eastAsia" w:ascii="仿宋_GB2312" w:hAnsi="仿宋" w:eastAsia="仿宋_GB2312" w:cs="宋体"/>
          <w:sz w:val="32"/>
          <w:szCs w:val="32"/>
          <w:lang w:val="en-US" w:eastAsia="zh-CN" w:bidi="ar"/>
        </w:rPr>
        <w:t>按照</w:t>
      </w:r>
      <w:r>
        <w:rPr>
          <w:rFonts w:hint="eastAsia" w:ascii="仿宋_GB2312" w:hAnsi="仿宋" w:eastAsia="仿宋_GB2312" w:cs="宋体"/>
          <w:sz w:val="32"/>
          <w:szCs w:val="32"/>
          <w:lang w:bidi="ar"/>
        </w:rPr>
        <w:t>财预﹝2020﹞10号</w:t>
      </w:r>
      <w:r>
        <w:rPr>
          <w:rFonts w:hint="eastAsia" w:ascii="仿宋_GB2312" w:hAnsi="仿宋" w:eastAsia="仿宋_GB2312" w:cs="宋体"/>
          <w:sz w:val="32"/>
          <w:szCs w:val="32"/>
          <w:lang w:val="en-US" w:eastAsia="zh-CN" w:bidi="ar"/>
        </w:rPr>
        <w:t>文件</w:t>
      </w:r>
      <w:r>
        <w:rPr>
          <w:rFonts w:hint="eastAsia" w:ascii="仿宋_GB2312" w:hAnsi="仿宋" w:eastAsia="仿宋_GB2312" w:cs="宋体"/>
          <w:sz w:val="32"/>
          <w:szCs w:val="32"/>
          <w:lang w:bidi="ar"/>
        </w:rPr>
        <w:t>制定评价指标体系</w:t>
      </w:r>
      <w:r>
        <w:rPr>
          <w:rFonts w:hint="eastAsia" w:ascii="仿宋_GB2312" w:hAnsi="仿宋" w:eastAsia="仿宋_GB2312" w:cs="宋体"/>
          <w:sz w:val="32"/>
          <w:szCs w:val="32"/>
          <w:lang w:eastAsia="zh-CN" w:bidi="ar"/>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我单位选取共性指标：决策中一级指标1个，二级指标3个，三级指标3个，分别是立项依据充分性，绩效指标明确性及资金分配合理性。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过程中一级指标1个，二级指标3个，三级指标3个，分别是预算执行率，资金使用合规性及管理制度健全性。</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rPr>
          <w:lang w:bidi="ar"/>
        </w:rPr>
      </w:pPr>
      <w:bookmarkStart w:id="6" w:name="_Toc26401555"/>
      <w:r>
        <w:rPr>
          <w:rFonts w:hint="eastAsia"/>
          <w:lang w:eastAsia="zh-CN" w:bidi="ar"/>
        </w:rPr>
        <w:t>（</w:t>
      </w:r>
      <w:r>
        <w:rPr>
          <w:rFonts w:hint="eastAsia"/>
          <w:lang w:val="en-US" w:eastAsia="zh-CN" w:bidi="ar"/>
        </w:rPr>
        <w:t>五</w:t>
      </w:r>
      <w:r>
        <w:rPr>
          <w:rFonts w:hint="eastAsia"/>
          <w:lang w:eastAsia="zh-CN" w:bidi="ar"/>
        </w:rPr>
        <w:t>）</w:t>
      </w:r>
      <w:r>
        <w:rPr>
          <w:rFonts w:hint="eastAsia"/>
          <w:lang w:bidi="ar"/>
        </w:rPr>
        <w:t>绩效评价方法</w:t>
      </w:r>
      <w:bookmarkEnd w:id="6"/>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highlight w:val="red"/>
          <w:lang w:eastAsia="zh-CN" w:bidi="ar"/>
        </w:rPr>
      </w:pPr>
      <w:r>
        <w:rPr>
          <w:rFonts w:hint="eastAsia" w:ascii="仿宋_GB2312" w:hAnsi="仿宋" w:eastAsia="仿宋_GB2312" w:cs="宋体"/>
          <w:sz w:val="32"/>
          <w:szCs w:val="32"/>
          <w:highlight w:val="none"/>
          <w:lang w:bidi="ar"/>
        </w:rPr>
        <w:t>本次绩效评价方法的选用坚持简便有效的原则采用成本效益分析法。</w:t>
      </w:r>
      <w:r>
        <w:rPr>
          <w:rFonts w:hint="eastAsia" w:ascii="仿宋_GB2312" w:hAnsi="仿宋" w:eastAsia="仿宋_GB2312" w:cs="宋体"/>
          <w:sz w:val="32"/>
          <w:szCs w:val="32"/>
          <w:highlight w:val="none"/>
          <w:lang w:eastAsia="zh-CN" w:bidi="ar"/>
        </w:rPr>
        <w:t>即：根据自治区</w:t>
      </w:r>
      <w:r>
        <w:rPr>
          <w:rFonts w:hint="eastAsia" w:ascii="仿宋_GB2312" w:hAnsi="仿宋" w:eastAsia="仿宋_GB2312" w:cs="宋体"/>
          <w:sz w:val="32"/>
          <w:szCs w:val="32"/>
          <w:highlight w:val="none"/>
          <w:lang w:bidi="ar"/>
        </w:rPr>
        <w:t>新财建</w:t>
      </w:r>
      <w:r>
        <w:rPr>
          <w:rFonts w:hint="eastAsia" w:ascii="仿宋_GB2312" w:hAnsi="仿宋" w:eastAsia="仿宋_GB2312" w:cs="宋体"/>
          <w:sz w:val="32"/>
          <w:szCs w:val="32"/>
          <w:highlight w:val="none"/>
          <w:lang w:eastAsia="zh-CN" w:bidi="ar"/>
        </w:rPr>
        <w:t>【</w:t>
      </w:r>
      <w:r>
        <w:rPr>
          <w:rFonts w:hint="eastAsia" w:ascii="仿宋_GB2312" w:hAnsi="仿宋" w:eastAsia="仿宋_GB2312" w:cs="宋体"/>
          <w:sz w:val="32"/>
          <w:szCs w:val="32"/>
          <w:highlight w:val="none"/>
          <w:lang w:bidi="ar"/>
        </w:rPr>
        <w:t>2019</w:t>
      </w:r>
      <w:r>
        <w:rPr>
          <w:rFonts w:hint="eastAsia" w:ascii="仿宋_GB2312" w:hAnsi="仿宋" w:eastAsia="仿宋_GB2312" w:cs="宋体"/>
          <w:sz w:val="32"/>
          <w:szCs w:val="32"/>
          <w:highlight w:val="none"/>
          <w:lang w:eastAsia="zh-CN" w:bidi="ar"/>
        </w:rPr>
        <w:t>】</w:t>
      </w:r>
      <w:r>
        <w:rPr>
          <w:rFonts w:hint="eastAsia" w:ascii="仿宋_GB2312" w:hAnsi="仿宋" w:eastAsia="仿宋_GB2312" w:cs="宋体"/>
          <w:sz w:val="32"/>
          <w:szCs w:val="32"/>
          <w:highlight w:val="none"/>
          <w:lang w:bidi="ar"/>
        </w:rPr>
        <w:t>69号、喀</w:t>
      </w:r>
      <w:r>
        <w:rPr>
          <w:rFonts w:hint="eastAsia" w:ascii="仿宋_GB2312" w:hAnsi="仿宋" w:eastAsia="仿宋_GB2312" w:cs="宋体"/>
          <w:sz w:val="32"/>
          <w:szCs w:val="32"/>
          <w:highlight w:val="none"/>
          <w:lang w:eastAsia="zh-CN" w:bidi="ar"/>
        </w:rPr>
        <w:t>地财建【2019】44号文件精神安排，通过</w:t>
      </w:r>
      <w:r>
        <w:rPr>
          <w:rFonts w:hint="eastAsia" w:ascii="仿宋_GB2312" w:eastAsia="仿宋_GB2312"/>
          <w:sz w:val="32"/>
          <w:szCs w:val="32"/>
          <w:highlight w:val="none"/>
          <w:lang w:eastAsia="zh-CN"/>
        </w:rPr>
        <w:t>保障并发放全乡</w:t>
      </w:r>
      <w:r>
        <w:rPr>
          <w:rFonts w:hint="eastAsia" w:ascii="仿宋_GB2312" w:eastAsia="仿宋_GB2312"/>
          <w:sz w:val="32"/>
          <w:szCs w:val="32"/>
          <w:highlight w:val="none"/>
          <w:lang w:val="en-US" w:eastAsia="zh-CN"/>
        </w:rPr>
        <w:t>634户建房户建房补助，</w:t>
      </w:r>
      <w:r>
        <w:rPr>
          <w:rFonts w:hint="eastAsia" w:ascii="仿宋_GB2312" w:hAnsi="仿宋" w:eastAsia="仿宋_GB2312" w:cs="宋体"/>
          <w:bCs/>
          <w:sz w:val="32"/>
          <w:szCs w:val="32"/>
          <w:highlight w:val="none"/>
          <w:lang w:eastAsia="zh-CN" w:bidi="ar"/>
        </w:rPr>
        <w:t>以帮助全乡贫困户等建房困难家庭给予经济保障，采取就地取材、就近重建返修的方式进行改造。</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rPr>
          <w:lang w:bidi="ar"/>
        </w:rPr>
      </w:pPr>
      <w:r>
        <w:rPr>
          <w:rFonts w:hint="eastAsia"/>
          <w:lang w:eastAsia="zh-CN" w:bidi="ar"/>
        </w:rPr>
        <w:t>（</w:t>
      </w:r>
      <w:r>
        <w:rPr>
          <w:rFonts w:hint="eastAsia"/>
          <w:lang w:val="en-US" w:eastAsia="zh-CN" w:bidi="ar"/>
        </w:rPr>
        <w:t>六</w:t>
      </w:r>
      <w:r>
        <w:rPr>
          <w:rFonts w:hint="eastAsia"/>
          <w:lang w:eastAsia="zh-CN" w:bidi="ar"/>
        </w:rPr>
        <w:t>）</w:t>
      </w:r>
      <w:r>
        <w:rPr>
          <w:rFonts w:hint="eastAsia"/>
          <w:lang w:bidi="ar"/>
        </w:rPr>
        <w:t>评价标准</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1"/>
        <w:rPr>
          <w:rFonts w:hint="default" w:ascii="仿宋_GB2312" w:eastAsia="仿宋_GB2312" w:hAnsiTheme="minorHAnsi" w:cstheme="minorBidi"/>
          <w:b w:val="0"/>
          <w:bCs w:val="0"/>
          <w:kern w:val="2"/>
          <w:sz w:val="32"/>
          <w:szCs w:val="32"/>
          <w:highlight w:val="none"/>
          <w:lang w:val="en-US" w:eastAsia="zh-CN" w:bidi="ar-SA"/>
        </w:rPr>
      </w:pPr>
      <w:r>
        <w:rPr>
          <w:rFonts w:hint="eastAsia" w:ascii="仿宋_GB2312" w:eastAsia="仿宋_GB2312" w:hAnsiTheme="minorHAnsi" w:cstheme="minorBidi"/>
          <w:b w:val="0"/>
          <w:bCs w:val="0"/>
          <w:kern w:val="2"/>
          <w:sz w:val="32"/>
          <w:szCs w:val="32"/>
          <w:highlight w:val="none"/>
          <w:lang w:val="en-US" w:eastAsia="zh-CN" w:bidi="ar-SA"/>
        </w:rPr>
        <w:t>项目评价标准采用计划标准。以是否增加受益户生活补贴，是否明显改善其生活条件，是否有效提升建房户获得感与幸福感，是否体现完善我乡住房保障体系，提升住房保障服务体系建设能力为绩效主要评价标准。</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rPr>
          <w:lang w:bidi="ar"/>
        </w:rPr>
      </w:pPr>
      <w:r>
        <w:rPr>
          <w:rFonts w:hint="eastAsia"/>
          <w:lang w:eastAsia="zh-CN" w:bidi="ar"/>
        </w:rPr>
        <w:t>（</w:t>
      </w:r>
      <w:r>
        <w:rPr>
          <w:rFonts w:hint="eastAsia"/>
          <w:lang w:val="en-US" w:eastAsia="zh-CN" w:bidi="ar"/>
        </w:rPr>
        <w:t>七</w:t>
      </w:r>
      <w:r>
        <w:rPr>
          <w:rFonts w:hint="eastAsia"/>
          <w:lang w:eastAsia="zh-CN" w:bidi="ar"/>
        </w:rPr>
        <w:t>）</w:t>
      </w:r>
      <w:r>
        <w:rPr>
          <w:rFonts w:hint="eastAsia"/>
          <w:lang w:bidi="ar"/>
        </w:rPr>
        <w:t>绩效评价工作过程</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outlineLvl w:val="9"/>
        <w:rPr>
          <w:b w:val="0"/>
          <w:bCs w:val="0"/>
          <w:lang w:bidi="ar"/>
        </w:rPr>
      </w:pPr>
      <w:r>
        <w:rPr>
          <w:rFonts w:hint="eastAsia"/>
          <w:b w:val="0"/>
          <w:bCs w:val="0"/>
          <w:lang w:val="en-US" w:eastAsia="zh-CN" w:bidi="ar"/>
        </w:rPr>
        <w:t>1.</w:t>
      </w:r>
      <w:r>
        <w:rPr>
          <w:rFonts w:hint="eastAsia"/>
          <w:b w:val="0"/>
          <w:bCs w:val="0"/>
          <w:lang w:bidi="ar"/>
        </w:rPr>
        <w:t>本次评价成立了评价工作组，成员如下：</w:t>
      </w:r>
    </w:p>
    <w:tbl>
      <w:tblPr>
        <w:tblStyle w:val="14"/>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bCs/>
                <w:sz w:val="28"/>
                <w:szCs w:val="28"/>
                <w:lang w:bidi="ar"/>
              </w:rPr>
            </w:pPr>
            <w:r>
              <w:rPr>
                <w:rFonts w:hint="eastAsia"/>
                <w:b/>
                <w:bCs/>
                <w:sz w:val="28"/>
                <w:szCs w:val="28"/>
                <w:lang w:bidi="ar"/>
              </w:rPr>
              <w:t>评价人</w:t>
            </w:r>
          </w:p>
        </w:tc>
        <w:tc>
          <w:tcPr>
            <w:tcW w:w="2765" w:type="dxa"/>
            <w:vAlign w:val="center"/>
          </w:tcPr>
          <w:p>
            <w:pPr>
              <w:pStyle w:val="24"/>
              <w:keepNext w:val="0"/>
              <w:keepLines w:val="0"/>
              <w:numPr>
                <w:ilvl w:val="0"/>
                <w:numId w:val="0"/>
              </w:numPr>
              <w:spacing w:line="240" w:lineRule="atLeast"/>
              <w:jc w:val="center"/>
              <w:rPr>
                <w:b/>
                <w:bCs/>
                <w:sz w:val="28"/>
                <w:szCs w:val="28"/>
                <w:lang w:bidi="ar"/>
              </w:rPr>
            </w:pPr>
            <w:r>
              <w:rPr>
                <w:rFonts w:hint="eastAsia"/>
                <w:b/>
                <w:bCs/>
                <w:sz w:val="28"/>
                <w:szCs w:val="28"/>
                <w:lang w:bidi="ar"/>
              </w:rPr>
              <w:t>职责</w:t>
            </w:r>
          </w:p>
        </w:tc>
        <w:tc>
          <w:tcPr>
            <w:tcW w:w="2766" w:type="dxa"/>
            <w:vAlign w:val="center"/>
          </w:tcPr>
          <w:p>
            <w:pPr>
              <w:pStyle w:val="24"/>
              <w:keepNext w:val="0"/>
              <w:keepLines w:val="0"/>
              <w:numPr>
                <w:ilvl w:val="0"/>
                <w:numId w:val="0"/>
              </w:numPr>
              <w:spacing w:line="240" w:lineRule="atLeast"/>
              <w:jc w:val="center"/>
              <w:rPr>
                <w:b/>
                <w:bCs/>
                <w:sz w:val="28"/>
                <w:szCs w:val="28"/>
                <w:lang w:bidi="ar"/>
              </w:rPr>
            </w:pPr>
            <w:r>
              <w:rPr>
                <w:rFonts w:hint="eastAsia"/>
                <w:b/>
                <w:bCs/>
                <w:sz w:val="28"/>
                <w:szCs w:val="28"/>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sz w:val="28"/>
                <w:szCs w:val="28"/>
                <w:lang w:eastAsia="zh-CN" w:bidi="ar"/>
              </w:rPr>
            </w:pPr>
            <w:r>
              <w:rPr>
                <w:rFonts w:hint="eastAsia"/>
                <w:b w:val="0"/>
                <w:bCs w:val="0"/>
                <w:sz w:val="28"/>
                <w:szCs w:val="28"/>
                <w:lang w:eastAsia="zh-CN" w:bidi="ar"/>
              </w:rPr>
              <w:t>陈国疆</w:t>
            </w:r>
          </w:p>
        </w:tc>
        <w:tc>
          <w:tcPr>
            <w:tcW w:w="2765" w:type="dxa"/>
            <w:vAlign w:val="center"/>
          </w:tcPr>
          <w:p>
            <w:pPr>
              <w:pStyle w:val="24"/>
              <w:keepNext w:val="0"/>
              <w:keepLines w:val="0"/>
              <w:numPr>
                <w:ilvl w:val="0"/>
                <w:numId w:val="0"/>
              </w:numPr>
              <w:spacing w:line="240" w:lineRule="atLeast"/>
              <w:jc w:val="center"/>
              <w:rPr>
                <w:b w:val="0"/>
                <w:bCs w:val="0"/>
                <w:sz w:val="28"/>
                <w:szCs w:val="28"/>
                <w:lang w:bidi="ar"/>
              </w:rPr>
            </w:pPr>
            <w:r>
              <w:rPr>
                <w:rFonts w:hint="eastAsia"/>
                <w:b w:val="0"/>
                <w:bCs w:val="0"/>
                <w:sz w:val="28"/>
                <w:szCs w:val="28"/>
                <w:lang w:bidi="ar"/>
              </w:rPr>
              <w:t>评价组组长</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sz w:val="28"/>
                <w:szCs w:val="28"/>
                <w:lang w:eastAsia="zh-CN" w:bidi="ar"/>
              </w:rPr>
            </w:pPr>
            <w:r>
              <w:rPr>
                <w:rFonts w:hint="eastAsia"/>
                <w:b w:val="0"/>
                <w:bCs w:val="0"/>
                <w:sz w:val="28"/>
                <w:szCs w:val="28"/>
                <w:lang w:eastAsia="zh-CN" w:bidi="ar"/>
              </w:rPr>
              <w:t>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sz w:val="28"/>
                <w:szCs w:val="28"/>
                <w:lang w:eastAsia="zh-CN" w:bidi="ar"/>
              </w:rPr>
            </w:pPr>
            <w:r>
              <w:rPr>
                <w:rFonts w:hint="eastAsia"/>
                <w:b w:val="0"/>
                <w:bCs w:val="0"/>
                <w:sz w:val="28"/>
                <w:szCs w:val="28"/>
                <w:lang w:eastAsia="zh-CN" w:bidi="ar"/>
              </w:rPr>
              <w:t>刘杰</w:t>
            </w:r>
          </w:p>
        </w:tc>
        <w:tc>
          <w:tcPr>
            <w:tcW w:w="2765" w:type="dxa"/>
            <w:vAlign w:val="center"/>
          </w:tcPr>
          <w:p>
            <w:pPr>
              <w:pStyle w:val="24"/>
              <w:keepNext w:val="0"/>
              <w:keepLines w:val="0"/>
              <w:numPr>
                <w:ilvl w:val="0"/>
                <w:numId w:val="0"/>
              </w:numPr>
              <w:spacing w:line="240" w:lineRule="atLeast"/>
              <w:jc w:val="center"/>
              <w:rPr>
                <w:b w:val="0"/>
                <w:bCs w:val="0"/>
                <w:sz w:val="28"/>
                <w:szCs w:val="28"/>
                <w:lang w:bidi="ar"/>
              </w:rPr>
            </w:pPr>
            <w:r>
              <w:rPr>
                <w:rFonts w:hint="eastAsia"/>
                <w:b w:val="0"/>
                <w:bCs w:val="0"/>
                <w:sz w:val="28"/>
                <w:szCs w:val="28"/>
                <w:lang w:bidi="ar"/>
              </w:rPr>
              <w:t>评价组成员</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sz w:val="28"/>
                <w:szCs w:val="28"/>
                <w:lang w:eastAsia="zh-CN" w:bidi="ar"/>
              </w:rPr>
            </w:pPr>
            <w:r>
              <w:rPr>
                <w:rFonts w:hint="eastAsia"/>
                <w:b w:val="0"/>
                <w:bCs w:val="0"/>
                <w:sz w:val="28"/>
                <w:szCs w:val="28"/>
                <w:lang w:eastAsia="zh-CN" w:bidi="ar"/>
              </w:rPr>
              <w:t>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sz w:val="28"/>
                <w:szCs w:val="28"/>
                <w:lang w:eastAsia="zh-CN" w:bidi="ar"/>
              </w:rPr>
            </w:pPr>
            <w:r>
              <w:rPr>
                <w:rFonts w:hint="eastAsia"/>
                <w:b w:val="0"/>
                <w:bCs w:val="0"/>
                <w:sz w:val="28"/>
                <w:szCs w:val="28"/>
                <w:lang w:eastAsia="zh-CN" w:bidi="ar"/>
              </w:rPr>
              <w:t>徐彦斌</w:t>
            </w:r>
          </w:p>
        </w:tc>
        <w:tc>
          <w:tcPr>
            <w:tcW w:w="2765" w:type="dxa"/>
            <w:vAlign w:val="center"/>
          </w:tcPr>
          <w:p>
            <w:pPr>
              <w:pStyle w:val="24"/>
              <w:keepNext w:val="0"/>
              <w:keepLines w:val="0"/>
              <w:numPr>
                <w:ilvl w:val="0"/>
                <w:numId w:val="0"/>
              </w:numPr>
              <w:spacing w:line="240" w:lineRule="atLeast"/>
              <w:jc w:val="center"/>
              <w:rPr>
                <w:b w:val="0"/>
                <w:bCs w:val="0"/>
                <w:sz w:val="28"/>
                <w:szCs w:val="28"/>
                <w:lang w:bidi="ar"/>
              </w:rPr>
            </w:pPr>
            <w:r>
              <w:rPr>
                <w:rFonts w:hint="eastAsia"/>
                <w:b w:val="0"/>
                <w:bCs w:val="0"/>
                <w:sz w:val="28"/>
                <w:szCs w:val="28"/>
                <w:lang w:bidi="ar"/>
              </w:rPr>
              <w:t>评价组成员</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sz w:val="28"/>
                <w:szCs w:val="28"/>
                <w:lang w:eastAsia="zh-CN" w:bidi="ar"/>
              </w:rPr>
            </w:pPr>
            <w:r>
              <w:rPr>
                <w:rFonts w:hint="eastAsia"/>
                <w:b w:val="0"/>
                <w:bCs w:val="0"/>
                <w:sz w:val="28"/>
                <w:szCs w:val="28"/>
                <w:lang w:eastAsia="zh-CN" w:bidi="ar"/>
              </w:rPr>
              <w:t>项目、绩效干事</w:t>
            </w:r>
          </w:p>
        </w:tc>
      </w:tr>
    </w:tbl>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outlineLvl w:val="9"/>
        <w:rPr>
          <w:rFonts w:hint="eastAsia"/>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 w:eastAsia="仿宋_GB2312" w:cs="宋体"/>
          <w:b w:val="0"/>
          <w:bCs w:val="0"/>
          <w:color w:val="auto"/>
          <w:sz w:val="32"/>
          <w:szCs w:val="32"/>
          <w:highlight w:val="none"/>
          <w:lang w:val="en-US" w:eastAsia="zh-CN" w:bidi="ar"/>
        </w:rPr>
      </w:pPr>
      <w:r>
        <w:rPr>
          <w:rFonts w:hint="eastAsia" w:ascii="仿宋_GB2312" w:hAnsi="仿宋" w:eastAsia="仿宋_GB2312" w:cs="宋体"/>
          <w:b w:val="0"/>
          <w:bCs w:val="0"/>
          <w:color w:val="auto"/>
          <w:sz w:val="32"/>
          <w:szCs w:val="32"/>
          <w:highlight w:val="none"/>
          <w:lang w:val="en-US" w:eastAsia="zh-CN" w:bidi="ar"/>
        </w:rPr>
        <w:t>2.数据采集方法及过程</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_GB2312" w:eastAsia="仿宋_GB2312" w:cs="Times New Roman" w:hAnsiTheme="majorHAnsi"/>
          <w:b w:val="0"/>
          <w:bCs w:val="0"/>
          <w:kern w:val="2"/>
          <w:sz w:val="32"/>
          <w:szCs w:val="32"/>
          <w:lang w:val="en-US" w:eastAsia="zh-CN" w:bidi="ar"/>
        </w:rPr>
      </w:pPr>
      <w:r>
        <w:rPr>
          <w:rFonts w:hint="default" w:ascii="仿宋_GB2312" w:eastAsia="仿宋_GB2312" w:cs="Times New Roman" w:hAnsiTheme="majorHAnsi"/>
          <w:b w:val="0"/>
          <w:bCs w:val="0"/>
          <w:kern w:val="2"/>
          <w:sz w:val="32"/>
          <w:szCs w:val="32"/>
          <w:lang w:val="en-US" w:eastAsia="zh-CN" w:bidi="ar"/>
        </w:rPr>
        <w:t>本次绩效评价数据包括定性和定量两种数据,定性数据主要通过实地考察社会调查的方式来采集。</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
          <w:bCs/>
          <w:color w:val="auto"/>
          <w:sz w:val="32"/>
          <w:szCs w:val="32"/>
          <w:highlight w:val="none"/>
          <w:lang w:val="en-US" w:eastAsia="zh-CN" w:bidi="ar"/>
        </w:rPr>
      </w:pPr>
      <w:r>
        <w:rPr>
          <w:rFonts w:hint="default" w:ascii="仿宋_GB2312" w:eastAsia="仿宋_GB2312" w:cs="Times New Roman" w:hAnsiTheme="majorHAnsi"/>
          <w:b w:val="0"/>
          <w:bCs w:val="0"/>
          <w:kern w:val="2"/>
          <w:sz w:val="32"/>
          <w:szCs w:val="32"/>
          <w:lang w:val="en-US" w:eastAsia="zh-CN" w:bidi="ar"/>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 w:eastAsia="仿宋_GB2312" w:cs="宋体"/>
          <w:b w:val="0"/>
          <w:bCs w:val="0"/>
          <w:color w:val="auto"/>
          <w:sz w:val="32"/>
          <w:szCs w:val="32"/>
          <w:highlight w:val="none"/>
          <w:lang w:val="en-US" w:eastAsia="zh-CN" w:bidi="ar"/>
        </w:rPr>
      </w:pPr>
      <w:r>
        <w:rPr>
          <w:rFonts w:hint="eastAsia" w:ascii="仿宋_GB2312" w:hAnsi="仿宋" w:eastAsia="仿宋_GB2312" w:cs="宋体"/>
          <w:b w:val="0"/>
          <w:bCs w:val="0"/>
          <w:color w:val="auto"/>
          <w:sz w:val="32"/>
          <w:szCs w:val="32"/>
          <w:highlight w:val="none"/>
          <w:lang w:val="en-US" w:eastAsia="zh-CN" w:bidi="ar"/>
        </w:rPr>
        <w:t>3.绩效评价实施过程</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项目组在前期调研的基础上,完成了项目绩效评价工作方案,明确了评价的目的、方法、指标体系、评价标准、合规性检查方案。在此之后,项目组严格按照工作方案,经过了数据采集、问卷调查、数据分析和报告撰写等环节,顺利完成了绩效评价工作。</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（1）问卷调查</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_GB2312" w:eastAsia="仿宋_GB2312" w:cs="Times New Roman" w:hAnsiTheme="majorHAnsi"/>
          <w:b w:val="0"/>
          <w:bCs w:val="0"/>
          <w:kern w:val="2"/>
          <w:sz w:val="32"/>
          <w:szCs w:val="32"/>
          <w:lang w:val="en-US" w:eastAsia="zh-CN" w:bidi="ar"/>
        </w:rPr>
      </w:pPr>
      <w:r>
        <w:rPr>
          <w:rFonts w:hint="default" w:ascii="仿宋_GB2312" w:eastAsia="仿宋_GB2312" w:cs="Times New Roman" w:hAnsiTheme="majorHAnsi"/>
          <w:b w:val="0"/>
          <w:bCs w:val="0"/>
          <w:kern w:val="2"/>
          <w:sz w:val="32"/>
          <w:szCs w:val="32"/>
          <w:lang w:val="en-US" w:eastAsia="zh-CN" w:bidi="ar"/>
        </w:rPr>
        <w:t>201</w:t>
      </w:r>
      <w:r>
        <w:rPr>
          <w:rFonts w:hint="eastAsia" w:ascii="仿宋_GB2312" w:eastAsia="仿宋_GB2312" w:cs="Times New Roman" w:hAnsiTheme="majorHAnsi"/>
          <w:b w:val="0"/>
          <w:bCs w:val="0"/>
          <w:kern w:val="2"/>
          <w:sz w:val="32"/>
          <w:szCs w:val="32"/>
          <w:lang w:val="en-US" w:eastAsia="zh-CN" w:bidi="ar"/>
        </w:rPr>
        <w:t>9</w:t>
      </w:r>
      <w:r>
        <w:rPr>
          <w:rFonts w:hint="default" w:ascii="仿宋_GB2312" w:eastAsia="仿宋_GB2312" w:cs="Times New Roman" w:hAnsiTheme="majorHAnsi"/>
          <w:b w:val="0"/>
          <w:bCs w:val="0"/>
          <w:kern w:val="2"/>
          <w:sz w:val="32"/>
          <w:szCs w:val="32"/>
          <w:lang w:val="en-US" w:eastAsia="zh-CN" w:bidi="ar"/>
        </w:rPr>
        <w:t>年</w:t>
      </w:r>
      <w:r>
        <w:rPr>
          <w:rFonts w:hint="eastAsia" w:ascii="仿宋_GB2312" w:eastAsia="仿宋_GB2312" w:cs="Times New Roman" w:hAnsiTheme="majorHAnsi"/>
          <w:b w:val="0"/>
          <w:bCs w:val="0"/>
          <w:kern w:val="2"/>
          <w:sz w:val="32"/>
          <w:szCs w:val="32"/>
          <w:lang w:val="en-US" w:eastAsia="zh-CN" w:bidi="ar"/>
        </w:rPr>
        <w:t>9</w:t>
      </w:r>
      <w:r>
        <w:rPr>
          <w:rFonts w:hint="default" w:ascii="仿宋_GB2312" w:eastAsia="仿宋_GB2312" w:cs="Times New Roman" w:hAnsiTheme="majorHAnsi"/>
          <w:b w:val="0"/>
          <w:bCs w:val="0"/>
          <w:kern w:val="2"/>
          <w:sz w:val="32"/>
          <w:szCs w:val="32"/>
          <w:lang w:val="en-US" w:eastAsia="zh-CN" w:bidi="ar"/>
        </w:rPr>
        <w:t>月</w:t>
      </w:r>
      <w:r>
        <w:rPr>
          <w:rFonts w:hint="eastAsia" w:ascii="仿宋_GB2312" w:eastAsia="仿宋_GB2312" w:cs="Times New Roman" w:hAnsiTheme="majorHAnsi"/>
          <w:b w:val="0"/>
          <w:bCs w:val="0"/>
          <w:kern w:val="2"/>
          <w:sz w:val="32"/>
          <w:szCs w:val="32"/>
          <w:lang w:val="en-US" w:eastAsia="zh-CN" w:bidi="ar"/>
        </w:rPr>
        <w:t>1</w:t>
      </w:r>
      <w:r>
        <w:rPr>
          <w:rFonts w:hint="default" w:ascii="仿宋_GB2312" w:eastAsia="仿宋_GB2312" w:cs="Times New Roman" w:hAnsiTheme="majorHAnsi"/>
          <w:b w:val="0"/>
          <w:bCs w:val="0"/>
          <w:kern w:val="2"/>
          <w:sz w:val="32"/>
          <w:szCs w:val="32"/>
          <w:lang w:val="en-US" w:eastAsia="zh-CN" w:bidi="ar"/>
        </w:rPr>
        <w:t>日-201</w:t>
      </w:r>
      <w:r>
        <w:rPr>
          <w:rFonts w:hint="eastAsia" w:ascii="仿宋_GB2312" w:eastAsia="仿宋_GB2312" w:cs="Times New Roman" w:hAnsiTheme="majorHAnsi"/>
          <w:b w:val="0"/>
          <w:bCs w:val="0"/>
          <w:kern w:val="2"/>
          <w:sz w:val="32"/>
          <w:szCs w:val="32"/>
          <w:lang w:val="en-US" w:eastAsia="zh-CN" w:bidi="ar"/>
        </w:rPr>
        <w:t>9</w:t>
      </w:r>
      <w:r>
        <w:rPr>
          <w:rFonts w:hint="default" w:ascii="仿宋_GB2312" w:eastAsia="仿宋_GB2312" w:cs="Times New Roman" w:hAnsiTheme="majorHAnsi"/>
          <w:b w:val="0"/>
          <w:bCs w:val="0"/>
          <w:kern w:val="2"/>
          <w:sz w:val="32"/>
          <w:szCs w:val="32"/>
          <w:lang w:val="en-US" w:eastAsia="zh-CN" w:bidi="ar"/>
        </w:rPr>
        <w:t>年</w:t>
      </w:r>
      <w:r>
        <w:rPr>
          <w:rFonts w:hint="eastAsia" w:ascii="仿宋_GB2312" w:eastAsia="仿宋_GB2312" w:cs="Times New Roman" w:hAnsiTheme="majorHAnsi"/>
          <w:b w:val="0"/>
          <w:bCs w:val="0"/>
          <w:kern w:val="2"/>
          <w:sz w:val="32"/>
          <w:szCs w:val="32"/>
          <w:lang w:val="en-US" w:eastAsia="zh-CN" w:bidi="ar"/>
        </w:rPr>
        <w:t>9</w:t>
      </w:r>
      <w:r>
        <w:rPr>
          <w:rFonts w:hint="default" w:ascii="仿宋_GB2312" w:eastAsia="仿宋_GB2312" w:cs="Times New Roman" w:hAnsiTheme="majorHAnsi"/>
          <w:b w:val="0"/>
          <w:bCs w:val="0"/>
          <w:kern w:val="2"/>
          <w:sz w:val="32"/>
          <w:szCs w:val="32"/>
          <w:lang w:val="en-US" w:eastAsia="zh-CN" w:bidi="ar"/>
        </w:rPr>
        <w:t>月</w:t>
      </w:r>
      <w:r>
        <w:rPr>
          <w:rFonts w:hint="eastAsia" w:ascii="仿宋_GB2312" w:eastAsia="仿宋_GB2312" w:cs="Times New Roman" w:hAnsiTheme="majorHAnsi"/>
          <w:b w:val="0"/>
          <w:bCs w:val="0"/>
          <w:kern w:val="2"/>
          <w:sz w:val="32"/>
          <w:szCs w:val="32"/>
          <w:lang w:val="en-US" w:eastAsia="zh-CN" w:bidi="ar"/>
        </w:rPr>
        <w:t>30</w:t>
      </w:r>
      <w:r>
        <w:rPr>
          <w:rFonts w:hint="default" w:ascii="仿宋_GB2312" w:eastAsia="仿宋_GB2312" w:cs="Times New Roman" w:hAnsiTheme="majorHAnsi"/>
          <w:b w:val="0"/>
          <w:bCs w:val="0"/>
          <w:kern w:val="2"/>
          <w:sz w:val="32"/>
          <w:szCs w:val="32"/>
          <w:lang w:val="en-US" w:eastAsia="zh-CN" w:bidi="ar"/>
        </w:rPr>
        <w:t>日,项目组对</w:t>
      </w:r>
      <w:r>
        <w:rPr>
          <w:rFonts w:hint="eastAsia" w:ascii="仿宋_GB2312" w:eastAsia="仿宋_GB2312" w:cs="Times New Roman" w:hAnsiTheme="majorHAnsi"/>
          <w:b w:val="0"/>
          <w:bCs w:val="0"/>
          <w:kern w:val="2"/>
          <w:sz w:val="32"/>
          <w:szCs w:val="32"/>
          <w:lang w:val="en-US" w:eastAsia="zh-CN" w:bidi="ar"/>
        </w:rPr>
        <w:t>农村危房改造</w:t>
      </w:r>
      <w:r>
        <w:rPr>
          <w:rFonts w:hint="default" w:ascii="仿宋_GB2312" w:eastAsia="仿宋_GB2312" w:cs="Times New Roman" w:hAnsiTheme="majorHAnsi"/>
          <w:b w:val="0"/>
          <w:bCs w:val="0"/>
          <w:kern w:val="2"/>
          <w:sz w:val="32"/>
          <w:szCs w:val="32"/>
          <w:lang w:val="en-US" w:eastAsia="zh-CN" w:bidi="ar"/>
        </w:rPr>
        <w:t>项目涉及受益村民进行问卷调查。向</w:t>
      </w:r>
      <w:r>
        <w:rPr>
          <w:rFonts w:hint="eastAsia" w:ascii="仿宋_GB2312" w:eastAsia="仿宋_GB2312" w:cs="Times New Roman" w:hAnsiTheme="majorHAnsi"/>
          <w:b w:val="0"/>
          <w:bCs w:val="0"/>
          <w:kern w:val="2"/>
          <w:sz w:val="32"/>
          <w:szCs w:val="32"/>
          <w:lang w:val="en-US" w:eastAsia="zh-CN" w:bidi="ar"/>
        </w:rPr>
        <w:t>15</w:t>
      </w:r>
      <w:r>
        <w:rPr>
          <w:rFonts w:hint="default" w:ascii="仿宋_GB2312" w:eastAsia="仿宋_GB2312" w:cs="Times New Roman" w:hAnsiTheme="majorHAnsi"/>
          <w:b w:val="0"/>
          <w:bCs w:val="0"/>
          <w:kern w:val="2"/>
          <w:sz w:val="32"/>
          <w:szCs w:val="32"/>
          <w:lang w:val="en-US" w:eastAsia="zh-CN" w:bidi="ar"/>
        </w:rPr>
        <w:t>个</w:t>
      </w:r>
      <w:r>
        <w:rPr>
          <w:rFonts w:hint="eastAsia" w:ascii="仿宋_GB2312" w:eastAsia="仿宋_GB2312" w:cs="Times New Roman" w:hAnsiTheme="majorHAnsi"/>
          <w:b w:val="0"/>
          <w:bCs w:val="0"/>
          <w:kern w:val="2"/>
          <w:sz w:val="32"/>
          <w:szCs w:val="32"/>
          <w:lang w:val="en-US" w:eastAsia="zh-CN" w:bidi="ar"/>
        </w:rPr>
        <w:t>村</w:t>
      </w:r>
      <w:r>
        <w:rPr>
          <w:rFonts w:hint="default" w:ascii="仿宋_GB2312" w:eastAsia="仿宋_GB2312" w:cs="Times New Roman" w:hAnsiTheme="majorHAnsi"/>
          <w:b w:val="0"/>
          <w:bCs w:val="0"/>
          <w:kern w:val="2"/>
          <w:sz w:val="32"/>
          <w:szCs w:val="32"/>
          <w:lang w:val="en-US" w:eastAsia="zh-CN" w:bidi="ar"/>
        </w:rPr>
        <w:t>共发放</w:t>
      </w:r>
      <w:r>
        <w:rPr>
          <w:rFonts w:hint="eastAsia" w:ascii="仿宋_GB2312" w:eastAsia="仿宋_GB2312" w:cs="Times New Roman" w:hAnsiTheme="majorHAnsi"/>
          <w:b w:val="0"/>
          <w:bCs w:val="0"/>
          <w:kern w:val="2"/>
          <w:sz w:val="32"/>
          <w:szCs w:val="32"/>
          <w:lang w:val="en-US" w:eastAsia="zh-CN" w:bidi="ar"/>
        </w:rPr>
        <w:t>300</w:t>
      </w:r>
      <w:r>
        <w:rPr>
          <w:rFonts w:hint="default" w:ascii="仿宋_GB2312" w:eastAsia="仿宋_GB2312" w:cs="Times New Roman" w:hAnsiTheme="majorHAnsi"/>
          <w:b w:val="0"/>
          <w:bCs w:val="0"/>
          <w:kern w:val="2"/>
          <w:sz w:val="32"/>
          <w:szCs w:val="32"/>
          <w:lang w:val="en-US" w:eastAsia="zh-CN" w:bidi="ar"/>
        </w:rPr>
        <w:t>份问卷,回收</w:t>
      </w:r>
      <w:r>
        <w:rPr>
          <w:rFonts w:hint="eastAsia" w:ascii="仿宋_GB2312" w:eastAsia="仿宋_GB2312" w:cs="Times New Roman" w:hAnsiTheme="majorHAnsi"/>
          <w:b w:val="0"/>
          <w:bCs w:val="0"/>
          <w:kern w:val="2"/>
          <w:sz w:val="32"/>
          <w:szCs w:val="32"/>
          <w:lang w:val="en-US" w:eastAsia="zh-CN" w:bidi="ar"/>
        </w:rPr>
        <w:t>200</w:t>
      </w:r>
      <w:r>
        <w:rPr>
          <w:rFonts w:hint="default" w:ascii="仿宋_GB2312" w:eastAsia="仿宋_GB2312" w:cs="Times New Roman" w:hAnsiTheme="majorHAnsi"/>
          <w:b w:val="0"/>
          <w:bCs w:val="0"/>
          <w:kern w:val="2"/>
          <w:sz w:val="32"/>
          <w:szCs w:val="32"/>
          <w:lang w:val="en-US" w:eastAsia="zh-CN" w:bidi="ar"/>
        </w:rPr>
        <w:t>份问卷,其中有效问卷为</w:t>
      </w:r>
      <w:r>
        <w:rPr>
          <w:rFonts w:hint="eastAsia" w:ascii="仿宋_GB2312" w:eastAsia="仿宋_GB2312" w:cs="Times New Roman" w:hAnsiTheme="majorHAnsi"/>
          <w:b w:val="0"/>
          <w:bCs w:val="0"/>
          <w:kern w:val="2"/>
          <w:sz w:val="32"/>
          <w:szCs w:val="32"/>
          <w:lang w:val="en-US" w:eastAsia="zh-CN" w:bidi="ar"/>
        </w:rPr>
        <w:t>160</w:t>
      </w:r>
      <w:r>
        <w:rPr>
          <w:rFonts w:hint="default" w:ascii="仿宋_GB2312" w:eastAsia="仿宋_GB2312" w:cs="Times New Roman" w:hAnsiTheme="majorHAnsi"/>
          <w:b w:val="0"/>
          <w:bCs w:val="0"/>
          <w:kern w:val="2"/>
          <w:sz w:val="32"/>
          <w:szCs w:val="32"/>
          <w:lang w:val="en-US" w:eastAsia="zh-CN" w:bidi="ar"/>
        </w:rPr>
        <w:t>份,有效问卷为</w:t>
      </w:r>
      <w:r>
        <w:rPr>
          <w:rFonts w:hint="eastAsia" w:ascii="仿宋_GB2312" w:eastAsia="仿宋_GB2312" w:cs="Times New Roman" w:hAnsiTheme="majorHAnsi"/>
          <w:b w:val="0"/>
          <w:bCs w:val="0"/>
          <w:kern w:val="2"/>
          <w:sz w:val="32"/>
          <w:szCs w:val="32"/>
          <w:lang w:val="en-US" w:eastAsia="zh-CN" w:bidi="ar"/>
        </w:rPr>
        <w:t>80</w:t>
      </w:r>
      <w:r>
        <w:rPr>
          <w:rFonts w:hint="default" w:ascii="仿宋_GB2312" w:eastAsia="仿宋_GB2312" w:cs="Times New Roman" w:hAnsiTheme="majorHAnsi"/>
          <w:b w:val="0"/>
          <w:bCs w:val="0"/>
          <w:kern w:val="2"/>
          <w:sz w:val="32"/>
          <w:szCs w:val="32"/>
          <w:lang w:val="en-US" w:eastAsia="zh-CN" w:bidi="ar"/>
        </w:rPr>
        <w:t>%</w:t>
      </w:r>
      <w:r>
        <w:rPr>
          <w:rFonts w:hint="eastAsia" w:ascii="仿宋_GB2312" w:eastAsia="仿宋_GB2312" w:cs="Times New Roman" w:hAnsiTheme="majorHAnsi"/>
          <w:b w:val="0"/>
          <w:bCs w:val="0"/>
          <w:kern w:val="2"/>
          <w:sz w:val="32"/>
          <w:szCs w:val="32"/>
          <w:lang w:val="en-US" w:eastAsia="zh-CN" w:bidi="ar"/>
        </w:rPr>
        <w:t>，再</w:t>
      </w:r>
      <w:r>
        <w:rPr>
          <w:rFonts w:hint="default" w:ascii="仿宋_GB2312" w:eastAsia="仿宋_GB2312" w:cs="Times New Roman" w:hAnsiTheme="majorHAnsi"/>
          <w:b w:val="0"/>
          <w:bCs w:val="0"/>
          <w:kern w:val="2"/>
          <w:sz w:val="32"/>
          <w:szCs w:val="32"/>
          <w:lang w:val="en-US" w:eastAsia="zh-CN" w:bidi="ar"/>
        </w:rPr>
        <w:t>通过问卷录入、分析、整理后,形成社会调查满意度报告</w:t>
      </w:r>
      <w:r>
        <w:rPr>
          <w:rFonts w:hint="eastAsia" w:ascii="仿宋_GB2312" w:eastAsia="仿宋_GB2312" w:cs="Times New Roman" w:hAnsiTheme="majorHAnsi"/>
          <w:b w:val="0"/>
          <w:bCs w:val="0"/>
          <w:kern w:val="2"/>
          <w:sz w:val="32"/>
          <w:szCs w:val="32"/>
          <w:lang w:val="en-US" w:eastAsia="zh-CN" w:bidi="ar"/>
        </w:rPr>
        <w:t>。</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（2)数据分析及撰写报告</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_GB2312" w:eastAsia="仿宋_GB2312" w:cs="Times New Roman" w:hAnsiTheme="majorHAnsi"/>
          <w:b w:val="0"/>
          <w:bCs w:val="0"/>
          <w:kern w:val="2"/>
          <w:sz w:val="32"/>
          <w:szCs w:val="32"/>
          <w:lang w:val="en-US" w:eastAsia="zh-CN" w:bidi="ar"/>
        </w:rPr>
      </w:pPr>
      <w:r>
        <w:rPr>
          <w:rFonts w:hint="default" w:ascii="仿宋_GB2312" w:eastAsia="仿宋_GB2312" w:cs="Times New Roman" w:hAnsiTheme="majorHAnsi"/>
          <w:b w:val="0"/>
          <w:bCs w:val="0"/>
          <w:kern w:val="2"/>
          <w:sz w:val="32"/>
          <w:szCs w:val="32"/>
          <w:lang w:val="en-US" w:eastAsia="zh-CN" w:bidi="ar"/>
        </w:rPr>
        <w:t>201</w:t>
      </w:r>
      <w:r>
        <w:rPr>
          <w:rFonts w:hint="eastAsia" w:ascii="仿宋_GB2312" w:eastAsia="仿宋_GB2312" w:cs="Times New Roman" w:hAnsiTheme="majorHAnsi"/>
          <w:b w:val="0"/>
          <w:bCs w:val="0"/>
          <w:kern w:val="2"/>
          <w:sz w:val="32"/>
          <w:szCs w:val="32"/>
          <w:lang w:val="en-US" w:eastAsia="zh-CN" w:bidi="ar"/>
        </w:rPr>
        <w:t>9</w:t>
      </w:r>
      <w:r>
        <w:rPr>
          <w:rFonts w:hint="default" w:ascii="仿宋_GB2312" w:eastAsia="仿宋_GB2312" w:cs="Times New Roman" w:hAnsiTheme="majorHAnsi"/>
          <w:b w:val="0"/>
          <w:bCs w:val="0"/>
          <w:kern w:val="2"/>
          <w:sz w:val="32"/>
          <w:szCs w:val="32"/>
          <w:lang w:val="en-US" w:eastAsia="zh-CN" w:bidi="ar"/>
        </w:rPr>
        <w:t>年</w:t>
      </w:r>
      <w:r>
        <w:rPr>
          <w:rFonts w:hint="eastAsia" w:ascii="仿宋_GB2312" w:eastAsia="仿宋_GB2312" w:cs="Times New Roman" w:hAnsiTheme="majorHAnsi"/>
          <w:b w:val="0"/>
          <w:bCs w:val="0"/>
          <w:kern w:val="2"/>
          <w:sz w:val="32"/>
          <w:szCs w:val="32"/>
          <w:lang w:val="en-US" w:eastAsia="zh-CN" w:bidi="ar"/>
        </w:rPr>
        <w:t>10</w:t>
      </w:r>
      <w:r>
        <w:rPr>
          <w:rFonts w:hint="default" w:ascii="仿宋_GB2312" w:eastAsia="仿宋_GB2312" w:cs="Times New Roman" w:hAnsiTheme="majorHAnsi"/>
          <w:b w:val="0"/>
          <w:bCs w:val="0"/>
          <w:kern w:val="2"/>
          <w:sz w:val="32"/>
          <w:szCs w:val="32"/>
          <w:lang w:val="en-US" w:eastAsia="zh-CN" w:bidi="ar"/>
        </w:rPr>
        <w:t>月</w:t>
      </w:r>
      <w:r>
        <w:rPr>
          <w:rFonts w:hint="eastAsia" w:ascii="仿宋_GB2312" w:eastAsia="仿宋_GB2312" w:cs="Times New Roman" w:hAnsiTheme="majorHAnsi"/>
          <w:b w:val="0"/>
          <w:bCs w:val="0"/>
          <w:kern w:val="2"/>
          <w:sz w:val="32"/>
          <w:szCs w:val="32"/>
          <w:lang w:val="en-US" w:eastAsia="zh-CN" w:bidi="ar"/>
        </w:rPr>
        <w:t>1</w:t>
      </w:r>
      <w:r>
        <w:rPr>
          <w:rFonts w:hint="default" w:ascii="仿宋_GB2312" w:eastAsia="仿宋_GB2312" w:cs="Times New Roman" w:hAnsiTheme="majorHAnsi"/>
          <w:b w:val="0"/>
          <w:bCs w:val="0"/>
          <w:kern w:val="2"/>
          <w:sz w:val="32"/>
          <w:szCs w:val="32"/>
          <w:lang w:val="en-US" w:eastAsia="zh-CN" w:bidi="ar"/>
        </w:rPr>
        <w:t>日-201</w:t>
      </w:r>
      <w:r>
        <w:rPr>
          <w:rFonts w:hint="eastAsia" w:ascii="仿宋_GB2312" w:eastAsia="仿宋_GB2312" w:cs="Times New Roman" w:hAnsiTheme="majorHAnsi"/>
          <w:b w:val="0"/>
          <w:bCs w:val="0"/>
          <w:kern w:val="2"/>
          <w:sz w:val="32"/>
          <w:szCs w:val="32"/>
          <w:lang w:val="en-US" w:eastAsia="zh-CN" w:bidi="ar"/>
        </w:rPr>
        <w:t>9</w:t>
      </w:r>
      <w:r>
        <w:rPr>
          <w:rFonts w:hint="default" w:ascii="仿宋_GB2312" w:eastAsia="仿宋_GB2312" w:cs="Times New Roman" w:hAnsiTheme="majorHAnsi"/>
          <w:b w:val="0"/>
          <w:bCs w:val="0"/>
          <w:kern w:val="2"/>
          <w:sz w:val="32"/>
          <w:szCs w:val="32"/>
          <w:lang w:val="en-US" w:eastAsia="zh-CN" w:bidi="ar"/>
        </w:rPr>
        <w:t>年</w:t>
      </w:r>
      <w:r>
        <w:rPr>
          <w:rFonts w:hint="eastAsia" w:ascii="仿宋_GB2312" w:eastAsia="仿宋_GB2312" w:cs="Times New Roman" w:hAnsiTheme="majorHAnsi"/>
          <w:b w:val="0"/>
          <w:bCs w:val="0"/>
          <w:kern w:val="2"/>
          <w:sz w:val="32"/>
          <w:szCs w:val="32"/>
          <w:lang w:val="en-US" w:eastAsia="zh-CN" w:bidi="ar"/>
        </w:rPr>
        <w:t>10</w:t>
      </w:r>
      <w:r>
        <w:rPr>
          <w:rFonts w:hint="default" w:ascii="仿宋_GB2312" w:eastAsia="仿宋_GB2312" w:cs="Times New Roman" w:hAnsiTheme="majorHAnsi"/>
          <w:b w:val="0"/>
          <w:bCs w:val="0"/>
          <w:kern w:val="2"/>
          <w:sz w:val="32"/>
          <w:szCs w:val="32"/>
          <w:lang w:val="en-US" w:eastAsia="zh-CN" w:bidi="ar"/>
        </w:rPr>
        <w:t>月</w:t>
      </w:r>
      <w:r>
        <w:rPr>
          <w:rFonts w:hint="eastAsia" w:ascii="仿宋_GB2312" w:eastAsia="仿宋_GB2312" w:cs="Times New Roman" w:hAnsiTheme="majorHAnsi"/>
          <w:b w:val="0"/>
          <w:bCs w:val="0"/>
          <w:kern w:val="2"/>
          <w:sz w:val="32"/>
          <w:szCs w:val="32"/>
          <w:lang w:val="en-US" w:eastAsia="zh-CN" w:bidi="ar"/>
        </w:rPr>
        <w:t>31</w:t>
      </w:r>
      <w:r>
        <w:rPr>
          <w:rFonts w:hint="default" w:ascii="仿宋_GB2312" w:eastAsia="仿宋_GB2312" w:cs="Times New Roman" w:hAnsiTheme="majorHAnsi"/>
          <w:b w:val="0"/>
          <w:bCs w:val="0"/>
          <w:kern w:val="2"/>
          <w:sz w:val="32"/>
          <w:szCs w:val="32"/>
          <w:lang w:val="en-US" w:eastAsia="zh-CN" w:bidi="ar"/>
        </w:rPr>
        <w:t>日,项目组根据绩效评价的原理和规范,对采集的数据进行甄别、分析和评分,并提炼结论撰写报告,在规定时间内上报委托方,由委托方组织相关专家对报告进行评审。</w:t>
      </w:r>
    </w:p>
    <w:p>
      <w:pPr>
        <w:pStyle w:val="22"/>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rPr>
          <w:color w:val="auto"/>
          <w:highlight w:val="none"/>
          <w:lang w:bidi="ar"/>
        </w:rPr>
      </w:pPr>
      <w:bookmarkStart w:id="7" w:name="_Toc26401558"/>
      <w:r>
        <w:rPr>
          <w:rFonts w:hint="eastAsia" w:ascii="黑体" w:hAnsi="黑体"/>
          <w:color w:val="auto"/>
          <w:highlight w:val="none"/>
        </w:rPr>
        <w:t>综合评价情况及评价结论</w:t>
      </w:r>
    </w:p>
    <w:p>
      <w:pPr>
        <w:pStyle w:val="22"/>
        <w:pageBreakBefore w:val="0"/>
        <w:widowControl w:val="0"/>
        <w:kinsoku/>
        <w:wordWrap/>
        <w:overflowPunct/>
        <w:topLinePunct w:val="0"/>
        <w:autoSpaceDE/>
        <w:autoSpaceDN/>
        <w:bidi w:val="0"/>
        <w:adjustRightInd/>
        <w:snapToGrid/>
        <w:spacing w:before="0" w:after="0" w:line="560" w:lineRule="exact"/>
        <w:ind w:left="0" w:firstLine="640" w:firstLineChars="200"/>
        <w:textAlignment w:val="auto"/>
        <w:rPr>
          <w:rFonts w:ascii="仿宋_GB2312" w:eastAsia="仿宋_GB2312" w:hAnsiTheme="majorHAnsi"/>
          <w:b w:val="0"/>
          <w:bCs w:val="0"/>
          <w:kern w:val="2"/>
          <w:highlight w:val="none"/>
          <w:lang w:bidi="ar"/>
        </w:rPr>
      </w:pPr>
      <w:r>
        <w:rPr>
          <w:rFonts w:hint="eastAsia" w:ascii="仿宋_GB2312" w:eastAsia="仿宋_GB2312" w:hAnsiTheme="majorHAnsi"/>
          <w:b w:val="0"/>
          <w:bCs w:val="0"/>
          <w:kern w:val="2"/>
          <w:highlight w:val="none"/>
          <w:lang w:bidi="ar"/>
        </w:rPr>
        <w:t>经评价组通过实地调研、资料分析等方式，采用成本效益分析法等对项目的决策、管理、绩效进行的综合评价分析，项目得分为</w:t>
      </w:r>
      <w:r>
        <w:rPr>
          <w:rFonts w:hint="eastAsia" w:ascii="仿宋_GB2312" w:eastAsia="仿宋_GB2312" w:hAnsiTheme="majorHAnsi"/>
          <w:b w:val="0"/>
          <w:bCs w:val="0"/>
          <w:kern w:val="2"/>
          <w:highlight w:val="none"/>
          <w:lang w:val="en-US" w:eastAsia="zh-CN" w:bidi="ar"/>
        </w:rPr>
        <w:t>98</w:t>
      </w:r>
      <w:r>
        <w:rPr>
          <w:rFonts w:hint="eastAsia" w:ascii="仿宋_GB2312" w:eastAsia="仿宋_GB2312" w:hAnsiTheme="majorHAnsi"/>
          <w:b w:val="0"/>
          <w:bCs w:val="0"/>
          <w:kern w:val="2"/>
          <w:highlight w:val="none"/>
          <w:lang w:bidi="ar"/>
        </w:rPr>
        <w:t>分，评价结果为</w:t>
      </w:r>
      <w:r>
        <w:rPr>
          <w:rFonts w:hint="eastAsia" w:ascii="仿宋_GB2312" w:eastAsia="仿宋_GB2312" w:hAnsiTheme="majorHAnsi"/>
          <w:b w:val="0"/>
          <w:bCs w:val="0"/>
          <w:kern w:val="2"/>
          <w:highlight w:val="none"/>
          <w:lang w:eastAsia="zh-CN" w:bidi="ar"/>
        </w:rPr>
        <w:t>优</w:t>
      </w:r>
      <w:r>
        <w:rPr>
          <w:rFonts w:hint="eastAsia" w:ascii="仿宋_GB2312" w:eastAsia="仿宋_GB2312" w:hAnsiTheme="majorHAnsi"/>
          <w:b w:val="0"/>
          <w:bCs w:val="0"/>
          <w:kern w:val="2"/>
          <w:highlight w:val="none"/>
          <w:lang w:bidi="ar"/>
        </w:rPr>
        <w:t>，详见附件4。</w:t>
      </w:r>
    </w:p>
    <w:p>
      <w:pPr>
        <w:pStyle w:val="22"/>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rPr>
          <w:highlight w:val="none"/>
          <w:lang w:bidi="ar"/>
        </w:rPr>
      </w:pPr>
      <w:r>
        <w:rPr>
          <w:rFonts w:hint="eastAsia"/>
          <w:highlight w:val="none"/>
          <w:lang w:bidi="ar"/>
        </w:rPr>
        <w:t>绩效评价指标分析</w:t>
      </w:r>
      <w:bookmarkEnd w:id="7"/>
    </w:p>
    <w:p>
      <w:pPr>
        <w:pStyle w:val="18"/>
        <w:pageBreakBefore w:val="0"/>
        <w:widowControl w:val="0"/>
        <w:numPr>
          <w:ilvl w:val="0"/>
          <w:numId w:val="7"/>
        </w:numPr>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项目的决策情况</w:t>
      </w:r>
    </w:p>
    <w:p>
      <w:pPr>
        <w:pStyle w:val="27"/>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cs="宋体"/>
          <w:sz w:val="32"/>
          <w:szCs w:val="32"/>
          <w:highlight w:val="none"/>
          <w:lang w:eastAsia="zh-CN" w:bidi="ar"/>
        </w:rPr>
      </w:pPr>
      <w:r>
        <w:rPr>
          <w:rFonts w:hint="eastAsia" w:ascii="仿宋_GB2312" w:hAnsi="仿宋" w:cs="宋体"/>
          <w:sz w:val="32"/>
          <w:szCs w:val="32"/>
          <w:highlight w:val="none"/>
          <w:lang w:eastAsia="zh-CN" w:bidi="ar"/>
        </w:rPr>
        <w:t>本项目根据中央住房城乡建设部办公厅关于做好农村危房改造助力脱贫攻坚相关工作的通知，结合我乡我乡农村危房改造工作及全乡建房户总体要求进行申报，审批文件、材料符合要求。同时根据自治区</w:t>
      </w:r>
      <w:r>
        <w:rPr>
          <w:rFonts w:hint="eastAsia" w:ascii="仿宋_GB2312" w:hAnsi="仿宋" w:eastAsia="仿宋_GB2312" w:cs="宋体"/>
          <w:sz w:val="32"/>
          <w:szCs w:val="32"/>
          <w:highlight w:val="none"/>
          <w:lang w:bidi="ar"/>
        </w:rPr>
        <w:t>新财建</w:t>
      </w:r>
      <w:r>
        <w:rPr>
          <w:rFonts w:hint="eastAsia" w:ascii="仿宋_GB2312" w:hAnsi="仿宋" w:eastAsia="仿宋_GB2312" w:cs="宋体"/>
          <w:sz w:val="32"/>
          <w:szCs w:val="32"/>
          <w:highlight w:val="none"/>
          <w:lang w:eastAsia="zh-CN" w:bidi="ar"/>
        </w:rPr>
        <w:t>【</w:t>
      </w:r>
      <w:r>
        <w:rPr>
          <w:rFonts w:hint="eastAsia" w:ascii="仿宋_GB2312" w:hAnsi="仿宋" w:eastAsia="仿宋_GB2312" w:cs="宋体"/>
          <w:sz w:val="32"/>
          <w:szCs w:val="32"/>
          <w:highlight w:val="none"/>
          <w:lang w:bidi="ar"/>
        </w:rPr>
        <w:t>2019</w:t>
      </w:r>
      <w:r>
        <w:rPr>
          <w:rFonts w:hint="eastAsia" w:ascii="仿宋_GB2312" w:hAnsi="仿宋" w:eastAsia="仿宋_GB2312" w:cs="宋体"/>
          <w:sz w:val="32"/>
          <w:szCs w:val="32"/>
          <w:highlight w:val="none"/>
          <w:lang w:eastAsia="zh-CN" w:bidi="ar"/>
        </w:rPr>
        <w:t>】</w:t>
      </w:r>
      <w:r>
        <w:rPr>
          <w:rFonts w:hint="eastAsia" w:ascii="仿宋_GB2312" w:hAnsi="仿宋" w:eastAsia="仿宋_GB2312" w:cs="宋体"/>
          <w:sz w:val="32"/>
          <w:szCs w:val="32"/>
          <w:highlight w:val="none"/>
          <w:lang w:bidi="ar"/>
        </w:rPr>
        <w:t>69号、喀地财建</w:t>
      </w:r>
      <w:r>
        <w:rPr>
          <w:rFonts w:hint="eastAsia" w:ascii="仿宋_GB2312" w:hAnsi="仿宋" w:eastAsia="仿宋_GB2312" w:cs="宋体"/>
          <w:sz w:val="32"/>
          <w:szCs w:val="32"/>
          <w:highlight w:val="none"/>
          <w:lang w:eastAsia="zh-CN" w:bidi="ar"/>
        </w:rPr>
        <w:t>【</w:t>
      </w:r>
      <w:r>
        <w:rPr>
          <w:rFonts w:hint="eastAsia" w:ascii="仿宋_GB2312" w:hAnsi="仿宋" w:eastAsia="仿宋_GB2312" w:cs="宋体"/>
          <w:sz w:val="32"/>
          <w:szCs w:val="32"/>
          <w:highlight w:val="none"/>
          <w:lang w:bidi="ar"/>
        </w:rPr>
        <w:t>2019</w:t>
      </w:r>
      <w:r>
        <w:rPr>
          <w:rFonts w:hint="eastAsia" w:ascii="仿宋_GB2312" w:hAnsi="仿宋" w:eastAsia="仿宋_GB2312" w:cs="宋体"/>
          <w:sz w:val="32"/>
          <w:szCs w:val="32"/>
          <w:highlight w:val="none"/>
          <w:lang w:eastAsia="zh-CN" w:bidi="ar"/>
        </w:rPr>
        <w:t>】</w:t>
      </w:r>
      <w:r>
        <w:rPr>
          <w:rFonts w:hint="eastAsia" w:ascii="仿宋_GB2312" w:hAnsi="仿宋" w:eastAsia="仿宋_GB2312" w:cs="宋体"/>
          <w:sz w:val="32"/>
          <w:szCs w:val="32"/>
          <w:highlight w:val="none"/>
          <w:lang w:bidi="ar"/>
        </w:rPr>
        <w:t>44号</w:t>
      </w:r>
      <w:r>
        <w:rPr>
          <w:rFonts w:hint="eastAsia" w:ascii="仿宋_GB2312" w:hAnsi="仿宋" w:eastAsia="仿宋_GB2312" w:cs="宋体"/>
          <w:sz w:val="32"/>
          <w:szCs w:val="32"/>
          <w:highlight w:val="none"/>
          <w:lang w:eastAsia="zh-CN" w:bidi="ar"/>
        </w:rPr>
        <w:t>文件</w:t>
      </w:r>
      <w:r>
        <w:rPr>
          <w:rFonts w:hint="eastAsia" w:ascii="仿宋_GB2312" w:hAnsi="仿宋" w:cs="宋体"/>
          <w:sz w:val="32"/>
          <w:szCs w:val="32"/>
          <w:highlight w:val="none"/>
          <w:lang w:eastAsia="zh-CN" w:bidi="ar"/>
        </w:rPr>
        <w:t>精神设置绩效目标，项目资金共计2333.12万元，用于完善我乡住房保障体系，改善住房保障服务，解决建房困难户经济困难，有效促进建房户就业，提升建房户获得感与幸福感。</w:t>
      </w:r>
    </w:p>
    <w:p>
      <w:pPr>
        <w:pStyle w:val="18"/>
        <w:pageBreakBefore w:val="0"/>
        <w:widowControl w:val="0"/>
        <w:numPr>
          <w:ilvl w:val="0"/>
          <w:numId w:val="7"/>
        </w:numPr>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项目的过程情况</w:t>
      </w:r>
    </w:p>
    <w:p>
      <w:pPr>
        <w:pStyle w:val="27"/>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highlight w:val="none"/>
          <w:lang w:bidi="ar"/>
        </w:rPr>
      </w:pPr>
      <w:r>
        <w:rPr>
          <w:rFonts w:hint="eastAsia" w:ascii="仿宋_GB2312" w:hAnsi="仿宋" w:cs="宋体"/>
          <w:sz w:val="32"/>
          <w:szCs w:val="32"/>
          <w:highlight w:val="none"/>
          <w:lang w:eastAsia="zh-CN" w:bidi="ar"/>
        </w:rPr>
        <w:t>我乡农村危房改造项目以“三最两就”原则，严格落实农村危房改造范围及审批手续，按照个人申请、村级评议、乡级审核、县级批准、地区备案的审批流程，根据自治区下达补助资金及实施方案，结合我乡实际，制定了《江格勒斯乡农村危房改造项目资金管理制度》并组织实施。在竣工验收后，根据补助标准及方式进行发放，</w:t>
      </w:r>
      <w:r>
        <w:rPr>
          <w:rFonts w:hint="eastAsia" w:ascii="仿宋_GB2312" w:hAnsi="仿宋" w:eastAsia="仿宋_GB2312" w:cs="宋体"/>
          <w:sz w:val="32"/>
          <w:szCs w:val="32"/>
          <w:highlight w:val="none"/>
          <w:lang w:eastAsia="zh-CN" w:bidi="ar"/>
        </w:rPr>
        <w:t>不</w:t>
      </w:r>
      <w:r>
        <w:rPr>
          <w:rFonts w:hint="eastAsia" w:ascii="仿宋_GB2312" w:hAnsi="仿宋" w:eastAsia="仿宋_GB2312" w:cs="宋体"/>
          <w:sz w:val="32"/>
          <w:szCs w:val="32"/>
          <w:highlight w:val="none"/>
          <w:lang w:bidi="ar"/>
        </w:rPr>
        <w:t>存在截留、挤占、挪用、虚列支出等情况。</w:t>
      </w:r>
      <w:r>
        <w:rPr>
          <w:rFonts w:hint="eastAsia" w:ascii="仿宋_GB2312" w:hAnsi="仿宋" w:cs="宋体"/>
          <w:sz w:val="32"/>
          <w:szCs w:val="32"/>
          <w:highlight w:val="none"/>
          <w:lang w:eastAsia="zh-CN" w:bidi="ar"/>
        </w:rPr>
        <w:t>资金审批手续严格按照《会计法》、《预算法》及财政国库集中支付制度执行</w:t>
      </w:r>
      <w:r>
        <w:rPr>
          <w:rFonts w:hint="eastAsia" w:ascii="仿宋_GB2312" w:hAnsi="仿宋" w:eastAsia="仿宋_GB2312" w:cs="宋体"/>
          <w:sz w:val="32"/>
          <w:szCs w:val="32"/>
          <w:highlight w:val="none"/>
          <w:lang w:bidi="ar"/>
        </w:rPr>
        <w:t>。</w:t>
      </w:r>
      <w:r>
        <w:rPr>
          <w:rFonts w:hint="eastAsia" w:ascii="仿宋_GB2312" w:hAnsi="仿宋" w:cs="宋体"/>
          <w:sz w:val="32"/>
          <w:szCs w:val="32"/>
          <w:highlight w:val="none"/>
          <w:lang w:eastAsia="zh-CN" w:bidi="ar"/>
        </w:rPr>
        <w:t>项目执行完毕后，未发现</w:t>
      </w:r>
      <w:r>
        <w:rPr>
          <w:rFonts w:hint="eastAsia" w:ascii="仿宋_GB2312" w:hAnsi="仿宋" w:eastAsia="仿宋_GB2312" w:cs="宋体"/>
          <w:sz w:val="32"/>
          <w:szCs w:val="32"/>
          <w:highlight w:val="none"/>
          <w:lang w:bidi="ar"/>
        </w:rPr>
        <w:t>调整及支出调整手续</w:t>
      </w:r>
      <w:r>
        <w:rPr>
          <w:rFonts w:hint="eastAsia" w:ascii="仿宋_GB2312" w:hAnsi="仿宋" w:eastAsia="仿宋_GB2312" w:cs="宋体"/>
          <w:sz w:val="32"/>
          <w:szCs w:val="32"/>
          <w:highlight w:val="none"/>
          <w:lang w:eastAsia="zh-CN" w:bidi="ar"/>
        </w:rPr>
        <w:t>情况</w:t>
      </w:r>
      <w:r>
        <w:rPr>
          <w:rFonts w:hint="eastAsia" w:ascii="仿宋_GB2312" w:hAnsi="仿宋" w:eastAsia="仿宋_GB2312" w:cs="宋体"/>
          <w:sz w:val="32"/>
          <w:szCs w:val="32"/>
          <w:highlight w:val="none"/>
          <w:lang w:bidi="ar"/>
        </w:rPr>
        <w:t>，项目合</w:t>
      </w:r>
      <w:r>
        <w:rPr>
          <w:rFonts w:hint="eastAsia" w:ascii="仿宋_GB2312" w:hAnsi="仿宋" w:cs="宋体"/>
          <w:sz w:val="32"/>
          <w:szCs w:val="32"/>
          <w:highlight w:val="none"/>
          <w:lang w:eastAsia="zh-CN" w:bidi="ar"/>
        </w:rPr>
        <w:t>资料</w:t>
      </w:r>
      <w:r>
        <w:rPr>
          <w:rFonts w:hint="eastAsia" w:ascii="仿宋_GB2312" w:hAnsi="仿宋" w:eastAsia="仿宋_GB2312" w:cs="宋体"/>
          <w:sz w:val="32"/>
          <w:szCs w:val="32"/>
          <w:highlight w:val="none"/>
          <w:lang w:bidi="ar"/>
        </w:rPr>
        <w:t>、</w:t>
      </w:r>
      <w:r>
        <w:rPr>
          <w:rFonts w:hint="eastAsia" w:ascii="仿宋_GB2312" w:hAnsi="仿宋" w:cs="宋体"/>
          <w:sz w:val="32"/>
          <w:szCs w:val="32"/>
          <w:highlight w:val="none"/>
          <w:lang w:eastAsia="zh-CN" w:bidi="ar"/>
        </w:rPr>
        <w:t>补助领取表及</w:t>
      </w:r>
      <w:r>
        <w:rPr>
          <w:rFonts w:hint="eastAsia" w:ascii="仿宋_GB2312" w:hAnsi="仿宋" w:eastAsia="仿宋_GB2312" w:cs="宋体"/>
          <w:sz w:val="32"/>
          <w:szCs w:val="32"/>
          <w:highlight w:val="none"/>
          <w:lang w:bidi="ar"/>
        </w:rPr>
        <w:t>验收报告资料</w:t>
      </w:r>
      <w:r>
        <w:rPr>
          <w:rFonts w:hint="eastAsia" w:ascii="仿宋_GB2312" w:hAnsi="仿宋" w:eastAsia="仿宋_GB2312" w:cs="宋体"/>
          <w:sz w:val="32"/>
          <w:szCs w:val="32"/>
          <w:highlight w:val="none"/>
          <w:lang w:eastAsia="zh-CN" w:bidi="ar"/>
        </w:rPr>
        <w:t>已</w:t>
      </w:r>
      <w:r>
        <w:rPr>
          <w:rFonts w:hint="eastAsia" w:ascii="仿宋_GB2312" w:hAnsi="仿宋" w:eastAsia="仿宋_GB2312" w:cs="宋体"/>
          <w:sz w:val="32"/>
          <w:szCs w:val="32"/>
          <w:highlight w:val="none"/>
          <w:lang w:bidi="ar"/>
        </w:rPr>
        <w:t>齐全并及时归档。</w:t>
      </w:r>
    </w:p>
    <w:p>
      <w:pPr>
        <w:pStyle w:val="18"/>
        <w:pageBreakBefore w:val="0"/>
        <w:widowControl w:val="0"/>
        <w:numPr>
          <w:ilvl w:val="0"/>
          <w:numId w:val="7"/>
        </w:numPr>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项目产出情况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highlight w:val="none"/>
          <w:lang w:eastAsia="zh-CN" w:bidi="ar"/>
        </w:rPr>
      </w:pPr>
      <w:r>
        <w:rPr>
          <w:rFonts w:hint="eastAsia" w:ascii="仿宋_GB2312" w:eastAsia="仿宋_GB2312"/>
          <w:sz w:val="32"/>
          <w:szCs w:val="32"/>
          <w:highlight w:val="none"/>
          <w:lang w:eastAsia="zh-CN"/>
        </w:rPr>
        <w:t>本项目严格按照上级部门审批确定的执行范围执行，共保障全乡</w:t>
      </w:r>
      <w:r>
        <w:rPr>
          <w:rFonts w:hint="eastAsia" w:ascii="仿宋_GB2312" w:eastAsia="仿宋_GB2312"/>
          <w:sz w:val="32"/>
          <w:szCs w:val="32"/>
          <w:highlight w:val="none"/>
          <w:lang w:val="en-US" w:eastAsia="zh-CN"/>
        </w:rPr>
        <w:t>634户建房户建房补助，并按照补助标准的不同，户均3.68万元进行发放，项目补助资金按照已上报的建房户数量全部享受完毕，资金拨付及时，资金申报、审批手续完全合理、</w:t>
      </w:r>
      <w:r>
        <w:rPr>
          <w:rFonts w:hint="eastAsia" w:ascii="仿宋_GB2312" w:hAnsi="仿宋" w:eastAsia="仿宋_GB2312" w:cs="宋体"/>
          <w:sz w:val="32"/>
          <w:szCs w:val="32"/>
          <w:highlight w:val="none"/>
          <w:lang w:bidi="ar"/>
        </w:rPr>
        <w:t>合法、合规</w:t>
      </w:r>
      <w:r>
        <w:rPr>
          <w:rFonts w:hint="eastAsia" w:ascii="仿宋_GB2312" w:hAnsi="仿宋" w:eastAsia="仿宋_GB2312" w:cs="宋体"/>
          <w:sz w:val="32"/>
          <w:szCs w:val="32"/>
          <w:highlight w:val="none"/>
          <w:lang w:eastAsia="zh-CN" w:bidi="ar"/>
        </w:rPr>
        <w:t>，</w:t>
      </w:r>
      <w:r>
        <w:rPr>
          <w:rFonts w:hint="eastAsia" w:ascii="仿宋_GB2312" w:eastAsia="仿宋_GB2312"/>
          <w:sz w:val="32"/>
          <w:szCs w:val="32"/>
          <w:highlight w:val="none"/>
          <w:lang w:val="en-US" w:eastAsia="zh-CN"/>
        </w:rPr>
        <w:t>无</w:t>
      </w:r>
      <w:r>
        <w:rPr>
          <w:rFonts w:hint="eastAsia" w:ascii="仿宋_GB2312" w:hAnsi="仿宋" w:eastAsia="仿宋_GB2312" w:cs="宋体"/>
          <w:sz w:val="32"/>
          <w:szCs w:val="32"/>
          <w:highlight w:val="none"/>
          <w:lang w:bidi="ar"/>
        </w:rPr>
        <w:t>截留、挤占、挪用、虚列支出等情况</w:t>
      </w:r>
      <w:r>
        <w:rPr>
          <w:rFonts w:hint="eastAsia" w:ascii="仿宋_GB2312" w:hAnsi="仿宋" w:eastAsia="仿宋_GB2312" w:cs="宋体"/>
          <w:sz w:val="32"/>
          <w:szCs w:val="32"/>
          <w:highlight w:val="none"/>
          <w:lang w:eastAsia="zh-CN" w:bidi="ar"/>
        </w:rPr>
        <w:t>。</w:t>
      </w:r>
    </w:p>
    <w:tbl>
      <w:tblPr>
        <w:tblStyle w:val="13"/>
        <w:tblW w:w="8342" w:type="dxa"/>
        <w:tblInd w:w="0" w:type="dxa"/>
        <w:shd w:val="clear" w:color="auto" w:fill="auto"/>
        <w:tblLayout w:type="fixed"/>
        <w:tblCellMar>
          <w:top w:w="0" w:type="dxa"/>
          <w:left w:w="0" w:type="dxa"/>
          <w:bottom w:w="0" w:type="dxa"/>
          <w:right w:w="0" w:type="dxa"/>
        </w:tblCellMar>
      </w:tblPr>
      <w:tblGrid>
        <w:gridCol w:w="1499"/>
        <w:gridCol w:w="1276"/>
        <w:gridCol w:w="2832"/>
        <w:gridCol w:w="1694"/>
        <w:gridCol w:w="1041"/>
      </w:tblGrid>
      <w:tr>
        <w:tblPrEx>
          <w:shd w:val="clear" w:color="auto" w:fill="auto"/>
          <w:tblLayout w:type="fixed"/>
          <w:tblCellMar>
            <w:top w:w="0" w:type="dxa"/>
            <w:left w:w="0" w:type="dxa"/>
            <w:bottom w:w="0" w:type="dxa"/>
            <w:right w:w="0" w:type="dxa"/>
          </w:tblCellMar>
        </w:tblPrEx>
        <w:trPr>
          <w:trHeight w:val="500" w:hRule="atLeast"/>
        </w:trPr>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69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Layout w:type="fixed"/>
          <w:tblCellMar>
            <w:top w:w="0" w:type="dxa"/>
            <w:left w:w="0" w:type="dxa"/>
            <w:bottom w:w="0" w:type="dxa"/>
            <w:right w:w="0" w:type="dxa"/>
          </w:tblCellMar>
        </w:tblPrEx>
        <w:trPr>
          <w:trHeight w:val="500" w:hRule="atLeast"/>
        </w:trPr>
        <w:tc>
          <w:tcPr>
            <w:tcW w:w="149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27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经费保障户数（户）</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634</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634</w:t>
            </w:r>
          </w:p>
        </w:tc>
      </w:tr>
      <w:tr>
        <w:tblPrEx>
          <w:tblLayout w:type="fixed"/>
          <w:tblCellMar>
            <w:top w:w="0" w:type="dxa"/>
            <w:left w:w="0" w:type="dxa"/>
            <w:bottom w:w="0" w:type="dxa"/>
            <w:right w:w="0" w:type="dxa"/>
          </w:tblCellMar>
        </w:tblPrEx>
        <w:trPr>
          <w:trHeight w:val="500" w:hRule="atLeast"/>
        </w:trPr>
        <w:tc>
          <w:tcPr>
            <w:tcW w:w="149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资金享受覆盖率（%）</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500" w:hRule="atLeast"/>
        </w:trPr>
        <w:tc>
          <w:tcPr>
            <w:tcW w:w="149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资金发放及时率（%）</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500" w:hRule="atLeast"/>
        </w:trPr>
        <w:tc>
          <w:tcPr>
            <w:tcW w:w="149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户均享受补贴（万元/户）</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3.68</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3.68</w:t>
            </w:r>
          </w:p>
        </w:tc>
      </w:tr>
    </w:tbl>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highlight w:val="none"/>
          <w:lang w:eastAsia="zh-CN" w:bidi="ar"/>
        </w:rPr>
      </w:pPr>
    </w:p>
    <w:p>
      <w:pPr>
        <w:pStyle w:val="18"/>
        <w:pageBreakBefore w:val="0"/>
        <w:widowControl w:val="0"/>
        <w:numPr>
          <w:ilvl w:val="0"/>
          <w:numId w:val="7"/>
        </w:numPr>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项目效益情况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Cs/>
          <w:sz w:val="32"/>
          <w:szCs w:val="32"/>
          <w:highlight w:val="none"/>
          <w:lang w:eastAsia="zh-CN" w:bidi="ar"/>
        </w:rPr>
      </w:pPr>
      <w:r>
        <w:rPr>
          <w:rFonts w:hint="eastAsia" w:ascii="仿宋_GB2312" w:hAnsi="仿宋" w:eastAsia="仿宋_GB2312" w:cs="宋体"/>
          <w:bCs/>
          <w:sz w:val="32"/>
          <w:szCs w:val="32"/>
          <w:highlight w:val="none"/>
          <w:lang w:eastAsia="zh-CN" w:bidi="ar"/>
        </w:rPr>
        <w:t>本项目以帮助全乡贫困户等建房困难家庭给予经济保障，采取就地取材、就近重建返修的方式进行改造，平均增加受益户生活补贴</w:t>
      </w:r>
      <w:r>
        <w:rPr>
          <w:rFonts w:hint="eastAsia" w:ascii="仿宋_GB2312" w:hAnsi="仿宋" w:eastAsia="仿宋_GB2312" w:cs="宋体"/>
          <w:bCs/>
          <w:sz w:val="32"/>
          <w:szCs w:val="32"/>
          <w:highlight w:val="none"/>
          <w:lang w:val="en-US" w:eastAsia="zh-CN" w:bidi="ar"/>
        </w:rPr>
        <w:t>3.68万元/户，明显改善了其生活条件，有效提升了</w:t>
      </w:r>
      <w:r>
        <w:rPr>
          <w:rFonts w:hint="eastAsia" w:ascii="仿宋_GB2312" w:hAnsi="仿宋" w:eastAsia="仿宋_GB2312" w:cs="宋体"/>
          <w:bCs/>
          <w:sz w:val="32"/>
          <w:szCs w:val="32"/>
          <w:highlight w:val="none"/>
          <w:lang w:eastAsia="zh-CN" w:bidi="ar"/>
        </w:rPr>
        <w:t>建房户获得感与幸福感，同时完善了我乡住房保障体系，提升了住房保障服务体系建设能力，有效解决建房困难户经济困难。</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Cs/>
          <w:sz w:val="32"/>
          <w:szCs w:val="32"/>
          <w:highlight w:val="none"/>
          <w:lang w:eastAsia="zh-CN" w:bidi="ar"/>
        </w:rPr>
      </w:pPr>
      <w:r>
        <w:rPr>
          <w:rFonts w:hint="eastAsia" w:ascii="仿宋_GB2312" w:hAnsi="仿宋" w:eastAsia="仿宋_GB2312" w:cs="宋体"/>
          <w:bCs/>
          <w:sz w:val="32"/>
          <w:szCs w:val="32"/>
          <w:highlight w:val="none"/>
          <w:lang w:bidi="ar"/>
        </w:rPr>
        <w:t>经问卷调查，项目</w:t>
      </w:r>
      <w:r>
        <w:rPr>
          <w:rFonts w:hint="eastAsia" w:ascii="仿宋_GB2312" w:hAnsi="仿宋" w:eastAsia="仿宋_GB2312" w:cs="宋体"/>
          <w:bCs/>
          <w:sz w:val="32"/>
          <w:szCs w:val="32"/>
          <w:highlight w:val="none"/>
          <w:lang w:val="en-US" w:eastAsia="zh-CN" w:bidi="ar"/>
        </w:rPr>
        <w:t>受</w:t>
      </w:r>
      <w:r>
        <w:rPr>
          <w:rFonts w:hint="eastAsia" w:ascii="仿宋_GB2312" w:hAnsi="仿宋" w:eastAsia="仿宋_GB2312" w:cs="宋体"/>
          <w:bCs/>
          <w:sz w:val="32"/>
          <w:szCs w:val="32"/>
          <w:highlight w:val="none"/>
          <w:lang w:bidi="ar"/>
        </w:rPr>
        <w:t>益群众满意度为</w:t>
      </w:r>
      <w:r>
        <w:rPr>
          <w:rFonts w:hint="eastAsia" w:ascii="仿宋_GB2312" w:hAnsi="仿宋" w:eastAsia="仿宋_GB2312" w:cs="宋体"/>
          <w:bCs/>
          <w:sz w:val="32"/>
          <w:szCs w:val="32"/>
          <w:highlight w:val="none"/>
          <w:lang w:val="en-US" w:eastAsia="zh-CN" w:bidi="ar"/>
        </w:rPr>
        <w:t>95%</w:t>
      </w:r>
      <w:r>
        <w:rPr>
          <w:rFonts w:hint="eastAsia" w:ascii="仿宋_GB2312" w:hAnsi="仿宋" w:eastAsia="仿宋_GB2312" w:cs="宋体"/>
          <w:bCs/>
          <w:sz w:val="32"/>
          <w:szCs w:val="32"/>
          <w:highlight w:val="none"/>
          <w:lang w:eastAsia="zh-CN" w:bidi="ar"/>
        </w:rPr>
        <w:t>，</w:t>
      </w:r>
      <w:r>
        <w:rPr>
          <w:rFonts w:hint="eastAsia" w:ascii="仿宋_GB2312" w:hAnsi="仿宋" w:eastAsia="仿宋_GB2312" w:cs="宋体"/>
          <w:bCs/>
          <w:sz w:val="32"/>
          <w:szCs w:val="32"/>
          <w:highlight w:val="none"/>
          <w:lang w:bidi="ar"/>
        </w:rPr>
        <w:t>部分达到预期目标。</w:t>
      </w:r>
      <w:r>
        <w:rPr>
          <w:rFonts w:hint="eastAsia" w:ascii="仿宋_GB2312" w:hAnsi="仿宋" w:eastAsia="仿宋_GB2312" w:cs="宋体"/>
          <w:bCs/>
          <w:sz w:val="32"/>
          <w:szCs w:val="32"/>
          <w:highlight w:val="none"/>
          <w:lang w:eastAsia="zh-CN" w:bidi="ar"/>
        </w:rPr>
        <w:t>主要</w:t>
      </w:r>
      <w:r>
        <w:rPr>
          <w:rFonts w:hint="eastAsia" w:ascii="仿宋_GB2312" w:hAnsi="仿宋" w:eastAsia="仿宋_GB2312" w:cs="宋体"/>
          <w:bCs/>
          <w:sz w:val="32"/>
          <w:szCs w:val="32"/>
          <w:highlight w:val="none"/>
          <w:lang w:bidi="ar"/>
        </w:rPr>
        <w:t>原因</w:t>
      </w:r>
      <w:r>
        <w:rPr>
          <w:rFonts w:hint="eastAsia" w:ascii="仿宋_GB2312" w:hAnsi="仿宋" w:eastAsia="仿宋_GB2312" w:cs="宋体"/>
          <w:bCs/>
          <w:sz w:val="32"/>
          <w:szCs w:val="32"/>
          <w:highlight w:val="none"/>
          <w:lang w:eastAsia="zh-CN" w:bidi="ar"/>
        </w:rPr>
        <w:t>是</w:t>
      </w:r>
      <w:r>
        <w:rPr>
          <w:rFonts w:hint="eastAsia" w:ascii="仿宋_GB2312" w:hAnsi="仿宋" w:eastAsia="仿宋_GB2312" w:cs="宋体"/>
          <w:bCs/>
          <w:sz w:val="32"/>
          <w:szCs w:val="32"/>
          <w:highlight w:val="none"/>
          <w:lang w:bidi="ar"/>
        </w:rPr>
        <w:t>项目完成时间较短，目标完成情况未完全体现</w:t>
      </w:r>
      <w:r>
        <w:rPr>
          <w:rFonts w:hint="eastAsia" w:ascii="仿宋_GB2312" w:hAnsi="仿宋" w:eastAsia="仿宋_GB2312" w:cs="宋体"/>
          <w:bCs/>
          <w:sz w:val="32"/>
          <w:szCs w:val="32"/>
          <w:highlight w:val="none"/>
          <w:lang w:eastAsia="zh-CN" w:bidi="ar"/>
        </w:rPr>
        <w:t>，下一步，我乡会持续</w:t>
      </w:r>
      <w:r>
        <w:rPr>
          <w:rFonts w:hint="eastAsia" w:ascii="仿宋_GB2312" w:hAnsi="仿宋" w:eastAsia="仿宋_GB2312" w:cs="宋体"/>
          <w:bCs/>
          <w:sz w:val="32"/>
          <w:szCs w:val="32"/>
          <w:highlight w:val="none"/>
          <w:lang w:bidi="ar"/>
        </w:rPr>
        <w:t>加强项目保障对象关心爱护，确保目标完成情况完全体现</w:t>
      </w:r>
      <w:r>
        <w:rPr>
          <w:rFonts w:hint="eastAsia" w:ascii="仿宋_GB2312" w:hAnsi="仿宋" w:eastAsia="仿宋_GB2312" w:cs="宋体"/>
          <w:bCs/>
          <w:sz w:val="32"/>
          <w:szCs w:val="32"/>
          <w:highlight w:val="none"/>
          <w:lang w:eastAsia="zh-CN" w:bidi="ar"/>
        </w:rPr>
        <w:t>。</w:t>
      </w:r>
    </w:p>
    <w:tbl>
      <w:tblPr>
        <w:tblStyle w:val="13"/>
        <w:tblW w:w="8342" w:type="dxa"/>
        <w:tblInd w:w="0" w:type="dxa"/>
        <w:shd w:val="clear" w:color="auto" w:fill="auto"/>
        <w:tblLayout w:type="fixed"/>
        <w:tblCellMar>
          <w:top w:w="0" w:type="dxa"/>
          <w:left w:w="0" w:type="dxa"/>
          <w:bottom w:w="0" w:type="dxa"/>
          <w:right w:w="0" w:type="dxa"/>
        </w:tblCellMar>
      </w:tblPr>
      <w:tblGrid>
        <w:gridCol w:w="1499"/>
        <w:gridCol w:w="1276"/>
        <w:gridCol w:w="2832"/>
        <w:gridCol w:w="1694"/>
        <w:gridCol w:w="1041"/>
      </w:tblGrid>
      <w:tr>
        <w:tblPrEx>
          <w:shd w:val="clear" w:color="auto" w:fill="auto"/>
          <w:tblLayout w:type="fixed"/>
          <w:tblCellMar>
            <w:top w:w="0" w:type="dxa"/>
            <w:left w:w="0" w:type="dxa"/>
            <w:bottom w:w="0" w:type="dxa"/>
            <w:right w:w="0" w:type="dxa"/>
          </w:tblCellMar>
        </w:tblPrEx>
        <w:trPr>
          <w:trHeight w:val="500" w:hRule="atLeast"/>
        </w:trPr>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27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三级指标</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年度指标值</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实际完成值</w:t>
            </w:r>
          </w:p>
        </w:tc>
      </w:tr>
      <w:tr>
        <w:tblPrEx>
          <w:tblLayout w:type="fixed"/>
          <w:tblCellMar>
            <w:top w:w="0" w:type="dxa"/>
            <w:left w:w="0" w:type="dxa"/>
            <w:bottom w:w="0" w:type="dxa"/>
            <w:right w:w="0" w:type="dxa"/>
          </w:tblCellMar>
        </w:tblPrEx>
        <w:trPr>
          <w:trHeight w:val="500" w:hRule="atLeast"/>
        </w:trPr>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27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增加生活补贴（万元/户）</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3.68</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3.68</w:t>
            </w:r>
          </w:p>
        </w:tc>
      </w:tr>
      <w:tr>
        <w:tblPrEx>
          <w:tblLayout w:type="fixed"/>
          <w:tblCellMar>
            <w:top w:w="0" w:type="dxa"/>
            <w:left w:w="0" w:type="dxa"/>
            <w:bottom w:w="0" w:type="dxa"/>
            <w:right w:w="0" w:type="dxa"/>
          </w:tblCellMar>
        </w:tblPrEx>
        <w:trPr>
          <w:trHeight w:val="1080" w:hRule="atLeast"/>
        </w:trPr>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提升幸福感（%）</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w:t>
            </w:r>
          </w:p>
        </w:tc>
      </w:tr>
      <w:tr>
        <w:tblPrEx>
          <w:tblLayout w:type="fixed"/>
          <w:tblCellMar>
            <w:top w:w="0" w:type="dxa"/>
            <w:left w:w="0" w:type="dxa"/>
            <w:bottom w:w="0" w:type="dxa"/>
            <w:right w:w="0" w:type="dxa"/>
          </w:tblCellMar>
        </w:tblPrEx>
        <w:trPr>
          <w:trHeight w:val="500" w:hRule="atLeast"/>
        </w:trPr>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left"/>
              <w:rPr>
                <w:rFonts w:hint="eastAsia" w:ascii="宋体" w:hAnsi="宋体" w:eastAsia="宋体" w:cs="宋体"/>
                <w:i w:val="0"/>
                <w:color w:val="000000"/>
                <w:sz w:val="18"/>
                <w:szCs w:val="18"/>
                <w:u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500" w:hRule="atLeast"/>
        </w:trPr>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改善生活条件（年）</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Layout w:type="fixed"/>
          <w:tblCellMar>
            <w:top w:w="0" w:type="dxa"/>
            <w:left w:w="0" w:type="dxa"/>
            <w:bottom w:w="0" w:type="dxa"/>
            <w:right w:w="0" w:type="dxa"/>
          </w:tblCellMar>
        </w:tblPrEx>
        <w:trPr>
          <w:trHeight w:val="500" w:hRule="atLeast"/>
        </w:trPr>
        <w:tc>
          <w:tcPr>
            <w:tcW w:w="149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群众满意度（%）</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bookmarkStart w:id="8" w:name="_GoBack"/>
            <w:bookmarkEnd w:id="8"/>
            <w:r>
              <w:rPr>
                <w:rFonts w:hint="eastAsia" w:ascii="宋体" w:hAnsi="宋体" w:eastAsia="宋体" w:cs="宋体"/>
                <w:i w:val="0"/>
                <w:color w:val="000000"/>
                <w:kern w:val="0"/>
                <w:sz w:val="18"/>
                <w:szCs w:val="18"/>
                <w:u w:val="none"/>
                <w:lang w:val="en-US" w:eastAsia="zh-CN" w:bidi="ar"/>
              </w:rPr>
              <w:t>95%</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bl>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Cs/>
          <w:sz w:val="32"/>
          <w:szCs w:val="32"/>
          <w:highlight w:val="none"/>
          <w:lang w:eastAsia="zh-CN" w:bidi="ar"/>
        </w:rPr>
      </w:pPr>
    </w:p>
    <w:p>
      <w:pPr>
        <w:pStyle w:val="22"/>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rPr>
          <w:lang w:bidi="ar"/>
        </w:rPr>
      </w:pPr>
      <w:r>
        <w:rPr>
          <w:rFonts w:hint="eastAsia" w:ascii="黑体" w:hAnsi="黑体"/>
        </w:rPr>
        <w:t>主要经验及做法、存在的问题及原因分析</w:t>
      </w:r>
    </w:p>
    <w:p>
      <w:pPr>
        <w:pStyle w:val="24"/>
        <w:keepNext w:val="0"/>
        <w:keepLines w:val="0"/>
        <w:pageBreakBefore w:val="0"/>
        <w:widowControl w:val="0"/>
        <w:numPr>
          <w:ilvl w:val="0"/>
          <w:numId w:val="8"/>
        </w:numPr>
        <w:kinsoku/>
        <w:wordWrap/>
        <w:overflowPunct/>
        <w:topLinePunct w:val="0"/>
        <w:autoSpaceDE/>
        <w:autoSpaceDN/>
        <w:bidi w:val="0"/>
        <w:adjustRightInd/>
        <w:snapToGrid/>
        <w:spacing w:before="0" w:after="0" w:line="560" w:lineRule="exact"/>
        <w:ind w:left="0" w:firstLine="643" w:firstLineChars="200"/>
        <w:textAlignment w:val="auto"/>
        <w:rPr>
          <w:lang w:bidi="ar"/>
        </w:rPr>
      </w:pPr>
      <w:r>
        <w:rPr>
          <w:rFonts w:hint="eastAsia"/>
          <w:lang w:bidi="ar"/>
        </w:rPr>
        <w:t>主要经验及做法</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rPr>
          <w:b w:val="0"/>
          <w:lang w:bidi="ar"/>
        </w:rPr>
      </w:pPr>
      <w:r>
        <w:rPr>
          <w:rFonts w:hint="eastAsia"/>
          <w:b w:val="0"/>
          <w:lang w:eastAsia="zh-CN" w:bidi="ar"/>
        </w:rPr>
        <w:t>本项目根据中央住房城乡建设部办公厅关于做好农村危房改造助力脱贫攻坚相关工作的通知，按照自治区新财建【2019】69号、喀地财建【2019】44号文件精神，以“三最两就”原则，制定《江格勒斯乡农村危房改造项目资金管理制度》，</w:t>
      </w:r>
      <w:r>
        <w:rPr>
          <w:rFonts w:hint="eastAsia"/>
          <w:b w:val="0"/>
          <w:lang w:bidi="ar"/>
        </w:rPr>
        <w:t>完善我乡住房保障体系，提升住房保障服务体系建设能力，解决建房困难户经济困难</w:t>
      </w:r>
      <w:r>
        <w:rPr>
          <w:rFonts w:hint="eastAsia"/>
          <w:b w:val="0"/>
          <w:lang w:eastAsia="zh-CN" w:bidi="ar"/>
        </w:rPr>
        <w:t>为目标，严格落实农村危房改造范围及审批手续，按照个人申请、村级评议、乡级审核、县级批准、地区备案的审批流程，及《会计法》、《预算法》、财政国库集中支付制度执行，</w:t>
      </w:r>
      <w:r>
        <w:rPr>
          <w:rFonts w:hint="eastAsia"/>
          <w:b w:val="0"/>
          <w:lang w:bidi="ar"/>
        </w:rPr>
        <w:t>跟踪考核机制完善且运行有效，平均增加</w:t>
      </w:r>
      <w:r>
        <w:rPr>
          <w:rFonts w:hint="eastAsia"/>
          <w:b w:val="0"/>
          <w:lang w:val="en-US" w:eastAsia="zh-CN" w:bidi="ar"/>
        </w:rPr>
        <w:t>2019年</w:t>
      </w:r>
      <w:r>
        <w:rPr>
          <w:rFonts w:hint="eastAsia"/>
          <w:b w:val="0"/>
          <w:lang w:bidi="ar"/>
        </w:rPr>
        <w:t>受益户生活补贴3.68万元/户，明显改善了其生活条件，有效提升了建房户获得感与幸福感</w:t>
      </w:r>
      <w:r>
        <w:rPr>
          <w:rFonts w:hint="eastAsia"/>
          <w:b w:val="0"/>
          <w:lang w:eastAsia="zh-CN" w:bidi="ar"/>
        </w:rPr>
        <w:t>。</w:t>
      </w:r>
    </w:p>
    <w:p>
      <w:pPr>
        <w:pStyle w:val="24"/>
        <w:pageBreakBefore w:val="0"/>
        <w:widowControl w:val="0"/>
        <w:numPr>
          <w:ilvl w:val="0"/>
          <w:numId w:val="8"/>
        </w:numPr>
        <w:kinsoku/>
        <w:wordWrap/>
        <w:overflowPunct/>
        <w:topLinePunct w:val="0"/>
        <w:autoSpaceDE/>
        <w:autoSpaceDN/>
        <w:bidi w:val="0"/>
        <w:adjustRightInd/>
        <w:snapToGrid/>
        <w:spacing w:before="0" w:line="560" w:lineRule="exact"/>
        <w:ind w:left="0" w:firstLine="643" w:firstLineChars="200"/>
        <w:textAlignment w:val="auto"/>
        <w:rPr>
          <w:lang w:bidi="ar"/>
        </w:rPr>
      </w:pPr>
      <w:r>
        <w:rPr>
          <w:rFonts w:hint="eastAsia"/>
          <w:lang w:bidi="ar"/>
        </w:rPr>
        <w:t>存在的问题及原因分析</w:t>
      </w:r>
    </w:p>
    <w:p>
      <w:pPr>
        <w:pStyle w:val="24"/>
        <w:pageBreakBefore w:val="0"/>
        <w:widowControl w:val="0"/>
        <w:numPr>
          <w:ilvl w:val="0"/>
          <w:numId w:val="0"/>
        </w:numPr>
        <w:kinsoku/>
        <w:wordWrap/>
        <w:overflowPunct/>
        <w:topLinePunct w:val="0"/>
        <w:autoSpaceDE/>
        <w:autoSpaceDN/>
        <w:bidi w:val="0"/>
        <w:adjustRightInd/>
        <w:snapToGrid/>
        <w:spacing w:before="0" w:line="560" w:lineRule="exact"/>
        <w:ind w:left="0" w:firstLine="640" w:firstLineChars="200"/>
        <w:textAlignment w:val="auto"/>
        <w:rPr>
          <w:rFonts w:hint="eastAsia"/>
          <w:b w:val="0"/>
          <w:lang w:bidi="ar"/>
        </w:rPr>
      </w:pPr>
      <w:r>
        <w:rPr>
          <w:rFonts w:hint="eastAsia"/>
          <w:b w:val="0"/>
          <w:lang w:bidi="ar"/>
        </w:rPr>
        <w:t xml:space="preserve"> 1、因项目前期确定资金使用范围内人员身份识别不精准等原因，导致项目资金支付滞缓，影响了项目实施的进度，造成了部分资金未及时充分发挥效益；</w:t>
      </w:r>
    </w:p>
    <w:p>
      <w:pPr>
        <w:pStyle w:val="24"/>
        <w:pageBreakBefore w:val="0"/>
        <w:widowControl w:val="0"/>
        <w:numPr>
          <w:ilvl w:val="0"/>
          <w:numId w:val="0"/>
        </w:numPr>
        <w:kinsoku/>
        <w:wordWrap/>
        <w:overflowPunct/>
        <w:topLinePunct w:val="0"/>
        <w:autoSpaceDE/>
        <w:autoSpaceDN/>
        <w:bidi w:val="0"/>
        <w:adjustRightInd/>
        <w:snapToGrid/>
        <w:spacing w:before="0" w:line="560" w:lineRule="exact"/>
        <w:ind w:left="0" w:firstLine="640" w:firstLineChars="200"/>
        <w:textAlignment w:val="auto"/>
        <w:rPr>
          <w:b w:val="0"/>
          <w:lang w:bidi="ar"/>
        </w:rPr>
      </w:pPr>
      <w:r>
        <w:rPr>
          <w:rFonts w:hint="eastAsia"/>
          <w:b w:val="0"/>
          <w:lang w:val="en-US" w:eastAsia="zh-CN" w:bidi="ar"/>
        </w:rPr>
        <w:t>2</w:t>
      </w:r>
      <w:r>
        <w:rPr>
          <w:rFonts w:hint="eastAsia"/>
          <w:b w:val="0"/>
          <w:lang w:bidi="ar"/>
        </w:rPr>
        <w:t>、对项目实施过程中遇到的实际问题准备不充分，导致项目招投标、采购、验收等工作存在不连贯、不熟练的现象，需加强相关人员的业务及操作能力培训。</w:t>
      </w:r>
    </w:p>
    <w:p>
      <w:pPr>
        <w:pStyle w:val="22"/>
        <w:pageBreakBefore w:val="0"/>
        <w:widowControl w:val="0"/>
        <w:numPr>
          <w:ilvl w:val="0"/>
          <w:numId w:val="2"/>
        </w:numPr>
        <w:kinsoku/>
        <w:wordWrap/>
        <w:overflowPunct/>
        <w:topLinePunct w:val="0"/>
        <w:autoSpaceDE/>
        <w:autoSpaceDN/>
        <w:bidi w:val="0"/>
        <w:adjustRightInd/>
        <w:snapToGrid/>
        <w:spacing w:before="0" w:line="560" w:lineRule="exact"/>
        <w:ind w:left="0" w:firstLine="643" w:firstLineChars="200"/>
        <w:textAlignment w:val="auto"/>
        <w:rPr>
          <w:rFonts w:ascii="黑体" w:hAnsi="黑体"/>
        </w:rPr>
      </w:pPr>
      <w:r>
        <w:rPr>
          <w:rFonts w:hint="eastAsia" w:ascii="黑体" w:hAnsi="黑体"/>
        </w:rPr>
        <w:t>有关建议</w:t>
      </w:r>
    </w:p>
    <w:p>
      <w:pPr>
        <w:pStyle w:val="22"/>
        <w:pageBreakBefore w:val="0"/>
        <w:widowControl w:val="0"/>
        <w:kinsoku/>
        <w:wordWrap/>
        <w:overflowPunct/>
        <w:topLinePunct w:val="0"/>
        <w:autoSpaceDE/>
        <w:autoSpaceDN/>
        <w:bidi w:val="0"/>
        <w:adjustRightInd/>
        <w:snapToGrid/>
        <w:spacing w:before="0" w:line="560" w:lineRule="exact"/>
        <w:ind w:left="0" w:leftChars="0" w:firstLine="640" w:firstLineChars="200"/>
        <w:textAlignment w:val="auto"/>
        <w:rPr>
          <w:rFonts w:hint="eastAsia" w:ascii="仿宋_GB2312" w:hAnsi="仿宋_GB2312" w:eastAsia="仿宋_GB2312" w:cs="仿宋_GB2312"/>
          <w:b w:val="0"/>
          <w:lang w:eastAsia="zh-CN"/>
        </w:rPr>
      </w:pPr>
      <w:r>
        <w:rPr>
          <w:rFonts w:hint="eastAsia" w:ascii="仿宋_GB2312" w:hAnsi="仿宋_GB2312" w:eastAsia="仿宋_GB2312" w:cs="仿宋_GB2312"/>
          <w:b w:val="0"/>
          <w:lang w:val="en-US" w:eastAsia="zh-CN"/>
        </w:rPr>
        <w:t>1</w:t>
      </w:r>
      <w:r>
        <w:rPr>
          <w:rFonts w:hint="eastAsia" w:ascii="仿宋_GB2312" w:hAnsi="仿宋_GB2312" w:eastAsia="仿宋_GB2312" w:cs="仿宋_GB2312"/>
          <w:b w:val="0"/>
          <w:lang w:eastAsia="zh-CN"/>
        </w:rPr>
        <w:t>、持续加强财务管理，加快资金支付力度。在支付报账是，严格按照预算规定的项目范围、用途及使用规则审核支付，坚决杜绝超支现象的发生。</w:t>
      </w:r>
    </w:p>
    <w:p>
      <w:pPr>
        <w:pStyle w:val="22"/>
        <w:pageBreakBefore w:val="0"/>
        <w:widowControl w:val="0"/>
        <w:kinsoku/>
        <w:wordWrap/>
        <w:overflowPunct/>
        <w:topLinePunct w:val="0"/>
        <w:autoSpaceDE/>
        <w:autoSpaceDN/>
        <w:bidi w:val="0"/>
        <w:adjustRightInd/>
        <w:snapToGrid/>
        <w:spacing w:before="0" w:line="560" w:lineRule="exact"/>
        <w:ind w:left="0" w:leftChars="0" w:firstLine="640" w:firstLineChars="200"/>
        <w:textAlignment w:val="auto"/>
        <w:rPr>
          <w:rFonts w:hint="eastAsia" w:ascii="仿宋_GB2312" w:hAnsi="仿宋_GB2312" w:eastAsia="仿宋_GB2312" w:cs="仿宋_GB2312"/>
          <w:b w:val="0"/>
          <w:lang w:eastAsia="zh-CN"/>
        </w:rPr>
      </w:pPr>
      <w:r>
        <w:rPr>
          <w:rFonts w:hint="eastAsia" w:ascii="仿宋_GB2312" w:hAnsi="仿宋_GB2312" w:eastAsia="仿宋_GB2312" w:cs="仿宋_GB2312"/>
          <w:b w:val="0"/>
          <w:lang w:val="en-US" w:eastAsia="zh-CN"/>
        </w:rPr>
        <w:t>2</w:t>
      </w:r>
      <w:r>
        <w:rPr>
          <w:rFonts w:hint="eastAsia" w:ascii="仿宋_GB2312" w:hAnsi="仿宋_GB2312" w:eastAsia="仿宋_GB2312" w:cs="仿宋_GB2312"/>
          <w:b w:val="0"/>
          <w:lang w:eastAsia="zh-CN"/>
        </w:rPr>
        <w:t>、持续加强项目开展情况的跟踪监控，严格按照项目进度及时拨付资金，使资金使用效益最大化，减少不必要的浪费，节约成本。</w:t>
      </w:r>
    </w:p>
    <w:p>
      <w:pPr>
        <w:pStyle w:val="22"/>
        <w:pageBreakBefore w:val="0"/>
        <w:widowControl w:val="0"/>
        <w:numPr>
          <w:ilvl w:val="0"/>
          <w:numId w:val="2"/>
        </w:numPr>
        <w:kinsoku/>
        <w:wordWrap/>
        <w:overflowPunct/>
        <w:topLinePunct w:val="0"/>
        <w:autoSpaceDE/>
        <w:autoSpaceDN/>
        <w:bidi w:val="0"/>
        <w:adjustRightInd/>
        <w:snapToGrid/>
        <w:spacing w:before="0" w:line="560" w:lineRule="exact"/>
        <w:ind w:left="0" w:firstLine="643" w:firstLineChars="200"/>
        <w:textAlignment w:val="auto"/>
        <w:rPr>
          <w:rFonts w:ascii="黑体" w:hAnsi="黑体"/>
        </w:rPr>
      </w:pPr>
      <w:r>
        <w:rPr>
          <w:rFonts w:hint="eastAsia" w:ascii="黑体" w:hAnsi="黑体"/>
        </w:rPr>
        <w:t>其他需要说明的问题</w:t>
      </w:r>
    </w:p>
    <w:p>
      <w:pPr>
        <w:pStyle w:val="22"/>
        <w:pageBreakBefore w:val="0"/>
        <w:widowControl w:val="0"/>
        <w:kinsoku/>
        <w:wordWrap/>
        <w:overflowPunct/>
        <w:topLinePunct w:val="0"/>
        <w:autoSpaceDE/>
        <w:autoSpaceDN/>
        <w:bidi w:val="0"/>
        <w:adjustRightInd/>
        <w:snapToGrid/>
        <w:spacing w:before="0" w:line="560" w:lineRule="exact"/>
        <w:ind w:left="0" w:leftChars="0" w:firstLine="640" w:firstLineChars="200"/>
        <w:textAlignment w:val="auto"/>
        <w:rPr>
          <w:rFonts w:hint="default" w:ascii="仿宋_GB2312" w:hAnsi="仿宋_GB2312" w:eastAsia="仿宋_GB2312" w:cs="仿宋_GB2312"/>
          <w:b w:val="0"/>
          <w:lang w:val="en-US" w:eastAsia="zh-CN"/>
        </w:rPr>
      </w:pPr>
      <w:r>
        <w:rPr>
          <w:rFonts w:hint="eastAsia" w:ascii="仿宋_GB2312" w:hAnsi="仿宋_GB2312" w:eastAsia="仿宋_GB2312" w:cs="仿宋_GB2312"/>
          <w:b w:val="0"/>
          <w:lang w:eastAsia="zh-CN"/>
        </w:rPr>
        <w:t>无</w:t>
      </w:r>
      <w:r>
        <w:rPr>
          <w:rFonts w:hint="eastAsia" w:ascii="仿宋_GB2312" w:hAnsi="仿宋_GB2312" w:eastAsia="仿宋_GB2312" w:cs="仿宋_GB2312"/>
          <w:b w:val="0"/>
          <w:lang w:val="en-US" w:eastAsia="zh-CN"/>
        </w:rPr>
        <w:t>其他需要说明问题。</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lang w:bidi="ar"/>
        </w:rPr>
      </w:pP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附件1：喀什地区</w:t>
      </w:r>
      <w:r>
        <w:rPr>
          <w:rFonts w:hint="eastAsia" w:ascii="仿宋_GB2312" w:hAnsi="仿宋" w:eastAsia="仿宋_GB2312" w:cs="宋体"/>
          <w:sz w:val="32"/>
          <w:szCs w:val="32"/>
          <w:lang w:eastAsia="zh-CN" w:bidi="ar"/>
        </w:rPr>
        <w:t>江格勒斯乡人民政府农村危房改造</w:t>
      </w:r>
      <w:r>
        <w:rPr>
          <w:rFonts w:hint="eastAsia" w:ascii="仿宋_GB2312" w:hAnsi="仿宋" w:eastAsia="仿宋_GB2312" w:cs="宋体"/>
          <w:sz w:val="32"/>
          <w:szCs w:val="32"/>
          <w:lang w:bidi="ar"/>
        </w:rPr>
        <w:t>项目支出绩效目标申报表</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江格勒斯乡人民政府农村危房改造</w:t>
      </w:r>
      <w:r>
        <w:rPr>
          <w:rFonts w:hint="eastAsia" w:ascii="仿宋_GB2312" w:hAnsi="仿宋" w:eastAsia="仿宋_GB2312" w:cs="宋体"/>
          <w:sz w:val="32"/>
          <w:szCs w:val="32"/>
          <w:lang w:bidi="ar"/>
        </w:rPr>
        <w:t>项目支出绩效自评表</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3</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江格勒斯乡人民政府农村危房改造</w:t>
      </w:r>
      <w:r>
        <w:rPr>
          <w:rFonts w:hint="eastAsia" w:ascii="仿宋_GB2312" w:hAnsi="仿宋" w:eastAsia="仿宋_GB2312" w:cs="宋体"/>
          <w:sz w:val="32"/>
          <w:szCs w:val="32"/>
          <w:lang w:bidi="ar"/>
        </w:rPr>
        <w:t>项目支出绩效评价指标体系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932666"/>
    <w:multiLevelType w:val="singleLevel"/>
    <w:tmpl w:val="CB932666"/>
    <w:lvl w:ilvl="0" w:tentative="0">
      <w:start w:val="1"/>
      <w:numFmt w:val="decimal"/>
      <w:lvlText w:val="%1."/>
      <w:lvlJc w:val="left"/>
      <w:pPr>
        <w:tabs>
          <w:tab w:val="left" w:pos="312"/>
        </w:tabs>
      </w:pPr>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6"/>
  </w:num>
  <w:num w:numId="3">
    <w:abstractNumId w:val="4"/>
  </w:num>
  <w:num w:numId="4">
    <w:abstractNumId w:val="3"/>
  </w:num>
  <w:num w:numId="5">
    <w:abstractNumId w:val="0"/>
  </w:num>
  <w:num w:numId="6">
    <w:abstractNumId w:val="1"/>
  </w:num>
  <w:num w:numId="7">
    <w:abstractNumId w:val="5"/>
  </w:num>
  <w:num w:numId="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4E34DD4"/>
    <w:rsid w:val="07AE4845"/>
    <w:rsid w:val="087E78C9"/>
    <w:rsid w:val="096A2DC2"/>
    <w:rsid w:val="13F51EDE"/>
    <w:rsid w:val="156336EE"/>
    <w:rsid w:val="19A555B8"/>
    <w:rsid w:val="1E7A73CB"/>
    <w:rsid w:val="217F35A7"/>
    <w:rsid w:val="24E73B1F"/>
    <w:rsid w:val="268E759D"/>
    <w:rsid w:val="26F03C06"/>
    <w:rsid w:val="2A547683"/>
    <w:rsid w:val="2ACA7915"/>
    <w:rsid w:val="306A4501"/>
    <w:rsid w:val="31C366C0"/>
    <w:rsid w:val="33CA34B6"/>
    <w:rsid w:val="340D08B0"/>
    <w:rsid w:val="37C95EEB"/>
    <w:rsid w:val="3A8E79C8"/>
    <w:rsid w:val="3BC01B4C"/>
    <w:rsid w:val="3D216466"/>
    <w:rsid w:val="41B92FD7"/>
    <w:rsid w:val="46C16BC4"/>
    <w:rsid w:val="49D456CD"/>
    <w:rsid w:val="4FCC5248"/>
    <w:rsid w:val="509F44DE"/>
    <w:rsid w:val="55945462"/>
    <w:rsid w:val="57964064"/>
    <w:rsid w:val="59572B5A"/>
    <w:rsid w:val="5A781A20"/>
    <w:rsid w:val="5B2652A2"/>
    <w:rsid w:val="64DF3A20"/>
    <w:rsid w:val="667765BF"/>
    <w:rsid w:val="68AC0EA3"/>
    <w:rsid w:val="719C0F13"/>
    <w:rsid w:val="77321001"/>
    <w:rsid w:val="7775238E"/>
    <w:rsid w:val="7A8638D9"/>
    <w:rsid w:val="7B936150"/>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1"/>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customStyle="1" w:styleId="17">
    <w:name w:val="标题 1 字符"/>
    <w:basedOn w:val="15"/>
    <w:link w:val="2"/>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字符"/>
    <w:basedOn w:val="15"/>
    <w:link w:val="9"/>
    <w:qFormat/>
    <w:uiPriority w:val="99"/>
    <w:rPr>
      <w:sz w:val="18"/>
      <w:szCs w:val="18"/>
    </w:rPr>
  </w:style>
  <w:style w:type="character" w:customStyle="1" w:styleId="20">
    <w:name w:val="页脚 字符"/>
    <w:basedOn w:val="15"/>
    <w:link w:val="8"/>
    <w:qFormat/>
    <w:uiPriority w:val="99"/>
    <w:rPr>
      <w:sz w:val="18"/>
      <w:szCs w:val="18"/>
    </w:rPr>
  </w:style>
  <w:style w:type="character" w:customStyle="1" w:styleId="21">
    <w:name w:val="批注框文本 字符"/>
    <w:basedOn w:val="15"/>
    <w:link w:val="7"/>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字符"/>
    <w:basedOn w:val="15"/>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字符"/>
    <w:basedOn w:val="15"/>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5"/>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0</TotalTime>
  <ScaleCrop>false</ScaleCrop>
  <LinksUpToDate>false</LinksUpToDate>
  <CharactersWithSpaces>6006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2020-05-31T12:20:04Z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