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r>
        <w:rPr>
          <w:rFonts w:hint="eastAsia" w:ascii="方正小标宋简体" w:eastAsia="方正小标宋简体"/>
          <w:sz w:val="44"/>
          <w:szCs w:val="44"/>
        </w:rPr>
        <w:t>喀什地区叶城县西合休乡人民政府农贸市场项目支出绩效评价报告</w:t>
      </w: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项目名称：农贸市场建设项目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实施单位：叶城县西合休乡人民政府</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评价部门：叶城县西合休乡人民政府</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20" w:beforeLines="50" w:line="0" w:lineRule="atLeast"/>
        <w:jc w:val="left"/>
        <w:rPr>
          <w:sz w:val="28"/>
          <w:szCs w:val="28"/>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pStyle w:val="23"/>
        <w:numPr>
          <w:ilvl w:val="0"/>
          <w:numId w:val="2"/>
        </w:numPr>
        <w:spacing w:before="0" w:after="0" w:line="560" w:lineRule="exact"/>
        <w:ind w:left="0" w:firstLine="643"/>
      </w:pPr>
      <w:r>
        <w:rPr>
          <w:rFonts w:hint="eastAsia"/>
        </w:rPr>
        <w:t>基本情况</w:t>
      </w:r>
    </w:p>
    <w:p>
      <w:pPr>
        <w:pStyle w:val="25"/>
        <w:spacing w:before="0" w:after="0" w:line="560" w:lineRule="exact"/>
        <w:ind w:left="0" w:firstLine="643" w:firstLineChars="200"/>
        <w:rPr>
          <w:lang w:bidi="ar"/>
        </w:rPr>
      </w:pPr>
      <w:r>
        <w:rPr>
          <w:rFonts w:hint="eastAsia"/>
          <w:lang w:bidi="ar"/>
        </w:rPr>
        <w:t>项目概况</w:t>
      </w:r>
    </w:p>
    <w:p>
      <w:pPr>
        <w:numPr>
          <w:ilvl w:val="0"/>
          <w:numId w:val="3"/>
        </w:num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项目背景及立项依据</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随着新时代中国特色社会主义发展进程步伐加快，山区农牧民群众工作生活水平日益提高，随之对物质需求也更为突出，依据西合休乡农村建设规划和发展需求，根据新财扶（2019）19号、喀地财扶（2019）18号、2019年中央财政专项扶贫资金立项，在中心村2村建设一处市场，推动全乡经济社会和谐发展。项目建成后，能够解决当地农牧民群众商品购买和物品交换困难等问题，可以夯实基层根基，突出核心地位，能够更好</w:t>
      </w:r>
      <w:r>
        <w:rPr>
          <w:rFonts w:hint="eastAsia" w:ascii="仿宋_GB2312" w:hAnsi="仿宋" w:eastAsia="仿宋_GB2312" w:cs="宋体"/>
          <w:sz w:val="32"/>
          <w:szCs w:val="32"/>
          <w:lang w:eastAsia="zh-CN" w:bidi="ar"/>
        </w:rPr>
        <w:t>地</w:t>
      </w:r>
      <w:r>
        <w:rPr>
          <w:rFonts w:hint="eastAsia" w:ascii="仿宋_GB2312" w:hAnsi="仿宋" w:eastAsia="仿宋_GB2312" w:cs="宋体"/>
          <w:sz w:val="32"/>
          <w:szCs w:val="32"/>
          <w:lang w:bidi="ar"/>
        </w:rPr>
        <w:t>服务群众，满足当地农牧民群众日常生产生活需求，可带动20户建档立卡贫困户家庭自主择业，改善生产生活条件。</w:t>
      </w:r>
    </w:p>
    <w:p>
      <w:pPr>
        <w:pStyle w:val="19"/>
        <w:spacing w:line="560" w:lineRule="exact"/>
        <w:ind w:firstLine="640"/>
        <w:rPr>
          <w:rFonts w:ascii="仿宋_GB2312" w:hAnsi="仿宋" w:eastAsia="仿宋_GB2312" w:cs="宋体"/>
          <w:sz w:val="32"/>
          <w:szCs w:val="32"/>
          <w:lang w:bidi="ar"/>
        </w:rPr>
      </w:pPr>
      <w:r>
        <w:rPr>
          <w:rFonts w:hint="eastAsia" w:ascii="仿宋_GB2312" w:hAnsi="仿宋" w:eastAsia="仿宋_GB2312" w:cs="宋体"/>
          <w:sz w:val="32"/>
          <w:szCs w:val="32"/>
          <w:lang w:bidi="ar"/>
        </w:rPr>
        <w:t>2.项目主要内容及实施情况</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项目的主要内容为：建设2村农贸市场一座，修建彩钢棚500平米，修建商铺20间、围墙40米、大门1处、修建厕所30平方米。本项目的主管部门为西合休乡人民政府</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实施单位为西合休乡人民政府，主要职责：能够解决当地农牧民群众商品购买和物品交换困难等问题，可以夯实基层根基，突出核心地位，能够更好</w:t>
      </w:r>
      <w:r>
        <w:rPr>
          <w:rFonts w:hint="eastAsia" w:ascii="仿宋_GB2312" w:hAnsi="仿宋" w:eastAsia="仿宋_GB2312" w:cs="宋体"/>
          <w:sz w:val="32"/>
          <w:szCs w:val="32"/>
          <w:lang w:eastAsia="zh-CN" w:bidi="ar"/>
        </w:rPr>
        <w:t>地</w:t>
      </w:r>
      <w:r>
        <w:rPr>
          <w:rFonts w:hint="eastAsia" w:ascii="仿宋_GB2312" w:hAnsi="仿宋" w:eastAsia="仿宋_GB2312" w:cs="宋体"/>
          <w:sz w:val="32"/>
          <w:szCs w:val="32"/>
          <w:lang w:bidi="ar"/>
        </w:rPr>
        <w:t>服务群众，满足当地农牧民群众日常生产生活需求，可带动20户建档立卡贫困户家庭自主择业，改善生产生活条件。</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项目的实施情况：本项目开工时间2019年8月1日，完工时间2019年8月30日，本项目自2019年经【2019】182文件批复，经县扶贫开发领导小组会议研究，委托叶城县西合休乡人民政府实施西合休乡2村市场建设。确定了项目领导小组，明确了责任分工：由中盛弘宇建设科技有限公司完成项目初步设计，项目采用公开招标方式确定施工单位为新疆祥安建设工程有限公司，并签订了项目合同，监理方为巴州智诚工程项目管理服务有限公司喀什分公司，并签订了监理合同，结合我乡实际，制定了《西合休乡农贸市场建设项目资金管理制度》并组织实施，经乡政府、村委会各行业部门进项验收，验收时间2019年12月16日经验收合格后，投入使用，能够解决当地农牧民群众商品购买和物品交换困难等问题，可以夯实基层根基，突出核心地位，能够更好</w:t>
      </w:r>
      <w:r>
        <w:rPr>
          <w:rFonts w:hint="eastAsia" w:ascii="仿宋_GB2312" w:hAnsi="仿宋" w:eastAsia="仿宋_GB2312" w:cs="宋体"/>
          <w:sz w:val="32"/>
          <w:szCs w:val="32"/>
          <w:lang w:eastAsia="zh-CN" w:bidi="ar"/>
        </w:rPr>
        <w:t>地</w:t>
      </w:r>
      <w:r>
        <w:rPr>
          <w:rFonts w:hint="eastAsia" w:ascii="仿宋_GB2312" w:hAnsi="仿宋" w:eastAsia="仿宋_GB2312" w:cs="宋体"/>
          <w:sz w:val="32"/>
          <w:szCs w:val="32"/>
          <w:lang w:bidi="ar"/>
        </w:rPr>
        <w:t>服务群众，满足当地农牧民群众日常生产生活需求，可带动20户建档立卡贫困户家庭自主择业，改善生产生活条件。</w:t>
      </w:r>
    </w:p>
    <w:p>
      <w:pPr>
        <w:spacing w:line="560" w:lineRule="exact"/>
        <w:ind w:firstLine="624" w:firstLineChars="200"/>
        <w:rPr>
          <w:rFonts w:ascii="仿宋_GB2312" w:hAnsi="仿宋_GB2312" w:eastAsia="仿宋_GB2312" w:cs="仿宋_GB2312"/>
          <w:sz w:val="32"/>
          <w:szCs w:val="32"/>
        </w:rPr>
      </w:pPr>
      <w:bookmarkStart w:id="0" w:name="_Toc26401550"/>
      <w:r>
        <w:rPr>
          <w:rFonts w:hint="eastAsia" w:ascii="仿宋_GB2312" w:hAnsi="仿宋_GB2312" w:eastAsia="仿宋_GB2312" w:cs="仿宋_GB2312"/>
          <w:bCs/>
          <w:color w:val="000000" w:themeColor="text1"/>
          <w:spacing w:val="-4"/>
          <w:sz w:val="32"/>
          <w:szCs w:val="32"/>
          <w14:textFill>
            <w14:solidFill>
              <w14:schemeClr w14:val="tx1"/>
            </w14:solidFill>
          </w14:textFill>
        </w:rPr>
        <w:t>叶城县西合休乡属机关行政部门，乡科级行政单位，辖9个行政村；全乡374个村民小组共有农牧民6628人，农户1682户，全乡总耕地面积0.62万亩，农业人均占有耕地0.42万亩、畜牧业和设施农业，属于叶城县以畜牧业为主的山区乡之一。西合休乡人</w:t>
      </w:r>
      <w:r>
        <w:rPr>
          <w:rFonts w:hint="eastAsia" w:ascii="仿宋_GB2312" w:hAnsi="仿宋_GB2312" w:eastAsia="仿宋_GB2312" w:cs="仿宋_GB2312"/>
          <w:bCs/>
          <w:color w:val="000000" w:themeColor="text1"/>
          <w:spacing w:val="-4"/>
          <w:sz w:val="32"/>
          <w:szCs w:val="32"/>
          <w:lang w:eastAsia="zh-CN"/>
          <w14:textFill>
            <w14:solidFill>
              <w14:schemeClr w14:val="tx1"/>
            </w14:solidFill>
          </w14:textFill>
        </w:rPr>
        <w:t>民</w:t>
      </w:r>
      <w:r>
        <w:rPr>
          <w:rFonts w:hint="eastAsia" w:ascii="仿宋_GB2312" w:hAnsi="仿宋_GB2312" w:eastAsia="仿宋_GB2312" w:cs="仿宋_GB2312"/>
          <w:bCs/>
          <w:color w:val="000000" w:themeColor="text1"/>
          <w:spacing w:val="-4"/>
          <w:sz w:val="32"/>
          <w:szCs w:val="32"/>
          <w14:textFill>
            <w14:solidFill>
              <w14:schemeClr w14:val="tx1"/>
            </w14:solidFill>
          </w14:textFill>
        </w:rPr>
        <w:t>政府为乡级 党政机关，编制党委、政府机构，共设有党政办、农村经济办、综治办、党建办五个部门。行政编制40人，政法编制1人，工勤编制2人，事业编制17人，比上年度减少3人，共计编制数为60人，比上年度减少4人。其中：其中政府行政编制40人，行政工勤2人，政法编制1人。参公编制1人，事业编制16人。</w:t>
      </w:r>
    </w:p>
    <w:p>
      <w:pPr>
        <w:spacing w:line="560" w:lineRule="exact"/>
        <w:ind w:firstLine="624" w:firstLineChars="200"/>
        <w:rPr>
          <w:rFonts w:ascii="仿宋_GB2312" w:hAnsi="仿宋" w:eastAsia="仿宋_GB2312" w:cs="宋体"/>
          <w:sz w:val="32"/>
          <w:szCs w:val="32"/>
          <w:lang w:bidi="ar"/>
        </w:rPr>
      </w:pPr>
      <w:r>
        <w:rPr>
          <w:rFonts w:hint="eastAsia" w:ascii="仿宋_GB2312" w:hAnsi="仿宋_GB2312" w:eastAsia="仿宋_GB2312" w:cs="仿宋_GB2312"/>
          <w:bCs/>
          <w:color w:val="000000" w:themeColor="text1"/>
          <w:spacing w:val="-4"/>
          <w:sz w:val="32"/>
          <w:szCs w:val="32"/>
          <w14:textFill>
            <w14:solidFill>
              <w14:schemeClr w14:val="tx1"/>
            </w14:solidFill>
          </w14:textFill>
        </w:rPr>
        <w:t>主要职能：负责全乡经济社会发展、社会事务管理、基层组织建设等全面工作。以全面建设社会主义新农村为根本出发点，不断深化美丽乡、村建设，脱贫攻坚为总目标，不断铸牢全乡经济社会发展基础，为全乡各群众提供社会服务。</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3.项目负责人为苏少文，主要职责为确定2村农贸市场项目</w:t>
      </w:r>
      <w:r>
        <w:rPr>
          <w:rFonts w:ascii="仿宋_GB2312" w:hAnsi="仿宋" w:eastAsia="仿宋_GB2312" w:cs="宋体"/>
          <w:sz w:val="32"/>
          <w:szCs w:val="32"/>
          <w:lang w:bidi="ar"/>
        </w:rPr>
        <w:t>资金管理办法</w:t>
      </w:r>
      <w:r>
        <w:rPr>
          <w:rFonts w:hint="eastAsia" w:ascii="仿宋_GB2312" w:hAnsi="仿宋" w:eastAsia="仿宋_GB2312" w:cs="宋体"/>
          <w:sz w:val="32"/>
          <w:szCs w:val="32"/>
          <w:lang w:bidi="ar"/>
        </w:rPr>
        <w:t>，确保项目资金按照</w:t>
      </w:r>
      <w:r>
        <w:rPr>
          <w:rFonts w:ascii="仿宋_GB2312" w:hAnsi="仿宋" w:eastAsia="仿宋_GB2312" w:cs="宋体"/>
          <w:sz w:val="32"/>
          <w:szCs w:val="32"/>
          <w:lang w:bidi="ar"/>
        </w:rPr>
        <w:t>财政资金管理制度</w:t>
      </w:r>
      <w:r>
        <w:rPr>
          <w:rFonts w:hint="eastAsia" w:ascii="仿宋_GB2312" w:hAnsi="仿宋" w:eastAsia="仿宋_GB2312" w:cs="宋体"/>
          <w:sz w:val="32"/>
          <w:szCs w:val="32"/>
          <w:lang w:bidi="ar"/>
        </w:rPr>
        <w:t>进行</w:t>
      </w:r>
      <w:r>
        <w:rPr>
          <w:rFonts w:ascii="仿宋_GB2312" w:hAnsi="仿宋" w:eastAsia="仿宋_GB2312" w:cs="宋体"/>
          <w:sz w:val="32"/>
          <w:szCs w:val="32"/>
          <w:lang w:bidi="ar"/>
        </w:rPr>
        <w:t>支付</w:t>
      </w:r>
      <w:r>
        <w:rPr>
          <w:rFonts w:hint="eastAsia" w:ascii="仿宋_GB2312" w:hAnsi="仿宋" w:eastAsia="仿宋_GB2312" w:cs="宋体"/>
          <w:sz w:val="32"/>
          <w:szCs w:val="32"/>
          <w:lang w:bidi="ar"/>
        </w:rPr>
        <w:t>，同时负责项目相关手续</w:t>
      </w:r>
      <w:r>
        <w:rPr>
          <w:rFonts w:ascii="仿宋_GB2312" w:hAnsi="仿宋" w:eastAsia="仿宋_GB2312" w:cs="宋体"/>
          <w:sz w:val="32"/>
          <w:szCs w:val="32"/>
          <w:lang w:bidi="ar"/>
        </w:rPr>
        <w:t>审批审核</w:t>
      </w:r>
      <w:r>
        <w:rPr>
          <w:rFonts w:hint="eastAsia" w:ascii="仿宋_GB2312" w:hAnsi="仿宋" w:eastAsia="仿宋_GB2312" w:cs="宋体"/>
          <w:sz w:val="32"/>
          <w:szCs w:val="32"/>
          <w:lang w:bidi="ar"/>
        </w:rPr>
        <w:t>，确保</w:t>
      </w:r>
      <w:r>
        <w:rPr>
          <w:rFonts w:ascii="仿宋_GB2312" w:hAnsi="仿宋" w:eastAsia="仿宋_GB2312" w:cs="宋体"/>
          <w:sz w:val="32"/>
          <w:szCs w:val="32"/>
          <w:lang w:bidi="ar"/>
        </w:rPr>
        <w:t>资金的支付有完整的审批程序和手续符合制度要求。</w:t>
      </w:r>
    </w:p>
    <w:p>
      <w:pPr>
        <w:pStyle w:val="25"/>
        <w:spacing w:before="0" w:after="0" w:line="560" w:lineRule="exact"/>
        <w:ind w:left="0" w:firstLine="643" w:firstLineChars="200"/>
        <w:rPr>
          <w:lang w:bidi="ar"/>
        </w:rPr>
      </w:pPr>
      <w:r>
        <w:rPr>
          <w:rFonts w:hint="eastAsia"/>
          <w:lang w:bidi="ar"/>
        </w:rPr>
        <w:t>资金</w:t>
      </w:r>
      <w:bookmarkEnd w:id="0"/>
      <w:r>
        <w:rPr>
          <w:rFonts w:hint="eastAsia"/>
          <w:lang w:bidi="ar"/>
        </w:rPr>
        <w:t>投入和使用情况</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本项目总投资</w:t>
      </w:r>
      <w:r>
        <w:rPr>
          <w:rFonts w:hint="eastAsia" w:ascii="仿宋_GB2312" w:hAnsi="仿宋_GB2312" w:eastAsia="仿宋_GB2312" w:cs="仿宋_GB2312"/>
          <w:bCs/>
          <w:sz w:val="32"/>
          <w:szCs w:val="32"/>
        </w:rPr>
        <w:t>285.8万</w:t>
      </w:r>
      <w:r>
        <w:rPr>
          <w:rFonts w:hint="eastAsia" w:ascii="仿宋_GB2312" w:hAnsi="仿宋" w:eastAsia="仿宋_GB2312" w:cs="宋体"/>
          <w:sz w:val="32"/>
          <w:szCs w:val="32"/>
          <w:lang w:bidi="ar"/>
        </w:rPr>
        <w:t>元，资金来源为中央财政专项扶贫资金</w:t>
      </w:r>
      <w:r>
        <w:rPr>
          <w:rFonts w:hint="eastAsia" w:ascii="仿宋_GB2312" w:hAnsi="仿宋_GB2312" w:eastAsia="仿宋_GB2312" w:cs="仿宋_GB2312"/>
          <w:bCs/>
          <w:sz w:val="32"/>
          <w:szCs w:val="32"/>
        </w:rPr>
        <w:t>285.8万</w:t>
      </w:r>
      <w:r>
        <w:rPr>
          <w:rFonts w:hint="eastAsia" w:ascii="仿宋_GB2312" w:hAnsi="仿宋" w:eastAsia="仿宋_GB2312" w:cs="宋体"/>
          <w:sz w:val="32"/>
          <w:szCs w:val="32"/>
          <w:lang w:bidi="ar"/>
        </w:rPr>
        <w:t>元。此项资金的使用范围：根据新财扶【2019】19号、喀地财扶【2019】18号文件精神，本项目资金用于建设农贸市场一座，修建彩钢棚500平米，修建商铺20间、围墙40米、大门1处、修建厕所30平方米。项目建成后，能够满足当地农牧民群众日常生产生活需求，改善生产生活条件。</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叶城县西合休乡人民政府制定了农贸市场项目资金管理办法，资金完全按照新财扶【2019】19号、喀地财扶【2019】18号文件及实施方案进行使用。</w:t>
      </w:r>
    </w:p>
    <w:p>
      <w:pPr>
        <w:pStyle w:val="25"/>
        <w:spacing w:before="0" w:after="0" w:line="560" w:lineRule="exact"/>
        <w:ind w:left="0" w:firstLine="643" w:firstLineChars="200"/>
        <w:rPr>
          <w:lang w:bidi="ar"/>
        </w:rPr>
      </w:pPr>
      <w:bookmarkStart w:id="1" w:name="_Toc26401551"/>
      <w:r>
        <w:rPr>
          <w:rFonts w:hint="eastAsia"/>
          <w:lang w:bidi="ar"/>
        </w:rPr>
        <w:t>绩效目标</w:t>
      </w:r>
      <w:bookmarkEnd w:id="1"/>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总体目标为：西合休乡2019年农贸市场项目主要建设2村农贸市场一座，修建彩钢棚500平米，修建商铺20间、围墙40米、大门1处、修建厕所30平方米，项目建成后，实现就地就近就业，可带动20户建档立卡贫困户家庭自主择业，为打赢脱贫攻坚战奠定基础。共涉及叶城县西合休乡人民政府1个单位。按照年度预算，此项资金按时支出，完善我乡建设体系，改善农牧民生活水平，解决建档立卡贫困户经济困难，有效促进就近就地就业，改善生产生活条件。</w:t>
      </w:r>
    </w:p>
    <w:p>
      <w:pPr>
        <w:pStyle w:val="23"/>
        <w:numPr>
          <w:ilvl w:val="0"/>
          <w:numId w:val="2"/>
        </w:numPr>
        <w:spacing w:before="0" w:after="0" w:line="560" w:lineRule="exact"/>
        <w:ind w:left="0" w:firstLine="643"/>
        <w:rPr>
          <w:lang w:bidi="ar"/>
        </w:rPr>
      </w:pPr>
      <w:bookmarkStart w:id="2" w:name="_Toc26401552"/>
      <w:r>
        <w:rPr>
          <w:rFonts w:hint="eastAsia"/>
          <w:lang w:bidi="ar"/>
        </w:rPr>
        <w:t>评价工作简述</w:t>
      </w:r>
      <w:bookmarkEnd w:id="2"/>
    </w:p>
    <w:p>
      <w:pPr>
        <w:pStyle w:val="25"/>
        <w:numPr>
          <w:ilvl w:val="0"/>
          <w:numId w:val="4"/>
        </w:numPr>
        <w:spacing w:before="0" w:after="0" w:line="560" w:lineRule="exact"/>
        <w:ind w:left="0" w:firstLine="643" w:firstLineChars="200"/>
        <w:rPr>
          <w:lang w:bidi="ar"/>
        </w:rPr>
      </w:pPr>
      <w:bookmarkStart w:id="3" w:name="_Toc26401553"/>
      <w:r>
        <w:rPr>
          <w:rFonts w:hint="eastAsia"/>
          <w:lang w:bidi="ar"/>
        </w:rPr>
        <w:t>评价目的</w:t>
      </w:r>
      <w:bookmarkEnd w:id="3"/>
    </w:p>
    <w:p>
      <w:pPr>
        <w:spacing w:line="560" w:lineRule="exact"/>
        <w:ind w:firstLine="640" w:firstLineChars="200"/>
        <w:rPr>
          <w:rFonts w:ascii="仿宋_GB2312" w:hAnsi="仿宋" w:eastAsia="仿宋_GB2312" w:cs="宋体"/>
          <w:color w:val="FF0000"/>
          <w:sz w:val="32"/>
          <w:szCs w:val="32"/>
          <w:lang w:bidi="ar"/>
        </w:rPr>
      </w:pPr>
      <w:r>
        <w:rPr>
          <w:rFonts w:hint="eastAsia" w:ascii="仿宋_GB2312" w:hAnsi="仿宋" w:eastAsia="仿宋_GB2312" w:cs="宋体"/>
          <w:sz w:val="32"/>
          <w:szCs w:val="32"/>
          <w:lang w:bidi="ar"/>
        </w:rPr>
        <w:t>本次绩效评价遵循财政部《项目</w:t>
      </w:r>
      <w:r>
        <w:rPr>
          <w:rFonts w:ascii="仿宋_GB2312" w:hAnsi="仿宋" w:eastAsia="仿宋_GB2312" w:cs="宋体"/>
          <w:sz w:val="32"/>
          <w:szCs w:val="32"/>
          <w:lang w:bidi="ar"/>
        </w:rPr>
        <w:t>支出绩效评价管理办法》（财预〔2020〕10号）和自治区财政厅</w:t>
      </w:r>
      <w:r>
        <w:rPr>
          <w:rFonts w:hint="eastAsia" w:ascii="仿宋_GB2312" w:hAnsi="仿宋_GB2312" w:eastAsia="仿宋_GB2312" w:cs="仿宋_GB2312"/>
          <w:kern w:val="0"/>
          <w:sz w:val="32"/>
          <w:szCs w:val="32"/>
          <w:shd w:val="clear" w:color="auto" w:fill="FFFFFF"/>
          <w:lang w:bidi="ar"/>
        </w:rPr>
        <w:t>《自治区财政支出绩效评价管理暂行办法》（新财预〔</w:t>
      </w:r>
      <w:r>
        <w:rPr>
          <w:rFonts w:ascii="仿宋_GB2312" w:hAnsi="仿宋_GB2312" w:eastAsia="仿宋_GB2312" w:cs="仿宋_GB2312"/>
          <w:kern w:val="0"/>
          <w:sz w:val="32"/>
          <w:szCs w:val="32"/>
          <w:shd w:val="clear" w:color="auto" w:fill="FFFFFF"/>
          <w:lang w:bidi="ar"/>
        </w:rPr>
        <w:t>2018〕189号</w:t>
      </w:r>
      <w:r>
        <w:rPr>
          <w:rFonts w:hint="eastAsia" w:ascii="仿宋_GB2312" w:hAnsi="仿宋_GB2312" w:eastAsia="仿宋_GB2312" w:cs="仿宋_GB2312"/>
          <w:kern w:val="0"/>
          <w:sz w:val="32"/>
          <w:szCs w:val="32"/>
          <w:shd w:val="clear" w:color="auto" w:fill="FFFFFF"/>
          <w:lang w:bidi="ar"/>
        </w:rPr>
        <w:t>）</w:t>
      </w:r>
      <w:r>
        <w:rPr>
          <w:rFonts w:ascii="仿宋_GB2312" w:hAnsi="仿宋" w:eastAsia="仿宋_GB2312" w:cs="宋体"/>
          <w:sz w:val="32"/>
          <w:szCs w:val="32"/>
          <w:lang w:bidi="ar"/>
        </w:rPr>
        <w:t>等相关政策文件与规定，</w:t>
      </w:r>
      <w:r>
        <w:rPr>
          <w:rFonts w:hint="eastAsia" w:ascii="仿宋_GB2312" w:hAnsi="仿宋" w:eastAsia="仿宋_GB2312" w:cs="宋体"/>
          <w:sz w:val="32"/>
          <w:szCs w:val="32"/>
          <w:lang w:bidi="ar"/>
        </w:rPr>
        <w:t>旨在评价农贸市场项目实施前期、过程及效果，评价财政预算资金使用的效率及效益。</w:t>
      </w:r>
    </w:p>
    <w:p>
      <w:pPr>
        <w:numPr>
          <w:ilvl w:val="0"/>
          <w:numId w:val="5"/>
        </w:num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通过部门项目支出绩效自评,进一步严格落实《预算法》以及党中央、国务院关于加强预算绩效管理的指示精神,建立健全“花钱问效”的绩效预算管理机制、提升政府效能。通过部门项目支出绩效评价,进一步做实绩效目标,根据项目绩效目标,细化形成多维度绩效指标,将绩效指标细化为数量、质量、时效、成本、经济效益、社会效益、可持续影响、服务对象满意度等内容,保证项目绩效指标设置规范、合理、可衡量。通过项目绩效自评,进一步纠正对绩效管理理解上的偏差,建立更加全面科学的绩效指标体系。督促在预算编制中,将资金申请、绩效目标和具体指标统筹考虑,形成“花钱必问效、无效必问责”的责任契约机制,进一步强化预算绩效管理的严肃性和约束力,推动绩效管理向全方位的绩效预算转变,逐步建立“以绩效目标为导向,以绩效评价为手段,以评价结果应用为保障,全覆盖、全过程”的绩效预算管理新体制。</w:t>
      </w:r>
    </w:p>
    <w:p>
      <w:pPr>
        <w:numPr>
          <w:ilvl w:val="0"/>
          <w:numId w:val="5"/>
        </w:num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项目为财政支出绩效评价,是通过对该项目决策、项目管理和项目绩效作出评定,全面了解财政预算资金支出安排情况、资金实际使用状况和项目的绩效,帮助健全和完善科学的、符合实际情况的项目绩效目标,肯定取得的成绩,提出存在的问题,给出相应的建议,以而保证项目的持续开展,推进财政绩效预算工作的顺利实施。</w:t>
      </w:r>
    </w:p>
    <w:p>
      <w:pPr>
        <w:numPr>
          <w:ilvl w:val="0"/>
          <w:numId w:val="5"/>
        </w:num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本次评价从农贸市场建设项目产生的效果角度出发,力求从绩效的角度发现2019年度农贸市场建设项目中取得的成绩和产生的问题,优化财政支出管理改革,为下一步实施绩效预算奠定基础。</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1.通过评价,了解2019年度农贸市场建设项目的基本情况对项目背景和目的、项目内容和现状、项目预算做深入调研和分析;</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2.通过评价,了解2019年度农贸市场建设项目的产出和效果情况,及整体绩效状况</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3,通过评价,发掘2019年度农贸市场建设项目所产生的现实意义和实际价值。</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4,通过评价,从绩效的角度发现该项目在决策、实施和管理过程中存在的问题,寻求解决方案,为进一步深化项目管理工作提供依据,以促进</w:t>
      </w:r>
      <w:r>
        <w:rPr>
          <w:rFonts w:hint="eastAsia" w:ascii="仿宋_GB2312" w:hAnsi="仿宋_GB2312" w:eastAsia="仿宋_GB2312" w:cs="仿宋_GB2312"/>
          <w:bCs/>
          <w:sz w:val="32"/>
          <w:szCs w:val="32"/>
        </w:rPr>
        <w:t>完善我乡</w:t>
      </w:r>
      <w:r>
        <w:rPr>
          <w:rFonts w:hint="eastAsia" w:ascii="仿宋_GB2312" w:hAnsi="仿宋" w:eastAsia="仿宋_GB2312" w:cs="宋体"/>
          <w:sz w:val="32"/>
          <w:szCs w:val="32"/>
          <w:lang w:bidi="ar"/>
        </w:rPr>
        <w:t>农贸市场建设项目</w:t>
      </w:r>
      <w:r>
        <w:rPr>
          <w:rFonts w:hint="eastAsia" w:ascii="仿宋_GB2312" w:hAnsi="仿宋_GB2312" w:eastAsia="仿宋_GB2312" w:cs="仿宋_GB2312"/>
          <w:bCs/>
          <w:sz w:val="32"/>
          <w:szCs w:val="32"/>
        </w:rPr>
        <w:t>体系，</w:t>
      </w:r>
      <w:r>
        <w:rPr>
          <w:rFonts w:hint="eastAsia" w:ascii="仿宋_GB2312" w:hAnsi="仿宋" w:eastAsia="仿宋_GB2312" w:cs="宋体"/>
          <w:sz w:val="32"/>
          <w:szCs w:val="32"/>
          <w:lang w:bidi="ar"/>
        </w:rPr>
        <w:t>改善农牧民生活水平，解决建档立卡贫困户经济困难，有效促进就近就地就业，改善生产生活条件。</w:t>
      </w:r>
    </w:p>
    <w:p>
      <w:pPr>
        <w:pStyle w:val="25"/>
        <w:numPr>
          <w:ilvl w:val="0"/>
          <w:numId w:val="4"/>
        </w:numPr>
        <w:spacing w:before="0" w:after="0" w:line="560" w:lineRule="exact"/>
        <w:ind w:left="0" w:firstLine="643" w:firstLineChars="200"/>
        <w:rPr>
          <w:lang w:bidi="ar"/>
        </w:rPr>
      </w:pPr>
      <w:r>
        <w:rPr>
          <w:rFonts w:hint="eastAsia"/>
          <w:lang w:bidi="ar"/>
        </w:rPr>
        <w:t>本次绩效评价的对象及范围</w:t>
      </w:r>
      <w:bookmarkStart w:id="4" w:name="_Toc26401554"/>
    </w:p>
    <w:p>
      <w:pPr>
        <w:spacing w:line="560" w:lineRule="exact"/>
        <w:ind w:firstLine="640" w:firstLineChars="200"/>
        <w:rPr>
          <w:rFonts w:ascii="仿宋_GB2312" w:hAnsi="仿宋" w:eastAsia="仿宋_GB2312" w:cs="宋体"/>
          <w:sz w:val="32"/>
          <w:szCs w:val="32"/>
          <w:lang w:bidi="ar"/>
        </w:rPr>
      </w:pPr>
      <w:r>
        <w:rPr>
          <w:rFonts w:ascii="仿宋_GB2312" w:hAnsi="仿宋" w:eastAsia="仿宋_GB2312" w:cs="宋体"/>
          <w:sz w:val="32"/>
          <w:szCs w:val="32"/>
          <w:lang w:bidi="ar"/>
        </w:rPr>
        <w:t>本次评价对象为</w:t>
      </w:r>
      <w:r>
        <w:rPr>
          <w:rFonts w:hint="eastAsia" w:ascii="仿宋_GB2312" w:hAnsi="仿宋" w:eastAsia="仿宋_GB2312" w:cs="宋体"/>
          <w:sz w:val="32"/>
          <w:szCs w:val="32"/>
          <w:lang w:bidi="ar"/>
        </w:rPr>
        <w:t>农贸市场建设项目，项目资金共计285.8万元资金，严格落实农贸市场建设及审批手续，根据中央下达财政专项扶贫资金实施方案及《西合休乡农贸市场建设项目资金管理制度》并组织实施。在竣工验收后，投入使用。评价范围包括、西合休2村农贸市场建设数量、项目建设开工及时率、项目提高农民就业率、解决建档立卡贫困户经济困难，有效促进就近就地就业，改善生产生活条件。</w:t>
      </w:r>
    </w:p>
    <w:p>
      <w:pPr>
        <w:pStyle w:val="25"/>
        <w:numPr>
          <w:ilvl w:val="0"/>
          <w:numId w:val="4"/>
        </w:numPr>
        <w:spacing w:before="0" w:after="0" w:line="560" w:lineRule="exact"/>
        <w:ind w:left="0" w:firstLine="643" w:firstLineChars="200"/>
        <w:rPr>
          <w:lang w:bidi="ar"/>
        </w:rPr>
      </w:pPr>
      <w:r>
        <w:rPr>
          <w:rFonts w:hint="eastAsia"/>
          <w:lang w:bidi="ar"/>
        </w:rPr>
        <w:t>绩效评价原则</w:t>
      </w:r>
      <w:bookmarkEnd w:id="4"/>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本次绩效评价遵循的原则包括：</w:t>
      </w:r>
    </w:p>
    <w:p>
      <w:pPr>
        <w:pStyle w:val="25"/>
        <w:keepNext w:val="0"/>
        <w:keepLines w:val="0"/>
        <w:numPr>
          <w:ilvl w:val="1"/>
          <w:numId w:val="6"/>
        </w:numPr>
        <w:spacing w:before="0" w:after="0" w:line="560" w:lineRule="exact"/>
        <w:ind w:left="0" w:firstLine="640" w:firstLineChars="200"/>
        <w:rPr>
          <w:rFonts w:hAnsi="仿宋" w:cs="宋体"/>
          <w:b w:val="0"/>
          <w:lang w:bidi="ar"/>
        </w:rPr>
      </w:pPr>
      <w:r>
        <w:rPr>
          <w:rFonts w:hint="eastAsia" w:hAnsi="仿宋" w:cs="宋体"/>
          <w:b w:val="0"/>
          <w:lang w:bidi="ar"/>
        </w:rPr>
        <w:t>科学公正。绩效评价应当运用科学合理的方法，按照规范的程序，对项目绩效进行客观、公正的反映。</w:t>
      </w:r>
    </w:p>
    <w:p>
      <w:pPr>
        <w:pStyle w:val="25"/>
        <w:keepNext w:val="0"/>
        <w:keepLines w:val="0"/>
        <w:numPr>
          <w:ilvl w:val="1"/>
          <w:numId w:val="6"/>
        </w:numPr>
        <w:spacing w:before="0" w:after="0" w:line="560" w:lineRule="exact"/>
        <w:ind w:left="0" w:firstLine="640" w:firstLineChars="200"/>
        <w:rPr>
          <w:rFonts w:hAnsi="仿宋" w:cs="宋体"/>
          <w:b w:val="0"/>
          <w:lang w:bidi="ar"/>
        </w:rPr>
      </w:pPr>
      <w:r>
        <w:rPr>
          <w:rFonts w:hint="eastAsia" w:hAnsi="仿宋" w:cs="宋体"/>
          <w:b w:val="0"/>
          <w:lang w:bidi="ar"/>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5"/>
        <w:keepNext w:val="0"/>
        <w:keepLines w:val="0"/>
        <w:numPr>
          <w:ilvl w:val="1"/>
          <w:numId w:val="6"/>
        </w:numPr>
        <w:spacing w:before="0" w:after="0" w:line="560" w:lineRule="exact"/>
        <w:ind w:left="0" w:firstLine="640" w:firstLineChars="200"/>
        <w:rPr>
          <w:rFonts w:hAnsi="仿宋" w:cs="宋体"/>
          <w:b w:val="0"/>
          <w:lang w:bidi="ar"/>
        </w:rPr>
      </w:pPr>
      <w:r>
        <w:rPr>
          <w:rFonts w:hint="eastAsia" w:hAnsi="仿宋" w:cs="宋体"/>
          <w:b w:val="0"/>
          <w:lang w:bidi="ar"/>
        </w:rPr>
        <w:t>激励约束。绩效评价结果应与预算安排、政策调整、改进管理实质性挂钩，体现奖优罚劣和激励相容导向，有效要安排、低效要压减、无效要问责。</w:t>
      </w:r>
    </w:p>
    <w:p>
      <w:pPr>
        <w:pStyle w:val="25"/>
        <w:keepNext w:val="0"/>
        <w:keepLines w:val="0"/>
        <w:numPr>
          <w:ilvl w:val="1"/>
          <w:numId w:val="6"/>
        </w:numPr>
        <w:spacing w:before="0" w:after="0" w:line="560" w:lineRule="exact"/>
        <w:ind w:left="0" w:firstLine="640" w:firstLineChars="200"/>
        <w:rPr>
          <w:b w:val="0"/>
          <w:lang w:bidi="ar"/>
        </w:rPr>
      </w:pPr>
      <w:r>
        <w:rPr>
          <w:rFonts w:hint="eastAsia" w:hAnsi="仿宋" w:cs="宋体"/>
          <w:b w:val="0"/>
          <w:lang w:bidi="ar"/>
        </w:rPr>
        <w:t>公开透明。绩效评价结果应依法依规公开，并自觉接受社会监督。</w:t>
      </w:r>
      <w:r>
        <w:rPr>
          <w:rFonts w:hint="eastAsia"/>
          <w:b w:val="0"/>
          <w:lang w:bidi="ar"/>
        </w:rPr>
        <w:t>绩效评价体系。</w:t>
      </w:r>
    </w:p>
    <w:p>
      <w:pPr>
        <w:spacing w:line="560" w:lineRule="exact"/>
        <w:ind w:firstLine="643" w:firstLineChars="200"/>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（四）本项目绩效评价体系</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遵循“科学性、规范性、客观性和公正性”的绩效评价原则,根据财政部制定的《项目支出绩效评价共性指标体系框架》,结合农贸市场建设项目特性、叶城县西合休乡人民政府实际情况,本项目按照财预﹝2020﹞10号文件制定评价指标体系。</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我单位选取共性指标：决策中一级指标1个，二级指标8个，三级指标13个，分别是立项依据充分性，绩效指标明确性及资金分配合理性。</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过程中一级指标1个，二级指标8个，三级指标13个，分别是预算执行率，资金使用合规性及管理制度健全性。</w:t>
      </w:r>
    </w:p>
    <w:p>
      <w:pPr>
        <w:pStyle w:val="25"/>
        <w:keepNext w:val="0"/>
        <w:keepLines w:val="0"/>
        <w:numPr>
          <w:ilvl w:val="0"/>
          <w:numId w:val="0"/>
        </w:numPr>
        <w:spacing w:before="0" w:after="0" w:line="560" w:lineRule="exact"/>
        <w:ind w:left="420" w:leftChars="200"/>
        <w:rPr>
          <w:lang w:bidi="ar"/>
        </w:rPr>
      </w:pPr>
      <w:bookmarkStart w:id="5" w:name="_Toc26401555"/>
      <w:r>
        <w:rPr>
          <w:rFonts w:hint="eastAsia"/>
          <w:lang w:bidi="ar"/>
        </w:rPr>
        <w:t>（五）绩效评价方法</w:t>
      </w:r>
      <w:bookmarkEnd w:id="5"/>
    </w:p>
    <w:p>
      <w:pPr>
        <w:spacing w:line="560" w:lineRule="exact"/>
        <w:ind w:firstLine="640" w:firstLineChars="200"/>
        <w:rPr>
          <w:rFonts w:ascii="仿宋_GB2312" w:hAnsi="仿宋" w:eastAsia="仿宋_GB2312" w:cs="宋体"/>
          <w:sz w:val="32"/>
          <w:szCs w:val="32"/>
          <w:highlight w:val="red"/>
          <w:lang w:bidi="ar"/>
        </w:rPr>
      </w:pPr>
      <w:r>
        <w:rPr>
          <w:rFonts w:hint="eastAsia" w:ascii="仿宋_GB2312" w:hAnsi="仿宋" w:eastAsia="仿宋_GB2312" w:cs="宋体"/>
          <w:sz w:val="32"/>
          <w:szCs w:val="32"/>
          <w:lang w:bidi="ar"/>
        </w:rPr>
        <w:t>本次绩效评价方法的选用坚持简便有效的原则采用成本效益分析法。即：根据自治区新财扶【2019】19号、喀地财扶【2019】18号文件精神安排，建设西合休乡2村农贸市场一座</w:t>
      </w:r>
      <w:r>
        <w:rPr>
          <w:rFonts w:hint="eastAsia" w:ascii="仿宋_GB2312" w:eastAsia="仿宋_GB2312"/>
          <w:sz w:val="32"/>
          <w:szCs w:val="32"/>
        </w:rPr>
        <w:t>，</w:t>
      </w:r>
      <w:r>
        <w:rPr>
          <w:rFonts w:hint="eastAsia" w:ascii="仿宋_GB2312" w:hAnsi="仿宋" w:eastAsia="仿宋_GB2312" w:cs="宋体"/>
          <w:sz w:val="32"/>
          <w:szCs w:val="32"/>
          <w:lang w:bidi="ar"/>
        </w:rPr>
        <w:t>修建彩钢棚500平米，修建商铺20间、围墙40米、大门1处、修建厕所30平方米，项目建成后，实现就地就近就业，可带动20户建档立卡贫困户家庭自主择业，为打赢脱贫攻坚战奠定基础。</w:t>
      </w:r>
    </w:p>
    <w:p>
      <w:pPr>
        <w:pStyle w:val="25"/>
        <w:keepNext w:val="0"/>
        <w:keepLines w:val="0"/>
        <w:numPr>
          <w:ilvl w:val="0"/>
          <w:numId w:val="0"/>
        </w:numPr>
        <w:spacing w:before="0" w:after="0" w:line="560" w:lineRule="exact"/>
        <w:ind w:left="420" w:leftChars="200"/>
        <w:rPr>
          <w:lang w:bidi="ar"/>
        </w:rPr>
      </w:pPr>
      <w:r>
        <w:rPr>
          <w:rFonts w:hint="eastAsia"/>
          <w:lang w:bidi="ar"/>
        </w:rPr>
        <w:t>（六）评价标准</w:t>
      </w:r>
    </w:p>
    <w:p>
      <w:pPr>
        <w:pStyle w:val="25"/>
        <w:keepNext w:val="0"/>
        <w:keepLines w:val="0"/>
        <w:numPr>
          <w:ilvl w:val="0"/>
          <w:numId w:val="0"/>
        </w:numPr>
        <w:spacing w:before="0" w:after="0" w:line="560" w:lineRule="exact"/>
        <w:ind w:firstLine="640" w:firstLineChars="200"/>
        <w:rPr>
          <w:b w:val="0"/>
          <w:color w:val="FF0000"/>
        </w:rPr>
      </w:pPr>
      <w:r>
        <w:rPr>
          <w:rFonts w:hint="eastAsia" w:hAnsiTheme="minorHAnsi" w:cstheme="minorBidi"/>
          <w:b w:val="0"/>
          <w:bCs w:val="0"/>
        </w:rPr>
        <w:t>项目评价标准采用计划标准。及以是否建完建全农贸市场一座，是否达到就业率，是否达到群众满意度，提升农贸市场建设能力为绩效主要评价标准。</w:t>
      </w:r>
    </w:p>
    <w:p>
      <w:pPr>
        <w:pStyle w:val="25"/>
        <w:keepNext w:val="0"/>
        <w:keepLines w:val="0"/>
        <w:numPr>
          <w:ilvl w:val="0"/>
          <w:numId w:val="0"/>
        </w:numPr>
        <w:spacing w:before="0" w:after="0" w:line="560" w:lineRule="exact"/>
        <w:ind w:left="420" w:leftChars="200"/>
        <w:rPr>
          <w:lang w:bidi="ar"/>
        </w:rPr>
      </w:pPr>
      <w:r>
        <w:rPr>
          <w:rFonts w:hint="eastAsia"/>
          <w:lang w:bidi="ar"/>
        </w:rPr>
        <w:t>（七）绩效评价工作过程</w:t>
      </w:r>
    </w:p>
    <w:p>
      <w:pPr>
        <w:pStyle w:val="25"/>
        <w:keepNext w:val="0"/>
        <w:keepLines w:val="0"/>
        <w:numPr>
          <w:ilvl w:val="0"/>
          <w:numId w:val="0"/>
        </w:numPr>
        <w:spacing w:before="0" w:after="0" w:line="560" w:lineRule="exact"/>
        <w:ind w:firstLine="640" w:firstLineChars="200"/>
        <w:outlineLvl w:val="9"/>
        <w:rPr>
          <w:b w:val="0"/>
          <w:bCs w:val="0"/>
          <w:lang w:bidi="ar"/>
        </w:rPr>
      </w:pPr>
      <w:r>
        <w:rPr>
          <w:rFonts w:hint="eastAsia"/>
          <w:b w:val="0"/>
          <w:bCs w:val="0"/>
          <w:lang w:bidi="ar"/>
        </w:rPr>
        <w:t>本次评价成立了评价工作组，成员如下：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ascii="宋体" w:hAnsi="宋体" w:eastAsia="宋体" w:cs="宋体"/>
                <w:sz w:val="28"/>
                <w:szCs w:val="28"/>
                <w:lang w:bidi="ar"/>
              </w:rPr>
            </w:pPr>
            <w:r>
              <w:rPr>
                <w:rFonts w:hint="eastAsia" w:ascii="宋体" w:hAnsi="宋体" w:eastAsia="宋体" w:cs="宋体"/>
                <w:sz w:val="28"/>
                <w:szCs w:val="28"/>
                <w:lang w:bidi="ar"/>
              </w:rPr>
              <w:t>评价人</w:t>
            </w:r>
          </w:p>
        </w:tc>
        <w:tc>
          <w:tcPr>
            <w:tcW w:w="2765" w:type="dxa"/>
            <w:vAlign w:val="center"/>
          </w:tcPr>
          <w:p>
            <w:pPr>
              <w:pStyle w:val="25"/>
              <w:keepNext w:val="0"/>
              <w:keepLines w:val="0"/>
              <w:numPr>
                <w:ilvl w:val="0"/>
                <w:numId w:val="0"/>
              </w:numPr>
              <w:spacing w:line="240" w:lineRule="atLeast"/>
              <w:jc w:val="center"/>
              <w:rPr>
                <w:rFonts w:ascii="宋体" w:hAnsi="宋体" w:eastAsia="宋体" w:cs="宋体"/>
                <w:sz w:val="28"/>
                <w:szCs w:val="28"/>
                <w:lang w:bidi="ar"/>
              </w:rPr>
            </w:pPr>
            <w:r>
              <w:rPr>
                <w:rFonts w:hint="eastAsia" w:ascii="宋体" w:hAnsi="宋体" w:eastAsia="宋体" w:cs="宋体"/>
                <w:sz w:val="28"/>
                <w:szCs w:val="28"/>
                <w:lang w:bidi="ar"/>
              </w:rPr>
              <w:t>职责</w:t>
            </w:r>
          </w:p>
        </w:tc>
        <w:tc>
          <w:tcPr>
            <w:tcW w:w="2766" w:type="dxa"/>
            <w:vAlign w:val="center"/>
          </w:tcPr>
          <w:p>
            <w:pPr>
              <w:pStyle w:val="25"/>
              <w:keepNext w:val="0"/>
              <w:keepLines w:val="0"/>
              <w:numPr>
                <w:ilvl w:val="0"/>
                <w:numId w:val="0"/>
              </w:numPr>
              <w:spacing w:line="240" w:lineRule="atLeast"/>
              <w:jc w:val="center"/>
              <w:rPr>
                <w:rFonts w:ascii="宋体" w:hAnsi="宋体" w:eastAsia="宋体" w:cs="宋体"/>
                <w:sz w:val="28"/>
                <w:szCs w:val="28"/>
                <w:lang w:bidi="ar"/>
              </w:rPr>
            </w:pPr>
            <w:r>
              <w:rPr>
                <w:rFonts w:hint="eastAsia" w:ascii="宋体" w:hAnsi="宋体" w:eastAsia="宋体" w:cs="宋体"/>
                <w:sz w:val="28"/>
                <w:szCs w:val="28"/>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ascii="宋体" w:hAnsi="宋体" w:eastAsia="宋体" w:cs="宋体"/>
                <w:b w:val="0"/>
                <w:bCs w:val="0"/>
                <w:sz w:val="28"/>
                <w:szCs w:val="28"/>
                <w:lang w:bidi="ar"/>
              </w:rPr>
            </w:pPr>
            <w:r>
              <w:rPr>
                <w:rFonts w:hint="eastAsia" w:ascii="宋体" w:hAnsi="宋体" w:eastAsia="宋体" w:cs="宋体"/>
                <w:b w:val="0"/>
                <w:bCs w:val="0"/>
                <w:sz w:val="28"/>
                <w:szCs w:val="28"/>
                <w:lang w:bidi="ar"/>
              </w:rPr>
              <w:t>苏少文</w:t>
            </w:r>
          </w:p>
        </w:tc>
        <w:tc>
          <w:tcPr>
            <w:tcW w:w="2765" w:type="dxa"/>
            <w:vAlign w:val="center"/>
          </w:tcPr>
          <w:p>
            <w:pPr>
              <w:pStyle w:val="25"/>
              <w:keepNext w:val="0"/>
              <w:keepLines w:val="0"/>
              <w:numPr>
                <w:ilvl w:val="0"/>
                <w:numId w:val="0"/>
              </w:numPr>
              <w:spacing w:line="240" w:lineRule="atLeast"/>
              <w:jc w:val="center"/>
              <w:rPr>
                <w:rFonts w:ascii="宋体" w:hAnsi="宋体" w:eastAsia="宋体" w:cs="宋体"/>
                <w:b w:val="0"/>
                <w:bCs w:val="0"/>
                <w:sz w:val="28"/>
                <w:szCs w:val="28"/>
                <w:lang w:bidi="ar"/>
              </w:rPr>
            </w:pPr>
            <w:r>
              <w:rPr>
                <w:rFonts w:hint="eastAsia" w:ascii="宋体" w:hAnsi="宋体" w:eastAsia="宋体" w:cs="宋体"/>
                <w:b w:val="0"/>
                <w:bCs w:val="0"/>
                <w:sz w:val="28"/>
                <w:szCs w:val="28"/>
                <w:lang w:bidi="ar"/>
              </w:rPr>
              <w:t>评价组组长</w:t>
            </w:r>
          </w:p>
        </w:tc>
        <w:tc>
          <w:tcPr>
            <w:tcW w:w="2766" w:type="dxa"/>
            <w:vAlign w:val="center"/>
          </w:tcPr>
          <w:p>
            <w:pPr>
              <w:pStyle w:val="25"/>
              <w:keepNext w:val="0"/>
              <w:keepLines w:val="0"/>
              <w:numPr>
                <w:ilvl w:val="0"/>
                <w:numId w:val="0"/>
              </w:numPr>
              <w:spacing w:line="240" w:lineRule="atLeast"/>
              <w:jc w:val="center"/>
              <w:rPr>
                <w:rFonts w:ascii="宋体" w:hAnsi="宋体" w:eastAsia="宋体" w:cs="宋体"/>
                <w:b w:val="0"/>
                <w:bCs w:val="0"/>
                <w:sz w:val="28"/>
                <w:szCs w:val="28"/>
                <w:lang w:bidi="ar"/>
              </w:rPr>
            </w:pPr>
            <w:r>
              <w:rPr>
                <w:rFonts w:hint="eastAsia" w:ascii="宋体" w:hAnsi="宋体" w:eastAsia="宋体" w:cs="宋体"/>
                <w:b w:val="0"/>
                <w:bCs w:val="0"/>
                <w:sz w:val="28"/>
                <w:szCs w:val="28"/>
                <w:lang w:bidi="ar"/>
              </w:rPr>
              <w:t>副乡长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ascii="宋体" w:hAnsi="宋体" w:eastAsia="宋体" w:cs="宋体"/>
                <w:b w:val="0"/>
                <w:bCs w:val="0"/>
                <w:sz w:val="28"/>
                <w:szCs w:val="28"/>
                <w:lang w:bidi="ar"/>
              </w:rPr>
            </w:pPr>
            <w:r>
              <w:rPr>
                <w:rFonts w:hint="eastAsia" w:ascii="宋体" w:hAnsi="宋体" w:eastAsia="宋体" w:cs="宋体"/>
                <w:b w:val="0"/>
                <w:bCs w:val="0"/>
                <w:sz w:val="28"/>
                <w:szCs w:val="28"/>
                <w:lang w:bidi="ar"/>
              </w:rPr>
              <w:t>贾新龙</w:t>
            </w:r>
          </w:p>
        </w:tc>
        <w:tc>
          <w:tcPr>
            <w:tcW w:w="2765" w:type="dxa"/>
            <w:vAlign w:val="center"/>
          </w:tcPr>
          <w:p>
            <w:pPr>
              <w:pStyle w:val="25"/>
              <w:keepNext w:val="0"/>
              <w:keepLines w:val="0"/>
              <w:numPr>
                <w:ilvl w:val="0"/>
                <w:numId w:val="0"/>
              </w:numPr>
              <w:spacing w:line="240" w:lineRule="atLeast"/>
              <w:jc w:val="center"/>
              <w:rPr>
                <w:rFonts w:ascii="宋体" w:hAnsi="宋体" w:eastAsia="宋体" w:cs="宋体"/>
                <w:b w:val="0"/>
                <w:bCs w:val="0"/>
                <w:sz w:val="28"/>
                <w:szCs w:val="28"/>
                <w:lang w:bidi="ar"/>
              </w:rPr>
            </w:pPr>
            <w:r>
              <w:rPr>
                <w:rFonts w:hint="eastAsia" w:ascii="宋体" w:hAnsi="宋体" w:eastAsia="宋体" w:cs="宋体"/>
                <w:b w:val="0"/>
                <w:bCs w:val="0"/>
                <w:sz w:val="28"/>
                <w:szCs w:val="28"/>
                <w:lang w:bidi="ar"/>
              </w:rPr>
              <w:t>评价组成员</w:t>
            </w:r>
          </w:p>
        </w:tc>
        <w:tc>
          <w:tcPr>
            <w:tcW w:w="2766" w:type="dxa"/>
            <w:vAlign w:val="center"/>
          </w:tcPr>
          <w:p>
            <w:pPr>
              <w:pStyle w:val="25"/>
              <w:keepNext w:val="0"/>
              <w:keepLines w:val="0"/>
              <w:numPr>
                <w:ilvl w:val="0"/>
                <w:numId w:val="0"/>
              </w:numPr>
              <w:spacing w:line="240" w:lineRule="atLeast"/>
              <w:jc w:val="center"/>
              <w:rPr>
                <w:rFonts w:ascii="宋体" w:hAnsi="宋体" w:eastAsia="宋体" w:cs="宋体"/>
                <w:b w:val="0"/>
                <w:bCs w:val="0"/>
                <w:sz w:val="28"/>
                <w:szCs w:val="28"/>
                <w:lang w:bidi="ar"/>
              </w:rPr>
            </w:pPr>
            <w:r>
              <w:rPr>
                <w:rFonts w:hint="eastAsia" w:ascii="宋体" w:hAnsi="宋体" w:eastAsia="宋体" w:cs="宋体"/>
                <w:b w:val="0"/>
                <w:bCs w:val="0"/>
                <w:sz w:val="28"/>
                <w:szCs w:val="28"/>
                <w:lang w:bidi="ar"/>
              </w:rPr>
              <w:t>出纳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ascii="宋体" w:hAnsi="宋体" w:eastAsia="宋体" w:cs="宋体"/>
                <w:b w:val="0"/>
                <w:bCs w:val="0"/>
                <w:sz w:val="28"/>
                <w:szCs w:val="28"/>
                <w:lang w:bidi="ar"/>
              </w:rPr>
            </w:pPr>
            <w:r>
              <w:rPr>
                <w:rFonts w:hint="eastAsia" w:ascii="宋体" w:hAnsi="宋体" w:eastAsia="宋体" w:cs="宋体"/>
                <w:b w:val="0"/>
                <w:bCs w:val="0"/>
                <w:sz w:val="28"/>
                <w:szCs w:val="28"/>
                <w:lang w:bidi="ar"/>
              </w:rPr>
              <w:t>刘亚军</w:t>
            </w:r>
          </w:p>
        </w:tc>
        <w:tc>
          <w:tcPr>
            <w:tcW w:w="2765" w:type="dxa"/>
            <w:vAlign w:val="center"/>
          </w:tcPr>
          <w:p>
            <w:pPr>
              <w:pStyle w:val="25"/>
              <w:keepNext w:val="0"/>
              <w:keepLines w:val="0"/>
              <w:numPr>
                <w:ilvl w:val="0"/>
                <w:numId w:val="0"/>
              </w:numPr>
              <w:spacing w:line="240" w:lineRule="atLeast"/>
              <w:jc w:val="center"/>
              <w:rPr>
                <w:rFonts w:ascii="宋体" w:hAnsi="宋体" w:eastAsia="宋体" w:cs="宋体"/>
                <w:b w:val="0"/>
                <w:bCs w:val="0"/>
                <w:sz w:val="28"/>
                <w:szCs w:val="28"/>
                <w:lang w:bidi="ar"/>
              </w:rPr>
            </w:pPr>
            <w:r>
              <w:rPr>
                <w:rFonts w:hint="eastAsia" w:ascii="宋体" w:hAnsi="宋体" w:eastAsia="宋体" w:cs="宋体"/>
                <w:b w:val="0"/>
                <w:bCs w:val="0"/>
                <w:sz w:val="28"/>
                <w:szCs w:val="28"/>
                <w:lang w:bidi="ar"/>
              </w:rPr>
              <w:t>评价组成员</w:t>
            </w:r>
          </w:p>
        </w:tc>
        <w:tc>
          <w:tcPr>
            <w:tcW w:w="2766" w:type="dxa"/>
            <w:vAlign w:val="center"/>
          </w:tcPr>
          <w:p>
            <w:pPr>
              <w:pStyle w:val="25"/>
              <w:keepNext w:val="0"/>
              <w:keepLines w:val="0"/>
              <w:numPr>
                <w:ilvl w:val="0"/>
                <w:numId w:val="0"/>
              </w:numPr>
              <w:spacing w:line="240" w:lineRule="atLeast"/>
              <w:jc w:val="center"/>
              <w:rPr>
                <w:rFonts w:ascii="宋体" w:hAnsi="宋体" w:eastAsia="宋体" w:cs="宋体"/>
                <w:b w:val="0"/>
                <w:bCs w:val="0"/>
                <w:sz w:val="28"/>
                <w:szCs w:val="28"/>
                <w:lang w:bidi="ar"/>
              </w:rPr>
            </w:pPr>
            <w:r>
              <w:rPr>
                <w:rFonts w:hint="eastAsia" w:ascii="宋体" w:hAnsi="宋体" w:eastAsia="宋体" w:cs="宋体"/>
                <w:b w:val="0"/>
                <w:bCs w:val="0"/>
                <w:sz w:val="28"/>
                <w:szCs w:val="28"/>
                <w:lang w:bidi="ar"/>
              </w:rPr>
              <w:t>项目管理员</w:t>
            </w:r>
          </w:p>
        </w:tc>
      </w:tr>
    </w:tbl>
    <w:p>
      <w:pPr>
        <w:pStyle w:val="25"/>
        <w:keepNext w:val="0"/>
        <w:keepLines w:val="0"/>
        <w:numPr>
          <w:ilvl w:val="0"/>
          <w:numId w:val="0"/>
        </w:numPr>
        <w:spacing w:before="0" w:after="0" w:line="560" w:lineRule="exact"/>
        <w:ind w:firstLine="640" w:firstLineChars="200"/>
        <w:outlineLvl w:val="9"/>
        <w:rPr>
          <w:b w:val="0"/>
          <w:bCs w:val="0"/>
          <w:lang w:bidi="ar"/>
        </w:rPr>
      </w:pPr>
      <w:r>
        <w:rPr>
          <w:rFonts w:hint="eastAsia"/>
          <w:b w:val="0"/>
          <w:bCs w:val="0"/>
          <w:lang w:bidi="ar"/>
        </w:rPr>
        <w:t>本次评价设计了评价方案、评价指标体系，通过资料分析、调研、访谈满意度调查等方式形成评价结论，在与项目单位沟通后确定评价意见，并出具评价报告。　</w:t>
      </w:r>
    </w:p>
    <w:p>
      <w:pPr>
        <w:pStyle w:val="25"/>
        <w:keepNext w:val="0"/>
        <w:keepLines w:val="0"/>
        <w:numPr>
          <w:ilvl w:val="0"/>
          <w:numId w:val="0"/>
        </w:numPr>
        <w:spacing w:before="0" w:after="0" w:line="560" w:lineRule="exact"/>
        <w:ind w:firstLine="640" w:firstLineChars="200"/>
        <w:rPr>
          <w:b w:val="0"/>
          <w:bCs w:val="0"/>
          <w:lang w:bidi="ar"/>
        </w:rPr>
      </w:pPr>
      <w:r>
        <w:rPr>
          <w:rFonts w:hint="eastAsia"/>
          <w:b w:val="0"/>
          <w:bCs w:val="0"/>
          <w:lang w:bidi="ar"/>
        </w:rPr>
        <w:t>1.数据采集方法及过程</w:t>
      </w:r>
    </w:p>
    <w:p>
      <w:pPr>
        <w:spacing w:line="560" w:lineRule="exact"/>
        <w:ind w:firstLine="640" w:firstLineChars="200"/>
        <w:rPr>
          <w:rFonts w:ascii="仿宋_GB2312" w:eastAsia="仿宋_GB2312" w:cs="Times New Roman" w:hAnsiTheme="majorHAnsi"/>
          <w:sz w:val="32"/>
          <w:szCs w:val="32"/>
          <w:lang w:bidi="ar"/>
        </w:rPr>
      </w:pPr>
      <w:r>
        <w:rPr>
          <w:rFonts w:ascii="仿宋_GB2312" w:eastAsia="仿宋_GB2312" w:cs="Times New Roman" w:hAnsiTheme="majorHAnsi"/>
          <w:sz w:val="32"/>
          <w:szCs w:val="32"/>
          <w:lang w:bidi="ar"/>
        </w:rPr>
        <w:t>本次绩效评价数据包括定性和定量两种数据,定性数据主要通过实地考察社会调查的方式来采集。</w:t>
      </w:r>
    </w:p>
    <w:p>
      <w:pPr>
        <w:spacing w:line="560" w:lineRule="exact"/>
        <w:ind w:firstLine="640" w:firstLineChars="200"/>
        <w:rPr>
          <w:rFonts w:ascii="仿宋_GB2312" w:eastAsia="仿宋_GB2312" w:cs="Times New Roman" w:hAnsiTheme="majorHAnsi"/>
          <w:sz w:val="32"/>
          <w:szCs w:val="32"/>
          <w:lang w:bidi="ar"/>
        </w:rPr>
      </w:pPr>
      <w:r>
        <w:rPr>
          <w:rFonts w:ascii="仿宋_GB2312" w:eastAsia="仿宋_GB2312" w:cs="Times New Roman" w:hAnsiTheme="majorHAnsi"/>
          <w:sz w:val="32"/>
          <w:szCs w:val="32"/>
          <w:lang w:bidi="ar"/>
        </w:rPr>
        <w:t>定量数据的采集主要通过被评价单位填报数据和实地采集数据相结合的方式,形成数据采集两条线,有效保证数据的真实性和可靠性,此外,我们会对所有数据进行全面审核和复核,并对重要数据进行实地采集。</w:t>
      </w:r>
    </w:p>
    <w:p>
      <w:pPr>
        <w:spacing w:line="560" w:lineRule="exact"/>
        <w:ind w:firstLine="640" w:firstLineChars="200"/>
        <w:rPr>
          <w:rFonts w:ascii="仿宋_GB2312" w:eastAsia="仿宋_GB2312" w:cs="Times New Roman" w:hAnsiTheme="majorHAnsi"/>
          <w:sz w:val="32"/>
          <w:szCs w:val="32"/>
          <w:lang w:bidi="ar"/>
        </w:rPr>
      </w:pPr>
      <w:r>
        <w:rPr>
          <w:rFonts w:hint="eastAsia" w:ascii="仿宋_GB2312" w:eastAsia="仿宋_GB2312" w:cs="Times New Roman" w:hAnsiTheme="majorHAnsi"/>
          <w:sz w:val="32"/>
          <w:szCs w:val="32"/>
          <w:lang w:bidi="ar"/>
        </w:rPr>
        <w:t>2.绩效评价实施过程</w:t>
      </w:r>
    </w:p>
    <w:p>
      <w:pPr>
        <w:spacing w:line="560" w:lineRule="exact"/>
        <w:ind w:firstLine="640" w:firstLineChars="200"/>
        <w:rPr>
          <w:rFonts w:ascii="仿宋_GB2312" w:eastAsia="仿宋_GB2312" w:cs="Times New Roman" w:hAnsiTheme="majorHAnsi"/>
          <w:sz w:val="32"/>
          <w:szCs w:val="32"/>
          <w:lang w:bidi="ar"/>
        </w:rPr>
      </w:pPr>
      <w:r>
        <w:rPr>
          <w:rFonts w:hint="eastAsia" w:ascii="仿宋_GB2312" w:eastAsia="仿宋_GB2312" w:cs="Times New Roman" w:hAnsiTheme="majorHAnsi"/>
          <w:sz w:val="32"/>
          <w:szCs w:val="32"/>
          <w:lang w:bidi="ar"/>
        </w:rPr>
        <w:t>项目组在前期调研的基础上,完成了项目绩效评价工作方案,明确了评价的目的、方法、指标体系、评价标准、合规性检查方案。在此之后,项目组严格按照工作方案,经过了数据采集、问卷调查、数据分析和报告撰写等环节,顺利完成了绩效评价工作。</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（1）问卷调查</w:t>
      </w:r>
    </w:p>
    <w:p>
      <w:pPr>
        <w:spacing w:line="560" w:lineRule="exact"/>
        <w:ind w:firstLine="640" w:firstLineChars="200"/>
        <w:rPr>
          <w:rFonts w:ascii="仿宋_GB2312" w:eastAsia="仿宋_GB2312" w:cs="Times New Roman" w:hAnsiTheme="majorHAnsi"/>
          <w:sz w:val="32"/>
          <w:szCs w:val="32"/>
          <w:lang w:bidi="ar"/>
        </w:rPr>
      </w:pPr>
      <w:bookmarkStart w:id="6" w:name="_Toc26401558"/>
      <w:r>
        <w:rPr>
          <w:rFonts w:ascii="仿宋_GB2312" w:eastAsia="仿宋_GB2312" w:cs="Times New Roman" w:hAnsiTheme="majorHAnsi"/>
          <w:sz w:val="32"/>
          <w:szCs w:val="32"/>
          <w:lang w:bidi="ar"/>
        </w:rPr>
        <w:t>201</w:t>
      </w:r>
      <w:r>
        <w:rPr>
          <w:rFonts w:hint="eastAsia" w:ascii="仿宋_GB2312" w:eastAsia="仿宋_GB2312" w:cs="Times New Roman" w:hAnsiTheme="majorHAnsi"/>
          <w:sz w:val="32"/>
          <w:szCs w:val="32"/>
          <w:lang w:bidi="ar"/>
        </w:rPr>
        <w:t>9</w:t>
      </w:r>
      <w:r>
        <w:rPr>
          <w:rFonts w:ascii="仿宋_GB2312" w:eastAsia="仿宋_GB2312" w:cs="Times New Roman" w:hAnsiTheme="majorHAnsi"/>
          <w:sz w:val="32"/>
          <w:szCs w:val="32"/>
          <w:lang w:bidi="ar"/>
        </w:rPr>
        <w:t>年</w:t>
      </w:r>
      <w:r>
        <w:rPr>
          <w:rFonts w:hint="eastAsia" w:ascii="仿宋_GB2312" w:eastAsia="仿宋_GB2312" w:cs="Times New Roman" w:hAnsiTheme="majorHAnsi"/>
          <w:sz w:val="32"/>
          <w:szCs w:val="32"/>
          <w:lang w:bidi="ar"/>
        </w:rPr>
        <w:t>8</w:t>
      </w:r>
      <w:r>
        <w:rPr>
          <w:rFonts w:ascii="仿宋_GB2312" w:eastAsia="仿宋_GB2312" w:cs="Times New Roman" w:hAnsiTheme="majorHAnsi"/>
          <w:sz w:val="32"/>
          <w:szCs w:val="32"/>
          <w:lang w:bidi="ar"/>
        </w:rPr>
        <w:t>月</w:t>
      </w:r>
      <w:r>
        <w:rPr>
          <w:rFonts w:hint="eastAsia" w:ascii="仿宋_GB2312" w:eastAsia="仿宋_GB2312" w:cs="Times New Roman" w:hAnsiTheme="majorHAnsi"/>
          <w:sz w:val="32"/>
          <w:szCs w:val="32"/>
          <w:lang w:bidi="ar"/>
        </w:rPr>
        <w:t>1</w:t>
      </w:r>
      <w:r>
        <w:rPr>
          <w:rFonts w:ascii="仿宋_GB2312" w:eastAsia="仿宋_GB2312" w:cs="Times New Roman" w:hAnsiTheme="majorHAnsi"/>
          <w:sz w:val="32"/>
          <w:szCs w:val="32"/>
          <w:lang w:bidi="ar"/>
        </w:rPr>
        <w:t>日-201</w:t>
      </w:r>
      <w:r>
        <w:rPr>
          <w:rFonts w:hint="eastAsia" w:ascii="仿宋_GB2312" w:eastAsia="仿宋_GB2312" w:cs="Times New Roman" w:hAnsiTheme="majorHAnsi"/>
          <w:sz w:val="32"/>
          <w:szCs w:val="32"/>
          <w:lang w:bidi="ar"/>
        </w:rPr>
        <w:t>9</w:t>
      </w:r>
      <w:r>
        <w:rPr>
          <w:rFonts w:ascii="仿宋_GB2312" w:eastAsia="仿宋_GB2312" w:cs="Times New Roman" w:hAnsiTheme="majorHAnsi"/>
          <w:sz w:val="32"/>
          <w:szCs w:val="32"/>
          <w:lang w:bidi="ar"/>
        </w:rPr>
        <w:t>年</w:t>
      </w:r>
      <w:r>
        <w:rPr>
          <w:rFonts w:hint="eastAsia" w:ascii="仿宋_GB2312" w:eastAsia="仿宋_GB2312" w:cs="Times New Roman" w:hAnsiTheme="majorHAnsi"/>
          <w:sz w:val="32"/>
          <w:szCs w:val="32"/>
          <w:lang w:bidi="ar"/>
        </w:rPr>
        <w:t>8</w:t>
      </w:r>
      <w:r>
        <w:rPr>
          <w:rFonts w:ascii="仿宋_GB2312" w:eastAsia="仿宋_GB2312" w:cs="Times New Roman" w:hAnsiTheme="majorHAnsi"/>
          <w:sz w:val="32"/>
          <w:szCs w:val="32"/>
          <w:lang w:bidi="ar"/>
        </w:rPr>
        <w:t>月</w:t>
      </w:r>
      <w:r>
        <w:rPr>
          <w:rFonts w:hint="eastAsia" w:ascii="仿宋_GB2312" w:eastAsia="仿宋_GB2312" w:cs="Times New Roman" w:hAnsiTheme="majorHAnsi"/>
          <w:sz w:val="32"/>
          <w:szCs w:val="32"/>
          <w:lang w:bidi="ar"/>
        </w:rPr>
        <w:t>30</w:t>
      </w:r>
      <w:r>
        <w:rPr>
          <w:rFonts w:ascii="仿宋_GB2312" w:eastAsia="仿宋_GB2312" w:cs="Times New Roman" w:hAnsiTheme="majorHAnsi"/>
          <w:sz w:val="32"/>
          <w:szCs w:val="32"/>
          <w:lang w:bidi="ar"/>
        </w:rPr>
        <w:t>日,项目组对</w:t>
      </w:r>
      <w:r>
        <w:rPr>
          <w:rFonts w:hint="eastAsia" w:ascii="仿宋_GB2312" w:eastAsia="仿宋_GB2312" w:cs="Times New Roman" w:hAnsiTheme="majorHAnsi"/>
          <w:sz w:val="32"/>
          <w:szCs w:val="32"/>
          <w:lang w:bidi="ar"/>
        </w:rPr>
        <w:t>农贸市场</w:t>
      </w:r>
      <w:r>
        <w:rPr>
          <w:rFonts w:ascii="仿宋_GB2312" w:eastAsia="仿宋_GB2312" w:cs="Times New Roman" w:hAnsiTheme="majorHAnsi"/>
          <w:sz w:val="32"/>
          <w:szCs w:val="32"/>
          <w:lang w:bidi="ar"/>
        </w:rPr>
        <w:t>项目涉及受益村民进行问卷调查。向</w:t>
      </w:r>
      <w:r>
        <w:rPr>
          <w:rFonts w:hint="eastAsia" w:ascii="仿宋_GB2312" w:eastAsia="仿宋_GB2312" w:cs="Times New Roman" w:hAnsiTheme="majorHAnsi"/>
          <w:sz w:val="32"/>
          <w:szCs w:val="32"/>
          <w:lang w:bidi="ar"/>
        </w:rPr>
        <w:t>西合休乡2村</w:t>
      </w:r>
      <w:r>
        <w:rPr>
          <w:rFonts w:ascii="仿宋_GB2312" w:eastAsia="仿宋_GB2312" w:cs="Times New Roman" w:hAnsiTheme="majorHAnsi"/>
          <w:sz w:val="32"/>
          <w:szCs w:val="32"/>
          <w:lang w:bidi="ar"/>
        </w:rPr>
        <w:t>共发放</w:t>
      </w:r>
      <w:r>
        <w:rPr>
          <w:rFonts w:hint="eastAsia" w:ascii="仿宋_GB2312" w:eastAsia="仿宋_GB2312" w:cs="Times New Roman" w:hAnsiTheme="majorHAnsi"/>
          <w:sz w:val="32"/>
          <w:szCs w:val="32"/>
          <w:lang w:bidi="ar"/>
        </w:rPr>
        <w:t>300</w:t>
      </w:r>
      <w:r>
        <w:rPr>
          <w:rFonts w:ascii="仿宋_GB2312" w:eastAsia="仿宋_GB2312" w:cs="Times New Roman" w:hAnsiTheme="majorHAnsi"/>
          <w:sz w:val="32"/>
          <w:szCs w:val="32"/>
          <w:lang w:bidi="ar"/>
        </w:rPr>
        <w:t>份问卷,回收</w:t>
      </w:r>
      <w:r>
        <w:rPr>
          <w:rFonts w:hint="eastAsia" w:ascii="仿宋_GB2312" w:eastAsia="仿宋_GB2312" w:cs="Times New Roman" w:hAnsiTheme="majorHAnsi"/>
          <w:sz w:val="32"/>
          <w:szCs w:val="32"/>
          <w:lang w:bidi="ar"/>
        </w:rPr>
        <w:t>200</w:t>
      </w:r>
      <w:r>
        <w:rPr>
          <w:rFonts w:ascii="仿宋_GB2312" w:eastAsia="仿宋_GB2312" w:cs="Times New Roman" w:hAnsiTheme="majorHAnsi"/>
          <w:sz w:val="32"/>
          <w:szCs w:val="32"/>
          <w:lang w:bidi="ar"/>
        </w:rPr>
        <w:t>份问卷,其中有效问卷为</w:t>
      </w:r>
      <w:r>
        <w:rPr>
          <w:rFonts w:hint="eastAsia" w:ascii="仿宋_GB2312" w:eastAsia="仿宋_GB2312" w:cs="Times New Roman" w:hAnsiTheme="majorHAnsi"/>
          <w:sz w:val="32"/>
          <w:szCs w:val="32"/>
          <w:lang w:bidi="ar"/>
        </w:rPr>
        <w:t>160</w:t>
      </w:r>
      <w:r>
        <w:rPr>
          <w:rFonts w:ascii="仿宋_GB2312" w:eastAsia="仿宋_GB2312" w:cs="Times New Roman" w:hAnsiTheme="majorHAnsi"/>
          <w:sz w:val="32"/>
          <w:szCs w:val="32"/>
          <w:lang w:bidi="ar"/>
        </w:rPr>
        <w:t>份,有效问卷为</w:t>
      </w:r>
      <w:r>
        <w:rPr>
          <w:rFonts w:hint="eastAsia" w:ascii="仿宋_GB2312" w:eastAsia="仿宋_GB2312" w:cs="Times New Roman" w:hAnsiTheme="majorHAnsi"/>
          <w:sz w:val="32"/>
          <w:szCs w:val="32"/>
          <w:lang w:bidi="ar"/>
        </w:rPr>
        <w:t>80</w:t>
      </w:r>
      <w:r>
        <w:rPr>
          <w:rFonts w:ascii="仿宋_GB2312" w:eastAsia="仿宋_GB2312" w:cs="Times New Roman" w:hAnsiTheme="majorHAnsi"/>
          <w:sz w:val="32"/>
          <w:szCs w:val="32"/>
          <w:lang w:bidi="ar"/>
        </w:rPr>
        <w:t>%</w:t>
      </w:r>
      <w:r>
        <w:rPr>
          <w:rFonts w:hint="eastAsia" w:ascii="仿宋_GB2312" w:eastAsia="仿宋_GB2312" w:cs="Times New Roman" w:hAnsiTheme="majorHAnsi"/>
          <w:sz w:val="32"/>
          <w:szCs w:val="32"/>
          <w:lang w:bidi="ar"/>
        </w:rPr>
        <w:t>，再</w:t>
      </w:r>
      <w:r>
        <w:rPr>
          <w:rFonts w:ascii="仿宋_GB2312" w:eastAsia="仿宋_GB2312" w:cs="Times New Roman" w:hAnsiTheme="majorHAnsi"/>
          <w:sz w:val="32"/>
          <w:szCs w:val="32"/>
          <w:lang w:bidi="ar"/>
        </w:rPr>
        <w:t>通过问卷录入、分析、整理后,形成社会调查满意度报告</w:t>
      </w:r>
      <w:r>
        <w:rPr>
          <w:rFonts w:hint="eastAsia" w:ascii="仿宋_GB2312" w:eastAsia="仿宋_GB2312" w:cs="Times New Roman" w:hAnsiTheme="majorHAnsi"/>
          <w:sz w:val="32"/>
          <w:szCs w:val="32"/>
          <w:lang w:bidi="ar"/>
        </w:rPr>
        <w:t>。</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（2）数据分析及撰写报告</w:t>
      </w:r>
    </w:p>
    <w:p>
      <w:pPr>
        <w:spacing w:line="560" w:lineRule="exact"/>
        <w:ind w:firstLine="640" w:firstLineChars="200"/>
        <w:rPr>
          <w:rFonts w:ascii="仿宋_GB2312" w:eastAsia="仿宋_GB2312" w:cs="Times New Roman" w:hAnsiTheme="majorHAnsi"/>
          <w:sz w:val="32"/>
          <w:szCs w:val="32"/>
          <w:lang w:bidi="ar"/>
        </w:rPr>
      </w:pPr>
      <w:r>
        <w:rPr>
          <w:rFonts w:ascii="仿宋_GB2312" w:eastAsia="仿宋_GB2312" w:cs="Times New Roman" w:hAnsiTheme="majorHAnsi"/>
          <w:sz w:val="32"/>
          <w:szCs w:val="32"/>
          <w:lang w:bidi="ar"/>
        </w:rPr>
        <w:t>201</w:t>
      </w:r>
      <w:r>
        <w:rPr>
          <w:rFonts w:hint="eastAsia" w:ascii="仿宋_GB2312" w:eastAsia="仿宋_GB2312" w:cs="Times New Roman" w:hAnsiTheme="majorHAnsi"/>
          <w:sz w:val="32"/>
          <w:szCs w:val="32"/>
          <w:lang w:bidi="ar"/>
        </w:rPr>
        <w:t>9</w:t>
      </w:r>
      <w:r>
        <w:rPr>
          <w:rFonts w:ascii="仿宋_GB2312" w:eastAsia="仿宋_GB2312" w:cs="Times New Roman" w:hAnsiTheme="majorHAnsi"/>
          <w:sz w:val="32"/>
          <w:szCs w:val="32"/>
          <w:lang w:bidi="ar"/>
        </w:rPr>
        <w:t>年</w:t>
      </w:r>
      <w:r>
        <w:rPr>
          <w:rFonts w:hint="eastAsia" w:ascii="仿宋_GB2312" w:eastAsia="仿宋_GB2312" w:cs="Times New Roman" w:hAnsiTheme="majorHAnsi"/>
          <w:sz w:val="32"/>
          <w:szCs w:val="32"/>
          <w:lang w:bidi="ar"/>
        </w:rPr>
        <w:t>9</w:t>
      </w:r>
      <w:r>
        <w:rPr>
          <w:rFonts w:ascii="仿宋_GB2312" w:eastAsia="仿宋_GB2312" w:cs="Times New Roman" w:hAnsiTheme="majorHAnsi"/>
          <w:sz w:val="32"/>
          <w:szCs w:val="32"/>
          <w:lang w:bidi="ar"/>
        </w:rPr>
        <w:t>月</w:t>
      </w:r>
      <w:r>
        <w:rPr>
          <w:rFonts w:hint="eastAsia" w:ascii="仿宋_GB2312" w:eastAsia="仿宋_GB2312" w:cs="Times New Roman" w:hAnsiTheme="majorHAnsi"/>
          <w:sz w:val="32"/>
          <w:szCs w:val="32"/>
          <w:lang w:bidi="ar"/>
        </w:rPr>
        <w:t>1</w:t>
      </w:r>
      <w:r>
        <w:rPr>
          <w:rFonts w:ascii="仿宋_GB2312" w:eastAsia="仿宋_GB2312" w:cs="Times New Roman" w:hAnsiTheme="majorHAnsi"/>
          <w:sz w:val="32"/>
          <w:szCs w:val="32"/>
          <w:lang w:bidi="ar"/>
        </w:rPr>
        <w:t>日-201</w:t>
      </w:r>
      <w:r>
        <w:rPr>
          <w:rFonts w:hint="eastAsia" w:ascii="仿宋_GB2312" w:eastAsia="仿宋_GB2312" w:cs="Times New Roman" w:hAnsiTheme="majorHAnsi"/>
          <w:sz w:val="32"/>
          <w:szCs w:val="32"/>
          <w:lang w:bidi="ar"/>
        </w:rPr>
        <w:t>9</w:t>
      </w:r>
      <w:r>
        <w:rPr>
          <w:rFonts w:ascii="仿宋_GB2312" w:eastAsia="仿宋_GB2312" w:cs="Times New Roman" w:hAnsiTheme="majorHAnsi"/>
          <w:sz w:val="32"/>
          <w:szCs w:val="32"/>
          <w:lang w:bidi="ar"/>
        </w:rPr>
        <w:t>年</w:t>
      </w:r>
      <w:r>
        <w:rPr>
          <w:rFonts w:hint="eastAsia" w:ascii="仿宋_GB2312" w:eastAsia="仿宋_GB2312" w:cs="Times New Roman" w:hAnsiTheme="majorHAnsi"/>
          <w:sz w:val="32"/>
          <w:szCs w:val="32"/>
          <w:lang w:bidi="ar"/>
        </w:rPr>
        <w:t>9</w:t>
      </w:r>
      <w:r>
        <w:rPr>
          <w:rFonts w:ascii="仿宋_GB2312" w:eastAsia="仿宋_GB2312" w:cs="Times New Roman" w:hAnsiTheme="majorHAnsi"/>
          <w:sz w:val="32"/>
          <w:szCs w:val="32"/>
          <w:lang w:bidi="ar"/>
        </w:rPr>
        <w:t>月</w:t>
      </w:r>
      <w:r>
        <w:rPr>
          <w:rFonts w:hint="eastAsia" w:ascii="仿宋_GB2312" w:eastAsia="仿宋_GB2312" w:cs="Times New Roman" w:hAnsiTheme="majorHAnsi"/>
          <w:sz w:val="32"/>
          <w:szCs w:val="32"/>
          <w:lang w:bidi="ar"/>
        </w:rPr>
        <w:t>3</w:t>
      </w:r>
      <w:r>
        <w:rPr>
          <w:rFonts w:hint="eastAsia" w:ascii="仿宋_GB2312" w:eastAsia="仿宋_GB2312" w:cs="Times New Roman" w:hAnsiTheme="majorHAnsi"/>
          <w:sz w:val="32"/>
          <w:szCs w:val="32"/>
          <w:lang w:val="en-US" w:eastAsia="zh-CN" w:bidi="ar"/>
        </w:rPr>
        <w:t>0</w:t>
      </w:r>
      <w:bookmarkStart w:id="7" w:name="_GoBack"/>
      <w:bookmarkEnd w:id="7"/>
      <w:r>
        <w:rPr>
          <w:rFonts w:ascii="仿宋_GB2312" w:eastAsia="仿宋_GB2312" w:cs="Times New Roman" w:hAnsiTheme="majorHAnsi"/>
          <w:sz w:val="32"/>
          <w:szCs w:val="32"/>
          <w:lang w:bidi="ar"/>
        </w:rPr>
        <w:t>日,项目组根据绩效评价的原理和规范,对采集的数据进行甄别、分析和评分,并提炼结论撰写报告,在规定时间内上报委托方,由委托方组织相关专家对报告进行评审。</w:t>
      </w:r>
    </w:p>
    <w:p>
      <w:pPr>
        <w:pStyle w:val="23"/>
        <w:numPr>
          <w:ilvl w:val="0"/>
          <w:numId w:val="2"/>
        </w:numPr>
        <w:spacing w:before="0" w:after="0" w:line="560" w:lineRule="exact"/>
        <w:ind w:left="0" w:firstLine="643"/>
        <w:rPr>
          <w:rFonts w:ascii="黑体" w:hAnsi="黑体"/>
        </w:rPr>
      </w:pPr>
      <w:r>
        <w:rPr>
          <w:rFonts w:hint="eastAsia" w:ascii="黑体" w:hAnsi="黑体"/>
        </w:rPr>
        <w:t>综合评价情况及评价结论</w:t>
      </w:r>
    </w:p>
    <w:p>
      <w:pPr>
        <w:pStyle w:val="23"/>
        <w:spacing w:before="0" w:after="0" w:line="560" w:lineRule="exact"/>
        <w:ind w:firstLine="640"/>
        <w:rPr>
          <w:rFonts w:ascii="仿宋_GB2312" w:eastAsia="仿宋_GB2312" w:hAnsiTheme="majorHAnsi"/>
          <w:b w:val="0"/>
          <w:bCs w:val="0"/>
          <w:kern w:val="2"/>
          <w:lang w:bidi="ar"/>
        </w:rPr>
      </w:pPr>
      <w:r>
        <w:rPr>
          <w:rFonts w:hint="eastAsia" w:ascii="仿宋_GB2312" w:eastAsia="仿宋_GB2312" w:hAnsiTheme="majorHAnsi"/>
          <w:b w:val="0"/>
          <w:bCs w:val="0"/>
          <w:kern w:val="2"/>
          <w:lang w:bidi="ar"/>
        </w:rPr>
        <w:t>经评价组通过实地调研、资料分析等方式，采用综合分析法、成本效益分析法等对项目的决策、管理、绩效进行的综合评价分析，项目得分为96分，评价结果为优，详见附件4。</w:t>
      </w:r>
    </w:p>
    <w:p>
      <w:pPr>
        <w:pStyle w:val="23"/>
        <w:numPr>
          <w:ilvl w:val="0"/>
          <w:numId w:val="2"/>
        </w:numPr>
        <w:spacing w:before="0" w:after="0" w:line="560" w:lineRule="exact"/>
        <w:ind w:left="0" w:firstLine="643"/>
        <w:rPr>
          <w:lang w:bidi="ar"/>
        </w:rPr>
      </w:pPr>
      <w:r>
        <w:rPr>
          <w:rFonts w:hint="eastAsia"/>
          <w:lang w:bidi="ar"/>
        </w:rPr>
        <w:t>绩效评价指标分析</w:t>
      </w:r>
      <w:bookmarkEnd w:id="6"/>
    </w:p>
    <w:p>
      <w:pPr>
        <w:pStyle w:val="19"/>
        <w:numPr>
          <w:ilvl w:val="0"/>
          <w:numId w:val="7"/>
        </w:numPr>
        <w:spacing w:line="56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项目的决策情况</w:t>
      </w:r>
    </w:p>
    <w:p>
      <w:pPr>
        <w:spacing w:line="560" w:lineRule="exact"/>
        <w:ind w:firstLine="640" w:firstLineChars="200"/>
        <w:rPr>
          <w:rFonts w:ascii="仿宋_GB2312" w:hAnsi="仿宋" w:cs="宋体"/>
          <w:sz w:val="32"/>
          <w:szCs w:val="32"/>
          <w:lang w:bidi="ar"/>
        </w:rPr>
      </w:pPr>
      <w:r>
        <w:rPr>
          <w:rFonts w:hint="eastAsia" w:ascii="仿宋_GB2312" w:hAnsi="仿宋" w:eastAsia="仿宋_GB2312" w:cs="宋体"/>
          <w:sz w:val="32"/>
          <w:szCs w:val="32"/>
          <w:lang w:bidi="ar"/>
        </w:rPr>
        <w:t>本项目根据叶城县发展和改革委员会文件做好农贸市场建设项目脱贫攻坚相关工作的通知，结合我乡建设中心村（2）村农贸市场进行申报，审批文件、材料符合要求。同时根据新财扶【2019】19号、喀地财扶【2019】18号文件精神设置绩效目标，项目资金共计285.8万元，用于完善我建设农贸市场体系</w:t>
      </w:r>
      <w:r>
        <w:rPr>
          <w:rFonts w:hint="eastAsia" w:ascii="仿宋_GB2312" w:hAnsi="仿宋" w:cs="宋体"/>
          <w:sz w:val="32"/>
          <w:szCs w:val="32"/>
          <w:lang w:bidi="ar"/>
        </w:rPr>
        <w:t>，</w:t>
      </w:r>
      <w:r>
        <w:rPr>
          <w:rFonts w:hint="eastAsia" w:ascii="仿宋_GB2312" w:hAnsi="仿宋" w:eastAsia="仿宋_GB2312" w:cs="宋体"/>
          <w:sz w:val="32"/>
          <w:szCs w:val="32"/>
          <w:lang w:bidi="ar"/>
        </w:rPr>
        <w:t>改善农牧民生活水平，解决建档立卡贫困户经济困难，有效促进就近就地就业，改善生产生活条件。</w:t>
      </w:r>
    </w:p>
    <w:p>
      <w:pPr>
        <w:pStyle w:val="19"/>
        <w:numPr>
          <w:ilvl w:val="0"/>
          <w:numId w:val="7"/>
        </w:numPr>
        <w:spacing w:line="56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项目的过程情况</w:t>
      </w:r>
    </w:p>
    <w:p>
      <w:pPr>
        <w:pStyle w:val="28"/>
        <w:spacing w:line="560" w:lineRule="exact"/>
        <w:ind w:firstLine="640"/>
        <w:rPr>
          <w:rFonts w:ascii="仿宋_GB2312" w:hAnsi="仿宋" w:cs="宋体"/>
          <w:sz w:val="32"/>
          <w:szCs w:val="32"/>
          <w:lang w:bidi="ar"/>
        </w:rPr>
      </w:pPr>
      <w:r>
        <w:rPr>
          <w:rFonts w:hint="eastAsia" w:ascii="仿宋_GB2312" w:hAnsi="仿宋" w:cs="宋体"/>
          <w:sz w:val="32"/>
          <w:szCs w:val="32"/>
          <w:lang w:bidi="ar"/>
        </w:rPr>
        <w:t>我乡2村农贸市场建设项目，严格落实农贸市场建设范围及审批手续，按照申请、乡级审核、县级批准、地区备案的审批流程，结合我乡实际，制定了《西合休乡农贸市场项目资金管理制度》并组织实施。在竣工验收后，投入使用，不存在截留、挤占、挪用、虚列支出等情况。资金审批手续严格按照《会计法》、《预算法》及财政国库集中支付制度执行。项目执行完毕后，未发现调整及支出调整手续情况，项目合资料、补助领取表及验收报告资料已齐全并及时归档。</w:t>
      </w:r>
    </w:p>
    <w:p>
      <w:pPr>
        <w:pStyle w:val="19"/>
        <w:numPr>
          <w:ilvl w:val="0"/>
          <w:numId w:val="7"/>
        </w:numPr>
        <w:spacing w:line="56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项目产出情况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项目严格按照上级部门审批确定的执行范围执行，共建设2村农贸市场一座，项目资金按照中标价格已支付完毕，资金拨付及时，资金申报、审批手续完全合理、合法、合规，无截留、挤占、挪用、虚列支出等情况。</w:t>
      </w:r>
    </w:p>
    <w:tbl>
      <w:tblPr>
        <w:tblStyle w:val="13"/>
        <w:tblW w:w="8342" w:type="dxa"/>
        <w:tblInd w:w="0" w:type="dxa"/>
        <w:tblLayout w:type="fixed"/>
        <w:tblCellMar>
          <w:top w:w="0" w:type="dxa"/>
          <w:left w:w="0" w:type="dxa"/>
          <w:bottom w:w="0" w:type="dxa"/>
          <w:right w:w="0" w:type="dxa"/>
        </w:tblCellMar>
      </w:tblPr>
      <w:tblGrid>
        <w:gridCol w:w="1180"/>
        <w:gridCol w:w="1006"/>
        <w:gridCol w:w="3280"/>
        <w:gridCol w:w="1335"/>
        <w:gridCol w:w="1541"/>
      </w:tblGrid>
      <w:tr>
        <w:tblPrEx>
          <w:tblCellMar>
            <w:top w:w="0" w:type="dxa"/>
            <w:left w:w="0" w:type="dxa"/>
            <w:bottom w:w="0" w:type="dxa"/>
            <w:right w:w="0" w:type="dxa"/>
          </w:tblCellMar>
        </w:tblPrEx>
        <w:trPr>
          <w:trHeight w:val="500" w:hRule="atLeast"/>
        </w:trPr>
        <w:tc>
          <w:tcPr>
            <w:tcW w:w="1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一级指标</w:t>
            </w:r>
          </w:p>
        </w:tc>
        <w:tc>
          <w:tcPr>
            <w:tcW w:w="10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二级指标</w:t>
            </w:r>
          </w:p>
        </w:tc>
        <w:tc>
          <w:tcPr>
            <w:tcW w:w="3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三级指标</w:t>
            </w:r>
          </w:p>
        </w:tc>
        <w:tc>
          <w:tcPr>
            <w:tcW w:w="13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年度指标值</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实际完成值</w:t>
            </w:r>
          </w:p>
        </w:tc>
      </w:tr>
      <w:tr>
        <w:tblPrEx>
          <w:tblCellMar>
            <w:top w:w="0" w:type="dxa"/>
            <w:left w:w="0" w:type="dxa"/>
            <w:bottom w:w="0" w:type="dxa"/>
            <w:right w:w="0" w:type="dxa"/>
          </w:tblCellMar>
        </w:tblPrEx>
        <w:trPr>
          <w:trHeight w:val="500" w:hRule="atLeast"/>
        </w:trPr>
        <w:tc>
          <w:tcPr>
            <w:tcW w:w="118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产出指标</w:t>
            </w:r>
          </w:p>
        </w:tc>
        <w:tc>
          <w:tcPr>
            <w:tcW w:w="10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数量指标</w:t>
            </w:r>
          </w:p>
        </w:tc>
        <w:tc>
          <w:tcPr>
            <w:tcW w:w="3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西合休1村农贸市场建设数量（个）</w:t>
            </w:r>
          </w:p>
        </w:tc>
        <w:tc>
          <w:tcPr>
            <w:tcW w:w="13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54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r>
      <w:tr>
        <w:tblPrEx>
          <w:tblCellMar>
            <w:top w:w="0" w:type="dxa"/>
            <w:left w:w="0" w:type="dxa"/>
            <w:bottom w:w="0" w:type="dxa"/>
            <w:right w:w="0" w:type="dxa"/>
          </w:tblCellMar>
        </w:tblPrEx>
        <w:trPr>
          <w:trHeight w:val="500" w:hRule="atLeast"/>
        </w:trPr>
        <w:tc>
          <w:tcPr>
            <w:tcW w:w="11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西合休2村农贸市场建设数量（个）</w:t>
            </w:r>
          </w:p>
        </w:tc>
        <w:tc>
          <w:tcPr>
            <w:tcW w:w="13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54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r>
      <w:tr>
        <w:tblPrEx>
          <w:tblCellMar>
            <w:top w:w="0" w:type="dxa"/>
            <w:left w:w="0" w:type="dxa"/>
            <w:bottom w:w="0" w:type="dxa"/>
            <w:right w:w="0" w:type="dxa"/>
          </w:tblCellMar>
        </w:tblPrEx>
        <w:trPr>
          <w:trHeight w:val="500" w:hRule="atLeast"/>
        </w:trPr>
        <w:tc>
          <w:tcPr>
            <w:tcW w:w="11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2018年项目质保金数量（个）</w:t>
            </w:r>
          </w:p>
        </w:tc>
        <w:tc>
          <w:tcPr>
            <w:tcW w:w="13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54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r>
      <w:tr>
        <w:tblPrEx>
          <w:tblCellMar>
            <w:top w:w="0" w:type="dxa"/>
            <w:left w:w="0" w:type="dxa"/>
            <w:bottom w:w="0" w:type="dxa"/>
            <w:right w:w="0" w:type="dxa"/>
          </w:tblCellMar>
        </w:tblPrEx>
        <w:trPr>
          <w:trHeight w:val="500" w:hRule="atLeast"/>
        </w:trPr>
        <w:tc>
          <w:tcPr>
            <w:tcW w:w="11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质量指标</w:t>
            </w:r>
          </w:p>
        </w:tc>
        <w:tc>
          <w:tcPr>
            <w:tcW w:w="32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项目建设开工及时率（%）</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06"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时效指标</w:t>
            </w:r>
          </w:p>
        </w:tc>
        <w:tc>
          <w:tcPr>
            <w:tcW w:w="3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项目建设开工及时率（%）</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0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项目建设完工及时率（%）</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成本指标</w:t>
            </w:r>
          </w:p>
        </w:tc>
        <w:tc>
          <w:tcPr>
            <w:tcW w:w="3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西合休1村农贸市场建设成本（万元/个）</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105</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105</w:t>
            </w:r>
          </w:p>
        </w:tc>
      </w:tr>
      <w:tr>
        <w:tblPrEx>
          <w:tblCellMar>
            <w:top w:w="0" w:type="dxa"/>
            <w:left w:w="0" w:type="dxa"/>
            <w:bottom w:w="0" w:type="dxa"/>
            <w:right w:w="0" w:type="dxa"/>
          </w:tblCellMar>
        </w:tblPrEx>
        <w:trPr>
          <w:trHeight w:val="500" w:hRule="atLeast"/>
        </w:trPr>
        <w:tc>
          <w:tcPr>
            <w:tcW w:w="11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西合休2村农贸市场建设成本（万元/个）</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179.54</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179.54</w:t>
            </w:r>
          </w:p>
        </w:tc>
      </w:tr>
      <w:tr>
        <w:tblPrEx>
          <w:tblCellMar>
            <w:top w:w="0" w:type="dxa"/>
            <w:left w:w="0" w:type="dxa"/>
            <w:bottom w:w="0" w:type="dxa"/>
            <w:right w:w="0" w:type="dxa"/>
          </w:tblCellMar>
        </w:tblPrEx>
        <w:trPr>
          <w:trHeight w:val="500" w:hRule="atLeast"/>
        </w:trPr>
        <w:tc>
          <w:tcPr>
            <w:tcW w:w="11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2018年项目质保金（万元）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1.26</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1.26</w:t>
            </w:r>
          </w:p>
        </w:tc>
      </w:tr>
    </w:tbl>
    <w:p>
      <w:pPr>
        <w:spacing w:line="560" w:lineRule="exact"/>
        <w:ind w:firstLine="640" w:firstLineChars="200"/>
        <w:rPr>
          <w:rFonts w:ascii="仿宋_GB2312" w:eastAsia="仿宋_GB2312"/>
          <w:sz w:val="32"/>
          <w:szCs w:val="32"/>
        </w:rPr>
      </w:pPr>
    </w:p>
    <w:p>
      <w:pPr>
        <w:pStyle w:val="19"/>
        <w:numPr>
          <w:ilvl w:val="0"/>
          <w:numId w:val="7"/>
        </w:numPr>
        <w:spacing w:line="56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项目效益情况</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bCs/>
          <w:sz w:val="32"/>
          <w:szCs w:val="32"/>
          <w:lang w:bidi="ar"/>
        </w:rPr>
        <w:t>本项目以帮助</w:t>
      </w:r>
      <w:r>
        <w:rPr>
          <w:rFonts w:hint="eastAsia" w:ascii="仿宋_GB2312" w:hAnsi="仿宋" w:eastAsia="仿宋_GB2312" w:cs="宋体"/>
          <w:sz w:val="32"/>
          <w:szCs w:val="32"/>
          <w:lang w:bidi="ar"/>
        </w:rPr>
        <w:t>能够解决当地农牧民群众商品购买和物品交换困难等问题，可以夯实基层根基，突出核心地位，能够更好</w:t>
      </w:r>
      <w:r>
        <w:rPr>
          <w:rFonts w:hint="eastAsia" w:ascii="仿宋_GB2312" w:hAnsi="仿宋" w:eastAsia="仿宋_GB2312" w:cs="宋体"/>
          <w:sz w:val="32"/>
          <w:szCs w:val="32"/>
          <w:lang w:eastAsia="zh-CN" w:bidi="ar"/>
        </w:rPr>
        <w:t>地</w:t>
      </w:r>
      <w:r>
        <w:rPr>
          <w:rFonts w:hint="eastAsia" w:ascii="仿宋_GB2312" w:hAnsi="仿宋" w:eastAsia="仿宋_GB2312" w:cs="宋体"/>
          <w:sz w:val="32"/>
          <w:szCs w:val="32"/>
          <w:lang w:bidi="ar"/>
        </w:rPr>
        <w:t>服务群众，满足当地农牧民群众日常生产生活需求，可带动20户建档立卡贫困户家庭自主择业，改善生产生活条件。</w:t>
      </w:r>
      <w:r>
        <w:rPr>
          <w:rFonts w:hint="eastAsia" w:ascii="仿宋_GB2312" w:hAnsi="仿宋" w:eastAsia="仿宋_GB2312" w:cs="宋体"/>
          <w:bCs/>
          <w:sz w:val="32"/>
          <w:szCs w:val="32"/>
          <w:lang w:bidi="ar"/>
        </w:rPr>
        <w:t>经问卷调查，项目受益群众满意度为92%，部分达到预期目标。主要原因是项目完成时间较短，目标完成情况未完全体</w:t>
      </w:r>
      <w:r>
        <w:rPr>
          <w:rFonts w:hint="eastAsia" w:ascii="仿宋_GB2312" w:hAnsi="仿宋" w:eastAsia="仿宋_GB2312" w:cs="宋体"/>
          <w:sz w:val="32"/>
          <w:szCs w:val="32"/>
          <w:lang w:bidi="ar"/>
        </w:rPr>
        <w:t>现，下一步，我乡会持续加强项目保障对象关心爱护，确保目标完成情况完全体现。</w:t>
      </w:r>
    </w:p>
    <w:tbl>
      <w:tblPr>
        <w:tblStyle w:val="13"/>
        <w:tblW w:w="8342" w:type="dxa"/>
        <w:tblInd w:w="0" w:type="dxa"/>
        <w:tblLayout w:type="fixed"/>
        <w:tblCellMar>
          <w:top w:w="0" w:type="dxa"/>
          <w:left w:w="0" w:type="dxa"/>
          <w:bottom w:w="0" w:type="dxa"/>
          <w:right w:w="0" w:type="dxa"/>
        </w:tblCellMar>
      </w:tblPr>
      <w:tblGrid>
        <w:gridCol w:w="1180"/>
        <w:gridCol w:w="1006"/>
        <w:gridCol w:w="3280"/>
        <w:gridCol w:w="1335"/>
        <w:gridCol w:w="1541"/>
      </w:tblGrid>
      <w:tr>
        <w:tblPrEx>
          <w:tblCellMar>
            <w:top w:w="0" w:type="dxa"/>
            <w:left w:w="0" w:type="dxa"/>
            <w:bottom w:w="0" w:type="dxa"/>
            <w:right w:w="0" w:type="dxa"/>
          </w:tblCellMar>
        </w:tblPrEx>
        <w:trPr>
          <w:trHeight w:val="500" w:hRule="atLeast"/>
        </w:trPr>
        <w:tc>
          <w:tcPr>
            <w:tcW w:w="1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一级指标</w:t>
            </w:r>
          </w:p>
        </w:tc>
        <w:tc>
          <w:tcPr>
            <w:tcW w:w="100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二级指标</w:t>
            </w:r>
          </w:p>
        </w:tc>
        <w:tc>
          <w:tcPr>
            <w:tcW w:w="32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三级指标</w:t>
            </w:r>
          </w:p>
        </w:tc>
        <w:tc>
          <w:tcPr>
            <w:tcW w:w="13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年度指标值</w:t>
            </w:r>
          </w:p>
        </w:tc>
        <w:tc>
          <w:tcPr>
            <w:tcW w:w="154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实际完成值</w:t>
            </w:r>
          </w:p>
        </w:tc>
      </w:tr>
      <w:tr>
        <w:tblPrEx>
          <w:tblCellMar>
            <w:top w:w="0" w:type="dxa"/>
            <w:left w:w="0" w:type="dxa"/>
            <w:bottom w:w="0" w:type="dxa"/>
            <w:right w:w="0" w:type="dxa"/>
          </w:tblCellMar>
        </w:tblPrEx>
        <w:trPr>
          <w:trHeight w:val="500" w:hRule="atLeast"/>
        </w:trPr>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效益指标</w:t>
            </w:r>
          </w:p>
        </w:tc>
        <w:tc>
          <w:tcPr>
            <w:tcW w:w="100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经济效益指标</w:t>
            </w:r>
          </w:p>
        </w:tc>
        <w:tc>
          <w:tcPr>
            <w:tcW w:w="32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8"/>
                <w:szCs w:val="18"/>
              </w:rPr>
            </w:pPr>
          </w:p>
        </w:tc>
        <w:tc>
          <w:tcPr>
            <w:tcW w:w="13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54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r>
      <w:tr>
        <w:tblPrEx>
          <w:tblCellMar>
            <w:top w:w="0" w:type="dxa"/>
            <w:left w:w="0" w:type="dxa"/>
            <w:bottom w:w="0" w:type="dxa"/>
            <w:right w:w="0" w:type="dxa"/>
          </w:tblCellMar>
        </w:tblPrEx>
        <w:trPr>
          <w:trHeight w:val="500" w:hRule="atLeast"/>
        </w:trPr>
        <w:tc>
          <w:tcPr>
            <w:tcW w:w="11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06"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社会效益指标</w:t>
            </w:r>
          </w:p>
        </w:tc>
        <w:tc>
          <w:tcPr>
            <w:tcW w:w="3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项目提高农民就业率（%）</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82%</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82%</w:t>
            </w:r>
          </w:p>
        </w:tc>
      </w:tr>
      <w:tr>
        <w:tblPrEx>
          <w:tblCellMar>
            <w:top w:w="0" w:type="dxa"/>
            <w:left w:w="0" w:type="dxa"/>
            <w:bottom w:w="0" w:type="dxa"/>
            <w:right w:w="0" w:type="dxa"/>
          </w:tblCellMar>
        </w:tblPrEx>
        <w:trPr>
          <w:trHeight w:val="500" w:hRule="atLeast"/>
        </w:trPr>
        <w:tc>
          <w:tcPr>
            <w:tcW w:w="11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0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受益贫困户（人）</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1063</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850</w:t>
            </w:r>
          </w:p>
        </w:tc>
      </w:tr>
      <w:tr>
        <w:tblPrEx>
          <w:tblCellMar>
            <w:top w:w="0" w:type="dxa"/>
            <w:left w:w="0" w:type="dxa"/>
            <w:bottom w:w="0" w:type="dxa"/>
            <w:right w:w="0" w:type="dxa"/>
          </w:tblCellMar>
        </w:tblPrEx>
        <w:trPr>
          <w:trHeight w:val="500" w:hRule="atLeast"/>
        </w:trPr>
        <w:tc>
          <w:tcPr>
            <w:tcW w:w="11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0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生态效益指标</w:t>
            </w:r>
          </w:p>
        </w:tc>
        <w:tc>
          <w:tcPr>
            <w:tcW w:w="32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8"/>
                <w:szCs w:val="18"/>
              </w:rPr>
            </w:pPr>
          </w:p>
        </w:tc>
        <w:tc>
          <w:tcPr>
            <w:tcW w:w="13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54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r>
      <w:tr>
        <w:tblPrEx>
          <w:tblCellMar>
            <w:top w:w="0" w:type="dxa"/>
            <w:left w:w="0" w:type="dxa"/>
            <w:bottom w:w="0" w:type="dxa"/>
            <w:right w:w="0" w:type="dxa"/>
          </w:tblCellMar>
        </w:tblPrEx>
        <w:trPr>
          <w:trHeight w:val="500" w:hRule="atLeast"/>
        </w:trPr>
        <w:tc>
          <w:tcPr>
            <w:tcW w:w="11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可持续影响指标</w:t>
            </w:r>
          </w:p>
        </w:tc>
        <w:tc>
          <w:tcPr>
            <w:tcW w:w="32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项目可持续年限（年）</w:t>
            </w:r>
          </w:p>
        </w:tc>
        <w:tc>
          <w:tcPr>
            <w:tcW w:w="13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154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w:t>
            </w:r>
          </w:p>
        </w:tc>
      </w:tr>
      <w:tr>
        <w:tblPrEx>
          <w:tblCellMar>
            <w:top w:w="0" w:type="dxa"/>
            <w:left w:w="0" w:type="dxa"/>
            <w:bottom w:w="0" w:type="dxa"/>
            <w:right w:w="0" w:type="dxa"/>
          </w:tblCellMar>
        </w:tblPrEx>
        <w:trPr>
          <w:trHeight w:val="500" w:hRule="atLeast"/>
        </w:trPr>
        <w:tc>
          <w:tcPr>
            <w:tcW w:w="11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满意度指标</w:t>
            </w:r>
          </w:p>
        </w:tc>
        <w:tc>
          <w:tcPr>
            <w:tcW w:w="100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服务对象满意度指标</w:t>
            </w:r>
          </w:p>
        </w:tc>
        <w:tc>
          <w:tcPr>
            <w:tcW w:w="3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受益人员满意率（%）</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≥98%</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98%</w:t>
            </w:r>
          </w:p>
        </w:tc>
      </w:tr>
    </w:tbl>
    <w:p>
      <w:pPr>
        <w:spacing w:line="560" w:lineRule="exact"/>
        <w:ind w:firstLine="640" w:firstLineChars="200"/>
        <w:rPr>
          <w:rFonts w:ascii="仿宋_GB2312" w:hAnsi="仿宋" w:eastAsia="仿宋_GB2312" w:cs="宋体"/>
          <w:sz w:val="32"/>
          <w:szCs w:val="32"/>
          <w:lang w:bidi="ar"/>
        </w:rPr>
      </w:pPr>
    </w:p>
    <w:p>
      <w:pPr>
        <w:pStyle w:val="23"/>
        <w:keepNext w:val="0"/>
        <w:keepLines w:val="0"/>
        <w:numPr>
          <w:ilvl w:val="0"/>
          <w:numId w:val="2"/>
        </w:numPr>
        <w:spacing w:before="0" w:after="0" w:line="560" w:lineRule="exact"/>
        <w:ind w:left="0" w:firstLine="643"/>
        <w:rPr>
          <w:lang w:bidi="ar"/>
        </w:rPr>
      </w:pPr>
      <w:r>
        <w:rPr>
          <w:rFonts w:hint="eastAsia" w:ascii="黑体" w:hAnsi="黑体"/>
        </w:rPr>
        <w:t>主要经验及做法、存在的问题及原因分析</w:t>
      </w:r>
    </w:p>
    <w:p>
      <w:pPr>
        <w:pStyle w:val="25"/>
        <w:keepNext w:val="0"/>
        <w:keepLines w:val="0"/>
        <w:numPr>
          <w:ilvl w:val="0"/>
          <w:numId w:val="8"/>
        </w:numPr>
        <w:spacing w:before="0" w:after="0" w:line="560" w:lineRule="exact"/>
        <w:ind w:left="0" w:firstLine="643" w:firstLineChars="200"/>
        <w:rPr>
          <w:lang w:bidi="ar"/>
        </w:rPr>
      </w:pPr>
      <w:r>
        <w:rPr>
          <w:rFonts w:hint="eastAsia"/>
          <w:lang w:bidi="ar"/>
        </w:rPr>
        <w:t>主要经验及做法</w:t>
      </w:r>
    </w:p>
    <w:p>
      <w:pPr>
        <w:pStyle w:val="25"/>
        <w:keepNext w:val="0"/>
        <w:keepLines w:val="0"/>
        <w:numPr>
          <w:ilvl w:val="0"/>
          <w:numId w:val="0"/>
        </w:numPr>
        <w:spacing w:before="0" w:after="0" w:line="560" w:lineRule="exact"/>
        <w:ind w:firstLine="640" w:firstLineChars="200"/>
        <w:rPr>
          <w:b w:val="0"/>
          <w:lang w:bidi="ar"/>
        </w:rPr>
      </w:pPr>
      <w:r>
        <w:rPr>
          <w:rFonts w:hint="eastAsia"/>
          <w:b w:val="0"/>
          <w:lang w:bidi="ar"/>
        </w:rPr>
        <w:t>本项目根据叶城县发展和改革委员会文件做好农贸市场建设脱贫攻坚相关工作的通知，按照自治区新财扶【2019】19号、喀地财扶【2019】18号文件精神，以“三最两就”原则，制定《西合休乡农贸市场建设项目资金管理制度》，完善我乡2村农贸建设体系，解决当地农牧民群众商品购买和物品交换等问题，可带动20户建档立卡贫困家庭自主择业，实现就地就近就业，改善生活水平。按照《会计法》、《预算法》、财政国库集中支付制度执行，跟踪考核机制完善且运行有效，提高农民就业率，明显改善了其生活条件。</w:t>
      </w:r>
    </w:p>
    <w:p>
      <w:pPr>
        <w:pStyle w:val="25"/>
        <w:keepNext w:val="0"/>
        <w:keepLines w:val="0"/>
        <w:numPr>
          <w:ilvl w:val="0"/>
          <w:numId w:val="0"/>
        </w:numPr>
        <w:spacing w:before="0" w:after="0" w:line="560" w:lineRule="exact"/>
        <w:ind w:firstLine="640" w:firstLineChars="200"/>
        <w:rPr>
          <w:lang w:bidi="ar"/>
        </w:rPr>
      </w:pPr>
      <w:r>
        <w:rPr>
          <w:rFonts w:hint="eastAsia"/>
          <w:b w:val="0"/>
          <w:lang w:bidi="ar"/>
        </w:rPr>
        <w:t>(二）</w:t>
      </w:r>
      <w:r>
        <w:rPr>
          <w:rFonts w:hint="eastAsia"/>
          <w:lang w:bidi="ar"/>
        </w:rPr>
        <w:t>存在的问题及原因分析</w:t>
      </w:r>
    </w:p>
    <w:p>
      <w:pPr>
        <w:pStyle w:val="25"/>
        <w:keepNext w:val="0"/>
        <w:keepLines w:val="0"/>
        <w:numPr>
          <w:ilvl w:val="0"/>
          <w:numId w:val="0"/>
        </w:numPr>
        <w:spacing w:before="0" w:after="0" w:line="560" w:lineRule="exact"/>
        <w:ind w:firstLine="640" w:firstLineChars="200"/>
        <w:rPr>
          <w:b w:val="0"/>
          <w:lang w:bidi="ar"/>
        </w:rPr>
      </w:pPr>
      <w:r>
        <w:rPr>
          <w:rFonts w:hint="eastAsia"/>
          <w:b w:val="0"/>
          <w:lang w:bidi="ar"/>
        </w:rPr>
        <w:t>1、因项目前期确定资金使用范围内人员身份识别不精准等原因，导致项目资金支付滞缓，影响了项目实施的进度，造成了部分资金未及时充分发挥效益；</w:t>
      </w:r>
    </w:p>
    <w:p>
      <w:pPr>
        <w:pStyle w:val="25"/>
        <w:keepNext w:val="0"/>
        <w:keepLines w:val="0"/>
        <w:numPr>
          <w:ilvl w:val="0"/>
          <w:numId w:val="0"/>
        </w:numPr>
        <w:spacing w:before="0" w:after="0" w:line="560" w:lineRule="exact"/>
        <w:ind w:firstLine="640" w:firstLineChars="200"/>
        <w:rPr>
          <w:b w:val="0"/>
          <w:lang w:bidi="ar"/>
        </w:rPr>
      </w:pPr>
      <w:r>
        <w:rPr>
          <w:rFonts w:hint="eastAsia"/>
          <w:b w:val="0"/>
          <w:lang w:bidi="ar"/>
        </w:rPr>
        <w:t>2、对项目实施过程中遇到的实际问题准备不充分，导致项目招投标、采购、验收等工作存在不连贯、不熟练的现象，需加强相关人员的业务及操作能力培训。</w:t>
      </w:r>
    </w:p>
    <w:p>
      <w:pPr>
        <w:pStyle w:val="23"/>
        <w:numPr>
          <w:ilvl w:val="0"/>
          <w:numId w:val="2"/>
        </w:numPr>
        <w:spacing w:before="0" w:after="0" w:line="560" w:lineRule="exact"/>
        <w:ind w:left="0" w:firstLine="643"/>
        <w:rPr>
          <w:rFonts w:ascii="黑体" w:hAnsi="黑体"/>
        </w:rPr>
      </w:pPr>
      <w:r>
        <w:rPr>
          <w:rFonts w:hint="eastAsia" w:ascii="黑体" w:hAnsi="黑体"/>
        </w:rPr>
        <w:t>有关建议</w:t>
      </w:r>
    </w:p>
    <w:p>
      <w:pPr>
        <w:pStyle w:val="23"/>
        <w:numPr>
          <w:ilvl w:val="0"/>
          <w:numId w:val="9"/>
        </w:numPr>
        <w:spacing w:before="0" w:after="0" w:line="560" w:lineRule="exact"/>
        <w:ind w:firstLine="640"/>
        <w:rPr>
          <w:rFonts w:ascii="仿宋_GB2312" w:hAnsi="仿宋_GB2312" w:eastAsia="仿宋_GB2312" w:cs="仿宋_GB2312"/>
          <w:b w:val="0"/>
        </w:rPr>
      </w:pPr>
      <w:r>
        <w:rPr>
          <w:rFonts w:hint="eastAsia" w:ascii="仿宋_GB2312" w:hAnsi="仿宋_GB2312" w:eastAsia="仿宋_GB2312" w:cs="仿宋_GB2312"/>
          <w:b w:val="0"/>
        </w:rPr>
        <w:t>持续加强财务管理，加快资金支付力度。在支付报账是，严格按照预算规定的项目范围、用途及使用规则审核支付，坚决杜绝超支现象的发生。</w:t>
      </w:r>
    </w:p>
    <w:p>
      <w:pPr>
        <w:pStyle w:val="23"/>
        <w:spacing w:before="0" w:after="0" w:line="560" w:lineRule="exact"/>
        <w:ind w:firstLine="640"/>
        <w:rPr>
          <w:rFonts w:ascii="黑体" w:hAnsi="黑体"/>
          <w:b w:val="0"/>
        </w:rPr>
      </w:pPr>
      <w:r>
        <w:rPr>
          <w:rFonts w:hint="eastAsia" w:ascii="仿宋_GB2312" w:hAnsi="仿宋_GB2312" w:eastAsia="仿宋_GB2312" w:cs="仿宋_GB2312"/>
          <w:b w:val="0"/>
        </w:rPr>
        <w:t>2、持续加强项目开展情况的跟踪监控，严格按照项目进度及时拨付资金，使资金使用效益最大化，减少不必要的浪费，节约成本。</w:t>
      </w:r>
    </w:p>
    <w:p>
      <w:pPr>
        <w:pStyle w:val="23"/>
        <w:numPr>
          <w:ilvl w:val="0"/>
          <w:numId w:val="2"/>
        </w:numPr>
        <w:spacing w:before="0" w:after="0" w:line="560" w:lineRule="exact"/>
        <w:ind w:left="0" w:firstLine="643"/>
        <w:rPr>
          <w:rFonts w:ascii="黑体" w:hAnsi="黑体"/>
        </w:rPr>
      </w:pPr>
      <w:r>
        <w:rPr>
          <w:rFonts w:hint="eastAsia" w:ascii="黑体" w:hAnsi="黑体"/>
        </w:rPr>
        <w:t>其他需要说明的问题</w:t>
      </w:r>
    </w:p>
    <w:p>
      <w:pPr>
        <w:pStyle w:val="23"/>
        <w:spacing w:before="0" w:after="0" w:line="560" w:lineRule="exact"/>
        <w:ind w:firstLine="640"/>
        <w:rPr>
          <w:rFonts w:ascii="仿宋_GB2312" w:hAnsi="仿宋_GB2312" w:eastAsia="仿宋_GB2312" w:cs="仿宋_GB2312"/>
          <w:b w:val="0"/>
        </w:rPr>
      </w:pPr>
      <w:r>
        <w:rPr>
          <w:rFonts w:hint="eastAsia" w:ascii="仿宋_GB2312" w:hAnsi="仿宋_GB2312" w:eastAsia="仿宋_GB2312" w:cs="仿宋_GB2312"/>
          <w:b w:val="0"/>
        </w:rPr>
        <w:t>无其他说明问题。</w:t>
      </w:r>
    </w:p>
    <w:p>
      <w:pPr>
        <w:spacing w:line="560" w:lineRule="exact"/>
        <w:ind w:firstLine="640" w:firstLineChars="200"/>
        <w:rPr>
          <w:rFonts w:ascii="仿宋_GB2312" w:hAnsi="仿宋" w:eastAsia="仿宋_GB2312" w:cs="宋体"/>
          <w:sz w:val="32"/>
          <w:szCs w:val="32"/>
          <w:lang w:bidi="ar"/>
        </w:rPr>
      </w:pPr>
    </w:p>
    <w:p>
      <w:pPr>
        <w:spacing w:line="560" w:lineRule="exact"/>
        <w:ind w:firstLine="640" w:firstLineChars="200"/>
        <w:rPr>
          <w:rFonts w:ascii="仿宋_GB2312" w:hAnsi="仿宋" w:eastAsia="仿宋_GB2312" w:cs="宋体"/>
          <w:sz w:val="32"/>
          <w:szCs w:val="32"/>
          <w:lang w:bidi="ar"/>
        </w:rPr>
      </w:pP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附件1：喀什地区西合休乡人民政府农贸市场建设项目支出绩效目标申报表</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附件2：喀什地区西合休乡人民政府农贸市场建设项目支出绩效自评表</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附件3：喀什地区西合休乡人民政府农贸市场建设项目支出绩效评价指标体系</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932666"/>
    <w:multiLevelType w:val="singleLevel"/>
    <w:tmpl w:val="CB932666"/>
    <w:lvl w:ilvl="0" w:tentative="0">
      <w:start w:val="1"/>
      <w:numFmt w:val="decimal"/>
      <w:lvlText w:val="%1."/>
      <w:lvlJc w:val="left"/>
      <w:pPr>
        <w:tabs>
          <w:tab w:val="left" w:pos="312"/>
        </w:tabs>
      </w:pPr>
    </w:lvl>
  </w:abstractNum>
  <w:abstractNum w:abstractNumId="1">
    <w:nsid w:val="2A818E78"/>
    <w:multiLevelType w:val="singleLevel"/>
    <w:tmpl w:val="2A818E78"/>
    <w:lvl w:ilvl="0" w:tentative="0">
      <w:start w:val="1"/>
      <w:numFmt w:val="decimal"/>
      <w:suff w:val="nothing"/>
      <w:lvlText w:val="%1、"/>
      <w:lvlJc w:val="left"/>
    </w:lvl>
  </w:abstractNum>
  <w:abstractNum w:abstractNumId="2">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3">
    <w:nsid w:val="3A7260C0"/>
    <w:multiLevelType w:val="multilevel"/>
    <w:tmpl w:val="3A7260C0"/>
    <w:lvl w:ilvl="0" w:tentative="0">
      <w:start w:val="1"/>
      <w:numFmt w:val="chineseCountingThousand"/>
      <w:pStyle w:val="2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42CA2D0"/>
    <w:multiLevelType w:val="singleLevel"/>
    <w:tmpl w:val="542CA2D0"/>
    <w:lvl w:ilvl="0" w:tentative="0">
      <w:start w:val="1"/>
      <w:numFmt w:val="decimal"/>
      <w:lvlText w:val="%1."/>
      <w:lvlJc w:val="left"/>
      <w:pPr>
        <w:tabs>
          <w:tab w:val="left" w:pos="312"/>
        </w:tabs>
      </w:pPr>
    </w:lvl>
  </w:abstractNum>
  <w:abstractNum w:abstractNumId="6">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7">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3"/>
  </w:num>
  <w:num w:numId="2">
    <w:abstractNumId w:val="7"/>
  </w:num>
  <w:num w:numId="3">
    <w:abstractNumId w:val="5"/>
  </w:num>
  <w:num w:numId="4">
    <w:abstractNumId w:val="4"/>
  </w:num>
  <w:num w:numId="5">
    <w:abstractNumId w:val="0"/>
  </w:num>
  <w:num w:numId="6">
    <w:abstractNumId w:val="2"/>
  </w:num>
  <w:num w:numId="7">
    <w:abstractNumId w:val="6"/>
  </w:num>
  <w:num w:numId="8">
    <w:abstractNumId w:val="3"/>
    <w:lvlOverride w:ilvl="0">
      <w:startOverride w:val="1"/>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0"/>
  <w:drawingGridHorizontalSpacing w:val="210"/>
  <w:drawingGridVerticalSpacing w:val="158"/>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15C2F"/>
    <w:rsid w:val="00020668"/>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377AF"/>
    <w:rsid w:val="00F6015C"/>
    <w:rsid w:val="00F75715"/>
    <w:rsid w:val="00FB2E2F"/>
    <w:rsid w:val="00FD300A"/>
    <w:rsid w:val="00FF137F"/>
    <w:rsid w:val="00FF6959"/>
    <w:rsid w:val="00FF6C14"/>
    <w:rsid w:val="01BE6316"/>
    <w:rsid w:val="02C1593F"/>
    <w:rsid w:val="07AE4845"/>
    <w:rsid w:val="114F5B3E"/>
    <w:rsid w:val="169D1351"/>
    <w:rsid w:val="171D4D94"/>
    <w:rsid w:val="18A77216"/>
    <w:rsid w:val="217F35A7"/>
    <w:rsid w:val="22FF3D99"/>
    <w:rsid w:val="246477AA"/>
    <w:rsid w:val="24987339"/>
    <w:rsid w:val="24E73B1F"/>
    <w:rsid w:val="25803C28"/>
    <w:rsid w:val="26F03C06"/>
    <w:rsid w:val="2A547683"/>
    <w:rsid w:val="306A4501"/>
    <w:rsid w:val="307B35D2"/>
    <w:rsid w:val="31C366C0"/>
    <w:rsid w:val="33CA34B6"/>
    <w:rsid w:val="3BC01B4C"/>
    <w:rsid w:val="3C7135AF"/>
    <w:rsid w:val="3EA14672"/>
    <w:rsid w:val="43E83807"/>
    <w:rsid w:val="459E2476"/>
    <w:rsid w:val="46C16BC4"/>
    <w:rsid w:val="509F44DE"/>
    <w:rsid w:val="55945462"/>
    <w:rsid w:val="57964064"/>
    <w:rsid w:val="59570767"/>
    <w:rsid w:val="599E09EC"/>
    <w:rsid w:val="5A781A20"/>
    <w:rsid w:val="5F061D64"/>
    <w:rsid w:val="628F387E"/>
    <w:rsid w:val="667765BF"/>
    <w:rsid w:val="672A3B0F"/>
    <w:rsid w:val="68AC0EA3"/>
    <w:rsid w:val="743D65DB"/>
    <w:rsid w:val="76EB41BA"/>
    <w:rsid w:val="7775238E"/>
    <w:rsid w:val="7A8638D9"/>
    <w:rsid w:val="7D1E1208"/>
    <w:rsid w:val="7D434B52"/>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toc 3"/>
    <w:basedOn w:val="1"/>
    <w:next w:val="1"/>
    <w:semiHidden/>
    <w:unhideWhenUsed/>
    <w:qFormat/>
    <w:uiPriority w:val="39"/>
    <w:rPr>
      <w:rFonts w:eastAsia="仿宋_GB2312"/>
      <w:sz w:val="28"/>
    </w:r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customStyle="1" w:styleId="18">
    <w:name w:val="标题 1 字符"/>
    <w:basedOn w:val="15"/>
    <w:link w:val="2"/>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字符"/>
    <w:basedOn w:val="15"/>
    <w:link w:val="9"/>
    <w:qFormat/>
    <w:uiPriority w:val="99"/>
    <w:rPr>
      <w:sz w:val="18"/>
      <w:szCs w:val="18"/>
    </w:rPr>
  </w:style>
  <w:style w:type="character" w:customStyle="1" w:styleId="21">
    <w:name w:val="页脚 字符"/>
    <w:basedOn w:val="15"/>
    <w:link w:val="8"/>
    <w:qFormat/>
    <w:uiPriority w:val="99"/>
    <w:rPr>
      <w:sz w:val="18"/>
      <w:szCs w:val="18"/>
    </w:rPr>
  </w:style>
  <w:style w:type="character" w:customStyle="1" w:styleId="22">
    <w:name w:val="批注框文本 字符"/>
    <w:basedOn w:val="15"/>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字符"/>
    <w:basedOn w:val="15"/>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字符"/>
    <w:basedOn w:val="15"/>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5"/>
    <w:link w:val="35"/>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BA7F2B-2AE7-4B9F-94AA-2A67D1506768}">
  <ds:schemaRefs/>
</ds:datastoreItem>
</file>

<file path=docProps/app.xml><?xml version="1.0" encoding="utf-8"?>
<Properties xmlns="http://schemas.openxmlformats.org/officeDocument/2006/extended-properties" xmlns:vt="http://schemas.openxmlformats.org/officeDocument/2006/docPropsVTypes">
  <Template>Normal</Template>
  <Pages>1</Pages>
  <Words>992</Words>
  <Characters>5658</Characters>
  <Lines>47</Lines>
  <Paragraphs>13</Paragraphs>
  <TotalTime>6</TotalTime>
  <ScaleCrop>false</ScaleCrop>
  <LinksUpToDate>false</LinksUpToDate>
  <CharactersWithSpaces>6637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2023-12-13T03:47:30Z</dcterms:modified>
  <dc:title>新疆普天鹏华商务信息咨询有限公司</dc:title>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