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喀什地区叶城县村级运转经费项目支出绩效评价报告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项目名称：村级运转经费项目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实施单位：叶城县西城区片区管理委员会</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评价部门：叶城县西城区片区管理委员会</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2"/>
        <w:numPr>
          <w:ilvl w:val="0"/>
          <w:numId w:val="2"/>
        </w:numPr>
        <w:spacing w:before="0" w:after="0" w:line="560" w:lineRule="exact"/>
        <w:ind w:left="0" w:firstLine="643"/>
        <w:rPr>
          <w:lang w:bidi="ar"/>
        </w:rPr>
      </w:pPr>
      <w:r>
        <w:rPr>
          <w:rFonts w:hint="eastAsia"/>
          <w:lang w:bidi="ar"/>
        </w:rPr>
        <w:t>基本情况</w:t>
      </w:r>
    </w:p>
    <w:p>
      <w:pPr>
        <w:pStyle w:val="24"/>
        <w:spacing w:before="0" w:after="0" w:line="560" w:lineRule="exact"/>
        <w:ind w:left="0" w:firstLine="643" w:firstLineChars="200"/>
        <w:rPr>
          <w:rFonts w:hAnsi="仿宋" w:cs="宋体"/>
          <w:lang w:bidi="ar"/>
        </w:rPr>
      </w:pPr>
      <w:bookmarkStart w:id="0" w:name="_Toc26401549"/>
      <w:r>
        <w:rPr>
          <w:rFonts w:hint="eastAsia"/>
          <w:lang w:bidi="ar"/>
        </w:rPr>
        <w:t>项目概况</w:t>
      </w:r>
      <w:bookmarkEnd w:id="0"/>
    </w:p>
    <w:p>
      <w:pPr>
        <w:pStyle w:val="18"/>
        <w:numPr>
          <w:ilvl w:val="0"/>
          <w:numId w:val="3"/>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本项目根据新财预（2019）0073号文件、喀地财预（2019）51号文件等相关规定立项，叶城县西城区片区管理委员会该项项目资金230.61万元，保证全区9个社区正常运转，确保日常办公经费支出，夯实基层群众基础。</w:t>
      </w:r>
    </w:p>
    <w:p>
      <w:pPr>
        <w:pStyle w:val="18"/>
        <w:numPr>
          <w:ilvl w:val="0"/>
          <w:numId w:val="3"/>
        </w:numPr>
        <w:spacing w:line="560" w:lineRule="exact"/>
        <w:ind w:left="0" w:firstLine="64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本项目资金按照新财预（2019）0073号文件、喀地财预（2019）51号文件，</w:t>
      </w:r>
      <w:r>
        <w:rPr>
          <w:rFonts w:hint="eastAsia" w:ascii="仿宋_GB2312" w:hAnsi="仿宋_GB2312" w:eastAsia="仿宋_GB2312" w:cs="仿宋_GB2312"/>
          <w:bCs/>
          <w:sz w:val="32"/>
          <w:szCs w:val="32"/>
        </w:rPr>
        <w:t>西城区2019年社区级运转经费项目主要用于保证全区9个社区正常运转，确保日常办公经费支出，夯实基层群众基础。共涉及叶城县西城区片区管理委员会1个单位。按照年度预算，此项资金按时支出，保证全区9个社区正常运转，确保日常办公经费支出，夯实基层群众基础。</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叶城县西城区片区管理委员会属党政机关行政部门，正科级行政单位，辖9个社区，全区有维、回、汉等种族居民22020人，农户5645户，全区维吾尔族占98%，西城区属城区结合部，主要以第三产业为主。下设党政办、社会事务办、经济办、党建办四个部门。行政编制19人；事业编制6人，参公编制28人，共计编制数为53人，区机关实有在职人数98人，行政在职58人，事业在职40人，退休人员1人。</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主要职能：负责全区党政行政管理事务。以贯彻落实</w:t>
      </w:r>
      <w:r>
        <w:rPr>
          <w:rFonts w:hint="eastAsia" w:ascii="仿宋_GB2312" w:hAnsi="仿宋" w:eastAsia="仿宋_GB2312" w:cs="宋体"/>
          <w:sz w:val="32"/>
          <w:szCs w:val="32"/>
          <w:lang w:eastAsia="zh-CN" w:bidi="ar"/>
        </w:rPr>
        <w:t>上级文件精神</w:t>
      </w:r>
      <w:bookmarkStart w:id="8" w:name="_GoBack"/>
      <w:bookmarkEnd w:id="8"/>
      <w:r>
        <w:rPr>
          <w:rFonts w:hint="eastAsia" w:ascii="仿宋_GB2312" w:hAnsi="仿宋" w:eastAsia="仿宋_GB2312" w:cs="宋体"/>
          <w:sz w:val="32"/>
          <w:szCs w:val="32"/>
          <w:lang w:bidi="ar"/>
        </w:rPr>
        <w:t>，把党的各项优惠政策落实到实处，负责全区经济社会发展、社会事务管理、基层组织建设等全面工作。以全面建设社会主义智慧型社区为根本出发点，不断深化美丽城区建设为总目标，不断铸牢全区经济社会发展基础，为全区种族群众提供社会服务。</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3.项目负责人为彭继泉，主要职责为运转经费项目</w:t>
      </w:r>
      <w:r>
        <w:rPr>
          <w:rFonts w:ascii="仿宋_GB2312" w:hAnsi="仿宋" w:eastAsia="仿宋_GB2312" w:cs="宋体"/>
          <w:sz w:val="32"/>
          <w:szCs w:val="32"/>
          <w:lang w:bidi="ar"/>
        </w:rPr>
        <w:t>资金管理办法</w:t>
      </w:r>
      <w:r>
        <w:rPr>
          <w:rFonts w:hint="eastAsia" w:ascii="仿宋_GB2312" w:hAnsi="仿宋" w:eastAsia="仿宋_GB2312" w:cs="宋体"/>
          <w:sz w:val="32"/>
          <w:szCs w:val="32"/>
          <w:lang w:bidi="ar"/>
        </w:rPr>
        <w:t>，确保项目资金按照</w:t>
      </w:r>
      <w:r>
        <w:rPr>
          <w:rFonts w:ascii="仿宋_GB2312" w:hAnsi="仿宋" w:eastAsia="仿宋_GB2312" w:cs="宋体"/>
          <w:sz w:val="32"/>
          <w:szCs w:val="32"/>
          <w:lang w:bidi="ar"/>
        </w:rPr>
        <w:t>财政资金管理制度</w:t>
      </w:r>
      <w:r>
        <w:rPr>
          <w:rFonts w:hint="eastAsia" w:ascii="仿宋_GB2312" w:hAnsi="仿宋" w:eastAsia="仿宋_GB2312" w:cs="宋体"/>
          <w:sz w:val="32"/>
          <w:szCs w:val="32"/>
          <w:lang w:bidi="ar"/>
        </w:rPr>
        <w:t>进行</w:t>
      </w:r>
      <w:r>
        <w:rPr>
          <w:rFonts w:ascii="仿宋_GB2312" w:hAnsi="仿宋" w:eastAsia="仿宋_GB2312" w:cs="宋体"/>
          <w:sz w:val="32"/>
          <w:szCs w:val="32"/>
          <w:lang w:bidi="ar"/>
        </w:rPr>
        <w:t>支付</w:t>
      </w:r>
      <w:r>
        <w:rPr>
          <w:rFonts w:hint="eastAsia" w:ascii="仿宋_GB2312" w:hAnsi="仿宋" w:eastAsia="仿宋_GB2312" w:cs="宋体"/>
          <w:sz w:val="32"/>
          <w:szCs w:val="32"/>
          <w:lang w:bidi="ar"/>
        </w:rPr>
        <w:t>，同时负责项目相关手续</w:t>
      </w:r>
      <w:r>
        <w:rPr>
          <w:rFonts w:ascii="仿宋_GB2312" w:hAnsi="仿宋" w:eastAsia="仿宋_GB2312" w:cs="宋体"/>
          <w:sz w:val="32"/>
          <w:szCs w:val="32"/>
          <w:lang w:bidi="ar"/>
        </w:rPr>
        <w:t>审批审核</w:t>
      </w:r>
      <w:r>
        <w:rPr>
          <w:rFonts w:hint="eastAsia" w:ascii="仿宋_GB2312" w:hAnsi="仿宋" w:eastAsia="仿宋_GB2312" w:cs="宋体"/>
          <w:sz w:val="32"/>
          <w:szCs w:val="32"/>
          <w:lang w:bidi="ar"/>
        </w:rPr>
        <w:t>，确保</w:t>
      </w:r>
      <w:r>
        <w:rPr>
          <w:rFonts w:ascii="仿宋_GB2312" w:hAnsi="仿宋" w:eastAsia="仿宋_GB2312" w:cs="宋体"/>
          <w:sz w:val="32"/>
          <w:szCs w:val="32"/>
          <w:lang w:bidi="ar"/>
        </w:rPr>
        <w:t>资金的支付有完整的审批程序和手续符合制度要求。</w:t>
      </w:r>
    </w:p>
    <w:p>
      <w:pPr>
        <w:pStyle w:val="24"/>
        <w:spacing w:before="0" w:after="0" w:line="560" w:lineRule="exact"/>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w:t>
      </w:r>
      <w:r>
        <w:rPr>
          <w:rFonts w:hint="eastAsia" w:ascii="仿宋_GB2312" w:hAnsi="仿宋_GB2312" w:eastAsia="仿宋_GB2312" w:cs="仿宋_GB2312"/>
          <w:bCs/>
          <w:sz w:val="32"/>
          <w:szCs w:val="32"/>
        </w:rPr>
        <w:t>230.61万</w:t>
      </w:r>
      <w:r>
        <w:rPr>
          <w:rFonts w:hint="eastAsia" w:ascii="仿宋_GB2312" w:hAnsi="仿宋" w:eastAsia="仿宋_GB2312" w:cs="宋体"/>
          <w:sz w:val="32"/>
          <w:szCs w:val="32"/>
          <w:lang w:bidi="ar"/>
        </w:rPr>
        <w:t>元，资金来源为自治区专项资金</w:t>
      </w:r>
      <w:r>
        <w:rPr>
          <w:rFonts w:hint="eastAsia" w:ascii="仿宋_GB2312" w:hAnsi="仿宋_GB2312" w:eastAsia="仿宋_GB2312" w:cs="仿宋_GB2312"/>
          <w:bCs/>
          <w:sz w:val="32"/>
          <w:szCs w:val="32"/>
        </w:rPr>
        <w:t>230.61万</w:t>
      </w:r>
      <w:r>
        <w:rPr>
          <w:rFonts w:hint="eastAsia" w:ascii="仿宋_GB2312" w:hAnsi="仿宋" w:eastAsia="仿宋_GB2312" w:cs="宋体"/>
          <w:sz w:val="32"/>
          <w:szCs w:val="32"/>
          <w:lang w:bidi="ar"/>
        </w:rPr>
        <w:t>元。此项资金的使用范围：新财预（2019）0073号文件、喀地财预（2019）51号文件精神，</w:t>
      </w:r>
      <w:r>
        <w:rPr>
          <w:rFonts w:hint="eastAsia" w:ascii="仿宋_GB2312" w:hAnsi="仿宋_GB2312" w:eastAsia="仿宋_GB2312" w:cs="仿宋_GB2312"/>
          <w:bCs/>
          <w:sz w:val="32"/>
          <w:szCs w:val="32"/>
        </w:rPr>
        <w:t>保证全区9个社区正常运转，确保日常办公经费支出，夯实基层群众基础。下达资金预算金额为230.61万元，</w:t>
      </w:r>
      <w:r>
        <w:rPr>
          <w:rFonts w:hint="eastAsia" w:ascii="仿宋_GB2312" w:hAnsi="仿宋" w:eastAsia="仿宋_GB2312" w:cs="宋体"/>
          <w:sz w:val="32"/>
          <w:szCs w:val="32"/>
          <w:lang w:bidi="ar"/>
        </w:rPr>
        <w:t>资金来源为自治区专项资金230.61万元。</w:t>
      </w:r>
      <w:r>
        <w:rPr>
          <w:rFonts w:hint="eastAsia" w:ascii="仿宋_GB2312" w:hAnsi="仿宋_GB2312" w:eastAsia="仿宋_GB2312" w:cs="仿宋_GB2312"/>
          <w:sz w:val="32"/>
          <w:szCs w:val="32"/>
        </w:rPr>
        <w:t>资金到位率100%。本项目实际支付资金230.61万元，预算执行率100%。</w:t>
      </w:r>
      <w:r>
        <w:rPr>
          <w:rFonts w:hint="eastAsia" w:ascii="仿宋_GB2312" w:hAnsi="仿宋" w:eastAsia="仿宋_GB2312" w:cs="宋体"/>
          <w:sz w:val="32"/>
          <w:szCs w:val="32"/>
          <w:lang w:bidi="ar"/>
        </w:rPr>
        <w:t>叶城县西城区片区管理委员会制定了运转经费项目资金管理办法，资金完全按照新财预（2019）0073号文件、喀地财预（2019）51号文件及实施方案进行使用。</w:t>
      </w:r>
    </w:p>
    <w:p>
      <w:pPr>
        <w:pStyle w:val="24"/>
        <w:spacing w:before="0" w:after="0" w:line="560" w:lineRule="exact"/>
        <w:ind w:left="0" w:firstLine="643" w:firstLineChars="200"/>
        <w:rPr>
          <w:lang w:bidi="ar"/>
        </w:rPr>
      </w:pPr>
      <w:bookmarkStart w:id="2" w:name="_Toc26401551"/>
      <w:r>
        <w:rPr>
          <w:rFonts w:hint="eastAsia"/>
          <w:lang w:bidi="ar"/>
        </w:rPr>
        <w:t>绩效目标</w:t>
      </w:r>
      <w:bookmarkEnd w:id="2"/>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总体目标为：西城区2019年运转经费项目主要用于</w:t>
      </w:r>
      <w:r>
        <w:rPr>
          <w:rFonts w:hint="eastAsia" w:ascii="仿宋_GB2312" w:hAnsi="仿宋_GB2312" w:eastAsia="仿宋_GB2312" w:cs="仿宋_GB2312"/>
          <w:bCs/>
          <w:sz w:val="32"/>
          <w:szCs w:val="32"/>
        </w:rPr>
        <w:t>保证全区9个社区正常运转，确保日常办公经费支出，夯实基层群众基础。共涉及叶城县西城区片区管理委员会1个单位。按照年度预算，此项资金按时支出，保证全区9个社区正常运转，确保日常办公经费支出，夯实基层群众基础。</w:t>
      </w:r>
    </w:p>
    <w:p>
      <w:pPr>
        <w:pStyle w:val="22"/>
        <w:numPr>
          <w:ilvl w:val="0"/>
          <w:numId w:val="2"/>
        </w:numPr>
        <w:spacing w:before="0" w:after="0" w:line="560" w:lineRule="exact"/>
        <w:ind w:left="0" w:firstLine="643"/>
        <w:rPr>
          <w:lang w:bidi="ar"/>
        </w:rPr>
      </w:pPr>
      <w:bookmarkStart w:id="3" w:name="_Toc26401552"/>
      <w:r>
        <w:rPr>
          <w:rFonts w:hint="eastAsia"/>
          <w:lang w:bidi="ar"/>
        </w:rPr>
        <w:t>评价工作简述</w:t>
      </w:r>
      <w:bookmarkEnd w:id="3"/>
    </w:p>
    <w:p>
      <w:pPr>
        <w:pStyle w:val="24"/>
        <w:numPr>
          <w:ilvl w:val="0"/>
          <w:numId w:val="4"/>
        </w:numPr>
        <w:spacing w:before="0" w:after="0" w:line="560" w:lineRule="exact"/>
        <w:ind w:left="0" w:firstLine="643" w:firstLineChars="200"/>
        <w:rPr>
          <w:lang w:bidi="ar"/>
        </w:rPr>
      </w:pPr>
      <w:bookmarkStart w:id="4" w:name="_Toc26401553"/>
      <w:r>
        <w:rPr>
          <w:rFonts w:hint="eastAsia"/>
          <w:lang w:bidi="ar"/>
        </w:rPr>
        <w:t>评价目的</w:t>
      </w:r>
      <w:bookmarkEnd w:id="4"/>
    </w:p>
    <w:p>
      <w:pPr>
        <w:spacing w:line="560" w:lineRule="exact"/>
        <w:ind w:firstLine="640" w:firstLineChars="200"/>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旨在评价运转经费项目实施前期、过程及效果，评价财政预算资金使用的效率及效益。</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通过部门项目支出绩效自评,进一步严格落实《预算法》以及党中央、国务院关于加强预算绩效管理的指示精神,建立健全“花钱问效”的绩效预算管理机制、提升政府效能。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numPr>
          <w:ilvl w:val="0"/>
          <w:numId w:val="5"/>
        </w:num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本次评价从运转经费项目产生的效果角度出发,力求从绩效的角度发现2019年度运转经费项目中取得的成绩和产生的问题,优化财政支出管理改革,为下一步实施绩效预算奠定基础。</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1.通过评价,了解2019年度运转经费项目的基本情况对项目背景和目的、项目内容和现状、项目预算做深入调研和分析;</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2.通过评价,了解2019年度运转经费项目的产出和效果情况,及整体绩效状况</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3,通过评价,发掘2019年度运转经费项目所产生的现实意义和实际价值。</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4,通过评价,从绩效的角度发现该项目在决策、实施和管理过程中存在的问题,寻求解决方案,为进一步深化项目管理工作提供依据,</w:t>
      </w:r>
      <w:r>
        <w:rPr>
          <w:rFonts w:hint="eastAsia" w:ascii="仿宋_GB2312" w:hAnsi="仿宋_GB2312" w:eastAsia="仿宋_GB2312" w:cs="仿宋_GB2312"/>
          <w:bCs/>
          <w:sz w:val="32"/>
          <w:szCs w:val="32"/>
        </w:rPr>
        <w:t>确保日常办公经费支出，夯实基层群众基础。提升群众获得感与幸福感。</w:t>
      </w:r>
    </w:p>
    <w:p>
      <w:pPr>
        <w:pStyle w:val="24"/>
        <w:numPr>
          <w:ilvl w:val="0"/>
          <w:numId w:val="4"/>
        </w:numPr>
        <w:spacing w:before="0" w:after="0" w:line="560" w:lineRule="exact"/>
        <w:ind w:left="0" w:firstLine="643" w:firstLineChars="200"/>
        <w:rPr>
          <w:lang w:bidi="ar"/>
        </w:rPr>
      </w:pPr>
      <w:r>
        <w:rPr>
          <w:rFonts w:hint="eastAsia"/>
          <w:lang w:bidi="ar"/>
        </w:rPr>
        <w:t>本次绩效评价的对象及范围</w:t>
      </w:r>
      <w:bookmarkStart w:id="5" w:name="_Toc26401554"/>
    </w:p>
    <w:p>
      <w:pPr>
        <w:spacing w:line="56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运转经费项目，项目资金共计230.61万元资金，以“三最两就”原则，严格落实农村危房改造范围及审批手续，按照个人申请、村级评议、乡级审核、县级批准、地区备案的审批流程，根据自治区下达补助资金实施方案及《西城区乡村级运转经费项目资金管理制度》并组织实施。评价范围包括项目资金经费保障群众人数、资金享受覆盖率、资金发放及时率、人均保障经费、提高为民服务办事效率、夯实基层基础、群众满意度等方面进行绩效评价，</w:t>
      </w:r>
    </w:p>
    <w:p>
      <w:pPr>
        <w:pStyle w:val="24"/>
        <w:numPr>
          <w:ilvl w:val="0"/>
          <w:numId w:val="4"/>
        </w:numPr>
        <w:spacing w:before="0" w:after="0" w:line="560" w:lineRule="exact"/>
        <w:ind w:left="0" w:firstLine="643" w:firstLineChars="200"/>
        <w:rPr>
          <w:lang w:bidi="ar"/>
        </w:rPr>
      </w:pPr>
      <w:r>
        <w:rPr>
          <w:rFonts w:hint="eastAsia"/>
          <w:lang w:bidi="ar"/>
        </w:rPr>
        <w:t>绩效评价原则</w:t>
      </w:r>
      <w:bookmarkEnd w:id="5"/>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4"/>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4"/>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6"/>
        </w:numPr>
        <w:spacing w:before="0" w:after="0" w:line="560" w:lineRule="exact"/>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4"/>
        <w:keepNext w:val="0"/>
        <w:keepLines w:val="0"/>
        <w:numPr>
          <w:ilvl w:val="1"/>
          <w:numId w:val="6"/>
        </w:numPr>
        <w:spacing w:before="0" w:after="0" w:line="560" w:lineRule="exact"/>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spacing w:line="560" w:lineRule="exact"/>
        <w:ind w:firstLine="643" w:firstLineChars="200"/>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遵循“科学性、规范性、客观性和公正性”的绩效评价原则,根据财政部制定的《项目支出绩效评价共性指标体系框架》,结合运转经费项目特性、叶城县西城区片区管理委员会实际情况,本项目按照财预﹝2020﹞10号文件制定评价指标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我单位选取共性指标：决策中一级指标3个，二级指标7个，三级指标7个，分别是立项依据充分性，绩效指标明确性及资金分配合理性。</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过程中一级指标3个，二级指标7个，三级指标7个，分别是预算执行率，资金使用合规性及管理制度健全性。</w:t>
      </w:r>
    </w:p>
    <w:p>
      <w:pPr>
        <w:pStyle w:val="24"/>
        <w:keepNext w:val="0"/>
        <w:keepLines w:val="0"/>
        <w:numPr>
          <w:ilvl w:val="0"/>
          <w:numId w:val="0"/>
        </w:numPr>
        <w:spacing w:before="0" w:after="0" w:line="560" w:lineRule="exact"/>
        <w:ind w:left="420" w:leftChars="200"/>
        <w:rPr>
          <w:lang w:bidi="ar"/>
        </w:rPr>
      </w:pPr>
      <w:bookmarkStart w:id="6" w:name="_Toc26401555"/>
      <w:r>
        <w:rPr>
          <w:rFonts w:hint="eastAsia"/>
          <w:lang w:bidi="ar"/>
        </w:rPr>
        <w:t>（五）绩效评价方法</w:t>
      </w:r>
      <w:bookmarkEnd w:id="6"/>
    </w:p>
    <w:p>
      <w:pPr>
        <w:spacing w:line="560" w:lineRule="exact"/>
        <w:ind w:firstLine="640" w:firstLineChars="200"/>
        <w:rPr>
          <w:rFonts w:ascii="仿宋_GB2312" w:hAnsi="仿宋" w:eastAsia="仿宋_GB2312" w:cs="宋体"/>
          <w:sz w:val="32"/>
          <w:szCs w:val="32"/>
          <w:highlight w:val="red"/>
          <w:lang w:bidi="ar"/>
        </w:rPr>
      </w:pPr>
      <w:r>
        <w:rPr>
          <w:rFonts w:hint="eastAsia" w:ascii="仿宋_GB2312" w:hAnsi="仿宋" w:eastAsia="仿宋_GB2312" w:cs="宋体"/>
          <w:sz w:val="32"/>
          <w:szCs w:val="32"/>
          <w:lang w:bidi="ar"/>
        </w:rPr>
        <w:t>本次绩效评价方法的选用坚持简便有效的原则采用成本效益分析法。即：根据新财预（2019）0073号文件、喀地财预（2019）51号文件精神安排，通过</w:t>
      </w:r>
      <w:r>
        <w:rPr>
          <w:rFonts w:hint="eastAsia" w:ascii="仿宋_GB2312" w:eastAsia="仿宋_GB2312"/>
          <w:sz w:val="32"/>
          <w:szCs w:val="32"/>
        </w:rPr>
        <w:t>保障</w:t>
      </w:r>
      <w:r>
        <w:rPr>
          <w:rFonts w:hint="eastAsia" w:ascii="仿宋_GB2312" w:hAnsi="仿宋_GB2312" w:eastAsia="仿宋_GB2312" w:cs="仿宋_GB2312"/>
          <w:bCs/>
          <w:sz w:val="32"/>
          <w:szCs w:val="32"/>
        </w:rPr>
        <w:t>全区9个社区正常运转，确保日常办公经费支出，夯实基层群众基础</w:t>
      </w:r>
      <w:r>
        <w:rPr>
          <w:rFonts w:hint="eastAsia" w:ascii="仿宋_GB2312" w:hAnsi="仿宋" w:eastAsia="仿宋_GB2312" w:cs="宋体"/>
          <w:bCs/>
          <w:sz w:val="32"/>
          <w:szCs w:val="32"/>
          <w:lang w:bidi="ar"/>
        </w:rPr>
        <w:t>。</w:t>
      </w:r>
    </w:p>
    <w:p>
      <w:pPr>
        <w:pStyle w:val="24"/>
        <w:keepNext w:val="0"/>
        <w:keepLines w:val="0"/>
        <w:numPr>
          <w:ilvl w:val="0"/>
          <w:numId w:val="0"/>
        </w:numPr>
        <w:spacing w:before="0" w:after="0" w:line="560" w:lineRule="exact"/>
        <w:ind w:firstLine="643" w:firstLineChars="200"/>
        <w:rPr>
          <w:lang w:bidi="ar"/>
        </w:rPr>
      </w:pPr>
      <w:r>
        <w:rPr>
          <w:rFonts w:hint="eastAsia"/>
          <w:lang w:bidi="ar"/>
        </w:rPr>
        <w:t>（六）评价标准</w:t>
      </w:r>
    </w:p>
    <w:p>
      <w:pPr>
        <w:pStyle w:val="24"/>
        <w:keepNext w:val="0"/>
        <w:keepLines w:val="0"/>
        <w:numPr>
          <w:ilvl w:val="0"/>
          <w:numId w:val="0"/>
        </w:numPr>
        <w:spacing w:before="0" w:after="0" w:line="560" w:lineRule="exact"/>
        <w:ind w:firstLine="640" w:firstLineChars="200"/>
        <w:rPr>
          <w:rFonts w:hAnsiTheme="minorHAnsi" w:cstheme="minorBidi"/>
          <w:b w:val="0"/>
          <w:bCs w:val="0"/>
        </w:rPr>
      </w:pPr>
      <w:r>
        <w:rPr>
          <w:rFonts w:hint="eastAsia" w:hAnsiTheme="minorHAnsi" w:cstheme="minorBidi"/>
          <w:b w:val="0"/>
          <w:bCs w:val="0"/>
        </w:rPr>
        <w:t>项目评价标准采用计划标准。以各社区是否正常运转，是否能确保日常办公经费支出，夯实基层群众基础。</w:t>
      </w:r>
    </w:p>
    <w:p>
      <w:pPr>
        <w:pStyle w:val="24"/>
        <w:keepNext w:val="0"/>
        <w:keepLines w:val="0"/>
        <w:numPr>
          <w:ilvl w:val="0"/>
          <w:numId w:val="0"/>
        </w:numPr>
        <w:spacing w:before="0" w:after="0" w:line="560" w:lineRule="exact"/>
        <w:ind w:left="420" w:leftChars="200" w:firstLine="321" w:firstLineChars="100"/>
        <w:rPr>
          <w:lang w:bidi="ar"/>
        </w:rPr>
      </w:pPr>
      <w:r>
        <w:rPr>
          <w:rFonts w:hint="eastAsia"/>
          <w:lang w:bidi="ar"/>
        </w:rPr>
        <w:t>（七）绩效评价工作过程</w:t>
      </w:r>
    </w:p>
    <w:p>
      <w:pPr>
        <w:pStyle w:val="24"/>
        <w:keepNext w:val="0"/>
        <w:keepLines w:val="0"/>
        <w:numPr>
          <w:ilvl w:val="0"/>
          <w:numId w:val="0"/>
        </w:numPr>
        <w:spacing w:before="0" w:after="0" w:line="560" w:lineRule="exact"/>
        <w:ind w:firstLine="640" w:firstLineChars="200"/>
        <w:outlineLvl w:val="9"/>
        <w:rPr>
          <w:b w:val="0"/>
          <w:bCs w:val="0"/>
          <w:lang w:bidi="ar"/>
        </w:rPr>
      </w:pPr>
      <w:r>
        <w:rPr>
          <w:rFonts w:hint="eastAsia"/>
          <w:b w:val="0"/>
          <w:bCs w:val="0"/>
          <w:lang w:bidi="ar"/>
        </w:rPr>
        <w:t>本次评价成立了评价工作组，成员如下：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sz w:val="28"/>
                <w:szCs w:val="28"/>
                <w:lang w:bidi="ar"/>
              </w:rPr>
            </w:pPr>
            <w:r>
              <w:rPr>
                <w:rFonts w:hint="eastAsia"/>
                <w:sz w:val="28"/>
                <w:szCs w:val="28"/>
                <w:lang w:bidi="ar"/>
              </w:rPr>
              <w:t>评价人</w:t>
            </w:r>
          </w:p>
        </w:tc>
        <w:tc>
          <w:tcPr>
            <w:tcW w:w="2765" w:type="dxa"/>
            <w:vAlign w:val="center"/>
          </w:tcPr>
          <w:p>
            <w:pPr>
              <w:pStyle w:val="24"/>
              <w:keepNext w:val="0"/>
              <w:keepLines w:val="0"/>
              <w:numPr>
                <w:ilvl w:val="0"/>
                <w:numId w:val="0"/>
              </w:numPr>
              <w:spacing w:line="240" w:lineRule="atLeast"/>
              <w:jc w:val="center"/>
              <w:rPr>
                <w:sz w:val="28"/>
                <w:szCs w:val="28"/>
                <w:lang w:bidi="ar"/>
              </w:rPr>
            </w:pPr>
            <w:r>
              <w:rPr>
                <w:rFonts w:hint="eastAsia"/>
                <w:sz w:val="28"/>
                <w:szCs w:val="28"/>
                <w:lang w:bidi="ar"/>
              </w:rPr>
              <w:t>职责</w:t>
            </w:r>
          </w:p>
        </w:tc>
        <w:tc>
          <w:tcPr>
            <w:tcW w:w="2766" w:type="dxa"/>
            <w:vAlign w:val="center"/>
          </w:tcPr>
          <w:p>
            <w:pPr>
              <w:pStyle w:val="24"/>
              <w:keepNext w:val="0"/>
              <w:keepLines w:val="0"/>
              <w:numPr>
                <w:ilvl w:val="0"/>
                <w:numId w:val="0"/>
              </w:numPr>
              <w:spacing w:line="240" w:lineRule="atLeast"/>
              <w:jc w:val="center"/>
              <w:rPr>
                <w:sz w:val="28"/>
                <w:szCs w:val="28"/>
                <w:lang w:bidi="ar"/>
              </w:rPr>
            </w:pPr>
            <w:r>
              <w:rPr>
                <w:rFonts w:hint="eastAsia"/>
                <w:sz w:val="28"/>
                <w:szCs w:val="28"/>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彭继泉</w:t>
            </w:r>
          </w:p>
        </w:tc>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评价组组长</w:t>
            </w:r>
          </w:p>
        </w:tc>
        <w:tc>
          <w:tcPr>
            <w:tcW w:w="2766"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西城区常务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任晶晶</w:t>
            </w:r>
          </w:p>
        </w:tc>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评价组成员</w:t>
            </w:r>
          </w:p>
        </w:tc>
        <w:tc>
          <w:tcPr>
            <w:tcW w:w="2766"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蔡文静</w:t>
            </w:r>
          </w:p>
        </w:tc>
        <w:tc>
          <w:tcPr>
            <w:tcW w:w="2765"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评价组成员</w:t>
            </w:r>
          </w:p>
        </w:tc>
        <w:tc>
          <w:tcPr>
            <w:tcW w:w="2766" w:type="dxa"/>
            <w:vAlign w:val="center"/>
          </w:tcPr>
          <w:p>
            <w:pPr>
              <w:pStyle w:val="24"/>
              <w:keepNext w:val="0"/>
              <w:keepLines w:val="0"/>
              <w:numPr>
                <w:ilvl w:val="0"/>
                <w:numId w:val="0"/>
              </w:numPr>
              <w:spacing w:line="240" w:lineRule="atLeast"/>
              <w:jc w:val="center"/>
              <w:rPr>
                <w:b w:val="0"/>
                <w:bCs w:val="0"/>
                <w:sz w:val="28"/>
                <w:szCs w:val="28"/>
                <w:lang w:bidi="ar"/>
              </w:rPr>
            </w:pPr>
            <w:r>
              <w:rPr>
                <w:rFonts w:hint="eastAsia"/>
                <w:b w:val="0"/>
                <w:bCs w:val="0"/>
                <w:sz w:val="28"/>
                <w:szCs w:val="28"/>
                <w:lang w:bidi="ar"/>
              </w:rPr>
              <w:t>出纳</w:t>
            </w:r>
          </w:p>
        </w:tc>
      </w:tr>
    </w:tbl>
    <w:p>
      <w:pPr>
        <w:pStyle w:val="24"/>
        <w:keepNext w:val="0"/>
        <w:keepLines w:val="0"/>
        <w:numPr>
          <w:ilvl w:val="0"/>
          <w:numId w:val="0"/>
        </w:numPr>
        <w:spacing w:before="0" w:after="0" w:line="560" w:lineRule="exact"/>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1.数据采集方法及过程</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本次绩效评价数据包括定性和定量两种数据,定性数据主要通过实地考察社会调查的方式来采集。</w:t>
      </w:r>
    </w:p>
    <w:p>
      <w:pPr>
        <w:spacing w:line="560" w:lineRule="exact"/>
        <w:ind w:firstLine="640" w:firstLineChars="200"/>
        <w:rPr>
          <w:rFonts w:ascii="仿宋_GB2312" w:hAnsi="仿宋" w:eastAsia="仿宋_GB2312" w:cs="宋体"/>
          <w:b/>
          <w:bCs/>
          <w:sz w:val="32"/>
          <w:szCs w:val="32"/>
          <w:lang w:bidi="ar"/>
        </w:rPr>
      </w:pPr>
      <w:r>
        <w:rPr>
          <w:rFonts w:ascii="仿宋_GB2312" w:eastAsia="仿宋_GB2312" w:cs="Times New Roman" w:hAnsiTheme="majorHAnsi"/>
          <w:sz w:val="32"/>
          <w:szCs w:val="32"/>
          <w:lang w:bidi="ar"/>
        </w:rPr>
        <w:t>定量数据的采集主要通过被评价单位填报数据和实地采集数据相结合的方式,形成数据采集两条线,有效保证数据的真实性和可靠性,此外,我们会对所有数据进行全面审核和复核,并对重要数据进行实地采集。</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2.绩效评价实施过程</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项目组在前期调研的基础上,完成了项目绩效评价工作方案,明确了评价的目的、方法、指标体系、评价标准、合规性检查方案。在此之后,项目组严格按照工作方案,经过了数据采集、问卷调查、数据分析和报告撰写等环节,顺利完成了绩效评价工作。</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（1）问卷调查</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1</w:t>
      </w:r>
      <w:r>
        <w:rPr>
          <w:rFonts w:ascii="仿宋_GB2312" w:eastAsia="仿宋_GB2312" w:cs="Times New Roman" w:hAnsiTheme="majorHAnsi"/>
          <w:sz w:val="32"/>
          <w:szCs w:val="32"/>
          <w:lang w:bidi="ar"/>
        </w:rPr>
        <w:t>日-201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30</w:t>
      </w:r>
      <w:r>
        <w:rPr>
          <w:rFonts w:ascii="仿宋_GB2312" w:eastAsia="仿宋_GB2312" w:cs="Times New Roman" w:hAnsiTheme="majorHAnsi"/>
          <w:sz w:val="32"/>
          <w:szCs w:val="32"/>
          <w:lang w:bidi="ar"/>
        </w:rPr>
        <w:t>日,项目组对</w:t>
      </w:r>
      <w:r>
        <w:rPr>
          <w:rFonts w:hint="eastAsia" w:ascii="仿宋_GB2312" w:eastAsia="仿宋_GB2312" w:cs="Times New Roman" w:hAnsiTheme="majorHAnsi"/>
          <w:sz w:val="32"/>
          <w:szCs w:val="32"/>
          <w:lang w:bidi="ar"/>
        </w:rPr>
        <w:t>运转经费</w:t>
      </w:r>
      <w:r>
        <w:rPr>
          <w:rFonts w:ascii="仿宋_GB2312" w:eastAsia="仿宋_GB2312" w:cs="Times New Roman" w:hAnsiTheme="majorHAnsi"/>
          <w:sz w:val="32"/>
          <w:szCs w:val="32"/>
          <w:lang w:bidi="ar"/>
        </w:rPr>
        <w:t>项目涉及受益村民进行问卷调查。向</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个</w:t>
      </w:r>
      <w:r>
        <w:rPr>
          <w:rFonts w:hint="eastAsia" w:ascii="仿宋_GB2312" w:eastAsia="仿宋_GB2312" w:cs="Times New Roman" w:hAnsiTheme="majorHAnsi"/>
          <w:sz w:val="32"/>
          <w:szCs w:val="32"/>
          <w:lang w:bidi="ar"/>
        </w:rPr>
        <w:t>社区</w:t>
      </w:r>
      <w:r>
        <w:rPr>
          <w:rFonts w:ascii="仿宋_GB2312" w:eastAsia="仿宋_GB2312" w:cs="Times New Roman" w:hAnsiTheme="majorHAnsi"/>
          <w:sz w:val="32"/>
          <w:szCs w:val="32"/>
          <w:lang w:bidi="ar"/>
        </w:rPr>
        <w:t>共发放</w:t>
      </w:r>
      <w:r>
        <w:rPr>
          <w:rFonts w:hint="eastAsia" w:ascii="仿宋_GB2312" w:eastAsia="仿宋_GB2312" w:cs="Times New Roman" w:hAnsiTheme="majorHAnsi"/>
          <w:sz w:val="32"/>
          <w:szCs w:val="32"/>
          <w:lang w:bidi="ar"/>
        </w:rPr>
        <w:t>100</w:t>
      </w:r>
      <w:r>
        <w:rPr>
          <w:rFonts w:ascii="仿宋_GB2312" w:eastAsia="仿宋_GB2312" w:cs="Times New Roman" w:hAnsiTheme="majorHAnsi"/>
          <w:sz w:val="32"/>
          <w:szCs w:val="32"/>
          <w:lang w:bidi="ar"/>
        </w:rPr>
        <w:t>份问卷,回收</w:t>
      </w:r>
      <w:r>
        <w:rPr>
          <w:rFonts w:hint="eastAsia" w:ascii="仿宋_GB2312" w:eastAsia="仿宋_GB2312" w:cs="Times New Roman" w:hAnsiTheme="majorHAnsi"/>
          <w:sz w:val="32"/>
          <w:szCs w:val="32"/>
          <w:lang w:bidi="ar"/>
        </w:rPr>
        <w:t>90</w:t>
      </w:r>
      <w:r>
        <w:rPr>
          <w:rFonts w:ascii="仿宋_GB2312" w:eastAsia="仿宋_GB2312" w:cs="Times New Roman" w:hAnsiTheme="majorHAnsi"/>
          <w:sz w:val="32"/>
          <w:szCs w:val="32"/>
          <w:lang w:bidi="ar"/>
        </w:rPr>
        <w:t>份问卷,其中有效问卷为</w:t>
      </w:r>
      <w:r>
        <w:rPr>
          <w:rFonts w:hint="eastAsia" w:ascii="仿宋_GB2312" w:eastAsia="仿宋_GB2312" w:cs="Times New Roman" w:hAnsiTheme="majorHAnsi"/>
          <w:sz w:val="32"/>
          <w:szCs w:val="32"/>
          <w:lang w:bidi="ar"/>
        </w:rPr>
        <w:t>80</w:t>
      </w:r>
      <w:r>
        <w:rPr>
          <w:rFonts w:ascii="仿宋_GB2312" w:eastAsia="仿宋_GB2312" w:cs="Times New Roman" w:hAnsiTheme="majorHAnsi"/>
          <w:sz w:val="32"/>
          <w:szCs w:val="32"/>
          <w:lang w:bidi="ar"/>
        </w:rPr>
        <w:t>份,有效问卷为</w:t>
      </w:r>
      <w:r>
        <w:rPr>
          <w:rFonts w:hint="eastAsia" w:ascii="仿宋_GB2312" w:eastAsia="仿宋_GB2312" w:cs="Times New Roman" w:hAnsiTheme="majorHAnsi"/>
          <w:sz w:val="32"/>
          <w:szCs w:val="32"/>
          <w:lang w:bidi="ar"/>
        </w:rPr>
        <w:t>80</w:t>
      </w:r>
      <w:r>
        <w:rPr>
          <w:rFonts w:ascii="仿宋_GB2312" w:eastAsia="仿宋_GB2312" w:cs="Times New Roman" w:hAnsiTheme="majorHAnsi"/>
          <w:sz w:val="32"/>
          <w:szCs w:val="32"/>
          <w:lang w:bidi="ar"/>
        </w:rPr>
        <w:t>%</w:t>
      </w:r>
      <w:r>
        <w:rPr>
          <w:rFonts w:hint="eastAsia" w:ascii="仿宋_GB2312" w:eastAsia="仿宋_GB2312" w:cs="Times New Roman" w:hAnsiTheme="majorHAnsi"/>
          <w:sz w:val="32"/>
          <w:szCs w:val="32"/>
          <w:lang w:bidi="ar"/>
        </w:rPr>
        <w:t>，再</w:t>
      </w:r>
      <w:r>
        <w:rPr>
          <w:rFonts w:ascii="仿宋_GB2312" w:eastAsia="仿宋_GB2312" w:cs="Times New Roman" w:hAnsiTheme="majorHAnsi"/>
          <w:sz w:val="32"/>
          <w:szCs w:val="32"/>
          <w:lang w:bidi="ar"/>
        </w:rPr>
        <w:t>通过问卷录入、分析、整理后,形成社会调查满意度报告</w:t>
      </w:r>
      <w:r>
        <w:rPr>
          <w:rFonts w:hint="eastAsia" w:ascii="仿宋_GB2312" w:eastAsia="仿宋_GB2312" w:cs="Times New Roman" w:hAnsiTheme="majorHAnsi"/>
          <w:sz w:val="32"/>
          <w:szCs w:val="32"/>
          <w:lang w:bidi="ar"/>
        </w:rPr>
        <w:t>。</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（2）数据分析及撰写报告</w:t>
      </w:r>
    </w:p>
    <w:p>
      <w:pPr>
        <w:spacing w:line="560" w:lineRule="exact"/>
        <w:ind w:firstLine="640" w:firstLineChars="200"/>
        <w:rPr>
          <w:rFonts w:ascii="仿宋_GB2312" w:eastAsia="仿宋_GB2312" w:cs="Times New Roman" w:hAnsiTheme="majorHAnsi"/>
          <w:sz w:val="32"/>
          <w:szCs w:val="32"/>
          <w:lang w:bidi="ar"/>
        </w:rPr>
      </w:pPr>
      <w:r>
        <w:rPr>
          <w:rFonts w:ascii="仿宋_GB2312" w:eastAsia="仿宋_GB2312" w:cs="Times New Roman" w:hAnsiTheme="majorHAnsi"/>
          <w:sz w:val="32"/>
          <w:szCs w:val="32"/>
          <w:lang w:bidi="ar"/>
        </w:rPr>
        <w:t>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10</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1</w:t>
      </w:r>
      <w:r>
        <w:rPr>
          <w:rFonts w:ascii="仿宋_GB2312" w:eastAsia="仿宋_GB2312" w:cs="Times New Roman" w:hAnsiTheme="majorHAnsi"/>
          <w:sz w:val="32"/>
          <w:szCs w:val="32"/>
          <w:lang w:bidi="ar"/>
        </w:rPr>
        <w:t>日-201</w:t>
      </w:r>
      <w:r>
        <w:rPr>
          <w:rFonts w:hint="eastAsia" w:ascii="仿宋_GB2312" w:eastAsia="仿宋_GB2312" w:cs="Times New Roman" w:hAnsiTheme="majorHAnsi"/>
          <w:sz w:val="32"/>
          <w:szCs w:val="32"/>
          <w:lang w:bidi="ar"/>
        </w:rPr>
        <w:t>9</w:t>
      </w:r>
      <w:r>
        <w:rPr>
          <w:rFonts w:ascii="仿宋_GB2312" w:eastAsia="仿宋_GB2312" w:cs="Times New Roman" w:hAnsiTheme="majorHAnsi"/>
          <w:sz w:val="32"/>
          <w:szCs w:val="32"/>
          <w:lang w:bidi="ar"/>
        </w:rPr>
        <w:t>年</w:t>
      </w:r>
      <w:r>
        <w:rPr>
          <w:rFonts w:hint="eastAsia" w:ascii="仿宋_GB2312" w:eastAsia="仿宋_GB2312" w:cs="Times New Roman" w:hAnsiTheme="majorHAnsi"/>
          <w:sz w:val="32"/>
          <w:szCs w:val="32"/>
          <w:lang w:bidi="ar"/>
        </w:rPr>
        <w:t>10</w:t>
      </w:r>
      <w:r>
        <w:rPr>
          <w:rFonts w:ascii="仿宋_GB2312" w:eastAsia="仿宋_GB2312" w:cs="Times New Roman" w:hAnsiTheme="majorHAnsi"/>
          <w:sz w:val="32"/>
          <w:szCs w:val="32"/>
          <w:lang w:bidi="ar"/>
        </w:rPr>
        <w:t>月</w:t>
      </w:r>
      <w:r>
        <w:rPr>
          <w:rFonts w:hint="eastAsia" w:ascii="仿宋_GB2312" w:eastAsia="仿宋_GB2312" w:cs="Times New Roman" w:hAnsiTheme="majorHAnsi"/>
          <w:sz w:val="32"/>
          <w:szCs w:val="32"/>
          <w:lang w:bidi="ar"/>
        </w:rPr>
        <w:t>31</w:t>
      </w:r>
      <w:r>
        <w:rPr>
          <w:rFonts w:ascii="仿宋_GB2312" w:eastAsia="仿宋_GB2312" w:cs="Times New Roman" w:hAnsiTheme="majorHAnsi"/>
          <w:sz w:val="32"/>
          <w:szCs w:val="32"/>
          <w:lang w:bidi="ar"/>
        </w:rPr>
        <w:t>日,项目组根据绩效评价的原理和规范,对采集的数据进行甄别、分析和评分,并提炼结论撰写报告,在规定时间内上报委托方,由委托方组织相关专家对报告进行评审。</w:t>
      </w:r>
      <w:bookmarkStart w:id="7" w:name="_Toc26401558"/>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w:t>
      </w:r>
    </w:p>
    <w:p>
      <w:pPr>
        <w:spacing w:line="560" w:lineRule="exact"/>
        <w:ind w:firstLine="640" w:firstLineChars="200"/>
        <w:rPr>
          <w:rFonts w:ascii="仿宋_GB2312" w:eastAsia="仿宋_GB2312" w:cs="Times New Roman" w:hAnsiTheme="majorHAnsi"/>
          <w:sz w:val="32"/>
          <w:szCs w:val="32"/>
          <w:lang w:bidi="ar"/>
        </w:rPr>
      </w:pPr>
      <w:r>
        <w:rPr>
          <w:rFonts w:hint="eastAsia" w:ascii="仿宋_GB2312" w:eastAsia="仿宋_GB2312" w:cs="Times New Roman" w:hAnsiTheme="majorHAnsi"/>
          <w:sz w:val="32"/>
          <w:szCs w:val="32"/>
          <w:lang w:bidi="ar"/>
        </w:rPr>
        <w:t>经评价组通过实地调研、资料分析等方式，采用综合分析法、成本效益分析法、对项目的决策、管理、绩效进行的综合评价分析，项目得分为97分，评价结果为优，详见附件4。</w:t>
      </w:r>
    </w:p>
    <w:p>
      <w:pPr>
        <w:pStyle w:val="22"/>
        <w:spacing w:before="0" w:after="0" w:line="560" w:lineRule="exact"/>
        <w:ind w:firstLine="643"/>
        <w:rPr>
          <w:lang w:bidi="ar"/>
        </w:rPr>
      </w:pPr>
      <w:r>
        <w:rPr>
          <w:rFonts w:hint="eastAsia"/>
          <w:lang w:bidi="ar"/>
        </w:rPr>
        <w:t>四、绩效评价指标分析</w:t>
      </w:r>
      <w:bookmarkEnd w:id="7"/>
    </w:p>
    <w:p>
      <w:pPr>
        <w:pStyle w:val="18"/>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7"/>
        <w:spacing w:line="560" w:lineRule="exact"/>
        <w:ind w:firstLine="640"/>
        <w:rPr>
          <w:rFonts w:ascii="仿宋_GB2312" w:hAnsi="仿宋" w:cs="宋体"/>
          <w:sz w:val="32"/>
          <w:szCs w:val="32"/>
          <w:lang w:bidi="ar"/>
        </w:rPr>
      </w:pPr>
      <w:r>
        <w:rPr>
          <w:rFonts w:hint="eastAsia" w:ascii="仿宋_GB2312" w:hAnsi="仿宋" w:cs="宋体"/>
          <w:sz w:val="32"/>
          <w:szCs w:val="32"/>
          <w:lang w:bidi="ar"/>
        </w:rPr>
        <w:t>本项目根据新财预（2019）0073号文件、喀地财预（2019）51号文件安排，结合党工委村级运转工作具体安排部署及工作要求进行申报，审批文件、材料符合要求。并设置绩效目标，项目资金共计230.61万元，用于保证全区9个社区正常运转，确保日常办公经费支出，夯实基层群众基础。</w:t>
      </w:r>
    </w:p>
    <w:p>
      <w:pPr>
        <w:pStyle w:val="18"/>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Style w:val="27"/>
        <w:spacing w:line="560" w:lineRule="exact"/>
        <w:ind w:firstLine="640"/>
        <w:rPr>
          <w:rFonts w:ascii="仿宋_GB2312" w:hAnsi="仿宋" w:cs="宋体"/>
          <w:sz w:val="32"/>
          <w:szCs w:val="32"/>
          <w:lang w:bidi="ar"/>
        </w:rPr>
      </w:pPr>
      <w:r>
        <w:rPr>
          <w:rFonts w:hint="eastAsia" w:ascii="仿宋_GB2312" w:hAnsi="仿宋" w:cs="宋体"/>
          <w:sz w:val="32"/>
          <w:szCs w:val="32"/>
          <w:lang w:bidi="ar"/>
        </w:rPr>
        <w:t>根据新财预（2019）0073号文件、喀地财预（2019）51号文件及县财经领导小组会议纪要，结合党工委实际，制定了《西城区运转经费项目资金管理制度》并组织实施。根据各社区报账方式进行支出，不存在截留、挤占、挪用、虚列支出等情况。资金审批手续严格按照《会计法》、《预算法》及财政国库集中支付制度执行。项目执行完毕后，未发现调整及支出调整手续情况，项目合资料、运转经费审批表并及时归档。</w:t>
      </w:r>
    </w:p>
    <w:p>
      <w:pPr>
        <w:pStyle w:val="18"/>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严格按照上级部门审批确定的执行范围执行，共保证全区9个社区正常运转，确保日常办公经费支出，夯实基层群众基础。该项目资金全部执行完毕，资金拨付及时，资金申报、审批手续完全合理、合法、合规，无截留、挤占、挪用、虚列支出等情况。</w:t>
      </w:r>
    </w:p>
    <w:tbl>
      <w:tblPr>
        <w:tblStyle w:val="13"/>
        <w:tblW w:w="8342" w:type="dxa"/>
        <w:tblInd w:w="0" w:type="dxa"/>
        <w:tblLayout w:type="fixed"/>
        <w:tblCellMar>
          <w:top w:w="0" w:type="dxa"/>
          <w:left w:w="0" w:type="dxa"/>
          <w:bottom w:w="0" w:type="dxa"/>
          <w:right w:w="0" w:type="dxa"/>
        </w:tblCellMar>
      </w:tblPr>
      <w:tblGrid>
        <w:gridCol w:w="1502"/>
        <w:gridCol w:w="1272"/>
        <w:gridCol w:w="2836"/>
        <w:gridCol w:w="1689"/>
        <w:gridCol w:w="1043"/>
      </w:tblGrid>
      <w:tr>
        <w:tblPrEx>
          <w:tblCellMar>
            <w:top w:w="0" w:type="dxa"/>
            <w:left w:w="0" w:type="dxa"/>
            <w:bottom w:w="0" w:type="dxa"/>
            <w:right w:w="0" w:type="dxa"/>
          </w:tblCellMar>
        </w:tblPrEx>
        <w:trPr>
          <w:trHeight w:val="500" w:hRule="atLeast"/>
        </w:trPr>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68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产出指标</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数量指标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经费保障群众人数（人）</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23061</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23061</w:t>
            </w:r>
          </w:p>
        </w:tc>
      </w:tr>
      <w:tr>
        <w:tblPrEx>
          <w:tblCellMar>
            <w:top w:w="0" w:type="dxa"/>
            <w:left w:w="0" w:type="dxa"/>
            <w:bottom w:w="0" w:type="dxa"/>
            <w:right w:w="0" w:type="dxa"/>
          </w:tblCellMar>
        </w:tblPrEx>
        <w:trPr>
          <w:trHeight w:val="50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质量指标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资金享受覆盖率（%）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资金发放及时率（%）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98%</w:t>
            </w:r>
          </w:p>
        </w:tc>
      </w:tr>
      <w:tr>
        <w:tblPrEx>
          <w:tblCellMar>
            <w:top w:w="0" w:type="dxa"/>
            <w:left w:w="0" w:type="dxa"/>
            <w:bottom w:w="0" w:type="dxa"/>
            <w:right w:w="0" w:type="dxa"/>
          </w:tblCellMar>
        </w:tblPrEx>
        <w:trPr>
          <w:trHeight w:val="50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成本指标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人均保障经费（万元/人/年）</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0.01</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0.01</w:t>
            </w:r>
          </w:p>
        </w:tc>
      </w:tr>
    </w:tbl>
    <w:p>
      <w:pPr>
        <w:spacing w:line="560" w:lineRule="exact"/>
        <w:ind w:firstLine="640" w:firstLineChars="200"/>
        <w:rPr>
          <w:rFonts w:ascii="仿宋_GB2312" w:eastAsia="仿宋_GB2312"/>
          <w:sz w:val="32"/>
          <w:szCs w:val="32"/>
        </w:rPr>
      </w:pPr>
    </w:p>
    <w:p>
      <w:pPr>
        <w:pStyle w:val="18"/>
        <w:numPr>
          <w:ilvl w:val="0"/>
          <w:numId w:val="7"/>
        </w:numPr>
        <w:spacing w:line="56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spacing w:line="56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本项目以保证全区9个社区正常运转，确保日常办公经费支出，夯实基层群众基础。</w:t>
      </w:r>
    </w:p>
    <w:p>
      <w:pPr>
        <w:spacing w:line="56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经问卷调查，项目受益群众满意度为95%，部分达到预期目标。主要原因是项目完成时间较短，目标完成情况未完全体现，下一步，我乡会持续加强项目保障对象关心爱护，确保目标完成情况完全体现。</w:t>
      </w:r>
    </w:p>
    <w:tbl>
      <w:tblPr>
        <w:tblStyle w:val="13"/>
        <w:tblW w:w="8342" w:type="dxa"/>
        <w:tblInd w:w="0" w:type="dxa"/>
        <w:tblLayout w:type="fixed"/>
        <w:tblCellMar>
          <w:top w:w="0" w:type="dxa"/>
          <w:left w:w="0" w:type="dxa"/>
          <w:bottom w:w="0" w:type="dxa"/>
          <w:right w:w="0" w:type="dxa"/>
        </w:tblCellMar>
      </w:tblPr>
      <w:tblGrid>
        <w:gridCol w:w="1502"/>
        <w:gridCol w:w="1272"/>
        <w:gridCol w:w="2836"/>
        <w:gridCol w:w="1689"/>
        <w:gridCol w:w="1043"/>
      </w:tblGrid>
      <w:tr>
        <w:tblPrEx>
          <w:tblCellMar>
            <w:top w:w="0" w:type="dxa"/>
            <w:left w:w="0" w:type="dxa"/>
            <w:bottom w:w="0" w:type="dxa"/>
            <w:right w:w="0" w:type="dxa"/>
          </w:tblCellMar>
        </w:tblPrEx>
        <w:trPr>
          <w:trHeight w:val="500" w:hRule="atLeast"/>
        </w:trPr>
        <w:tc>
          <w:tcPr>
            <w:tcW w:w="15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一级指标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年度指标值</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实际完成值</w:t>
            </w:r>
          </w:p>
        </w:tc>
      </w:tr>
      <w:tr>
        <w:tblPrEx>
          <w:tblCellMar>
            <w:top w:w="0" w:type="dxa"/>
            <w:left w:w="0" w:type="dxa"/>
            <w:bottom w:w="0" w:type="dxa"/>
            <w:right w:w="0" w:type="dxa"/>
          </w:tblCellMar>
        </w:tblPrEx>
        <w:trPr>
          <w:trHeight w:val="500"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效益指标</w:t>
            </w: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经济效益指标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50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社会效益指标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提高为民服务办事效率</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有效提高</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生态效益指标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8"/>
                <w:szCs w:val="18"/>
              </w:rPr>
            </w:pP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FF0000"/>
                <w:sz w:val="18"/>
                <w:szCs w:val="18"/>
              </w:rPr>
            </w:pPr>
          </w:p>
        </w:tc>
      </w:tr>
      <w:tr>
        <w:tblPrEx>
          <w:tblCellMar>
            <w:top w:w="0" w:type="dxa"/>
            <w:left w:w="0" w:type="dxa"/>
            <w:bottom w:w="0" w:type="dxa"/>
            <w:right w:w="0" w:type="dxa"/>
          </w:tblCellMar>
        </w:tblPrEx>
        <w:trPr>
          <w:trHeight w:val="50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可持续影响指标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夯实基层基础</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明显改善</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0" w:type="dxa"/>
            <w:bottom w:w="0" w:type="dxa"/>
            <w:right w:w="0" w:type="dxa"/>
          </w:tblCellMar>
        </w:tblPrEx>
        <w:trPr>
          <w:trHeight w:val="500" w:hRule="atLeast"/>
        </w:trPr>
        <w:tc>
          <w:tcPr>
            <w:tcW w:w="150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满意度指标</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2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群众满意度（%）</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c>
          <w:tcPr>
            <w:tcW w:w="10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95%</w:t>
            </w:r>
          </w:p>
        </w:tc>
      </w:tr>
    </w:tbl>
    <w:p>
      <w:pPr>
        <w:spacing w:line="560" w:lineRule="exact"/>
        <w:ind w:firstLine="640" w:firstLineChars="200"/>
        <w:rPr>
          <w:rFonts w:ascii="仿宋_GB2312" w:hAnsi="仿宋" w:eastAsia="仿宋_GB2312" w:cs="宋体"/>
          <w:bCs/>
          <w:sz w:val="32"/>
          <w:szCs w:val="32"/>
          <w:lang w:bidi="ar"/>
        </w:rPr>
      </w:pPr>
    </w:p>
    <w:p>
      <w:pPr>
        <w:pStyle w:val="22"/>
        <w:spacing w:before="0" w:after="0" w:line="560" w:lineRule="exact"/>
        <w:ind w:left="420" w:leftChars="200" w:firstLine="0" w:firstLineChars="0"/>
        <w:rPr>
          <w:lang w:bidi="ar"/>
        </w:rPr>
      </w:pPr>
      <w:r>
        <w:rPr>
          <w:rFonts w:hint="eastAsia" w:ascii="黑体" w:hAnsi="黑体"/>
        </w:rPr>
        <w:t>五、主要经验及做法、存在的问题及原因分析</w:t>
      </w:r>
    </w:p>
    <w:p>
      <w:pPr>
        <w:pStyle w:val="24"/>
        <w:numPr>
          <w:ilvl w:val="0"/>
          <w:numId w:val="8"/>
        </w:numPr>
        <w:spacing w:before="0" w:after="0" w:line="560" w:lineRule="exact"/>
        <w:ind w:left="0" w:firstLine="643" w:firstLineChars="200"/>
        <w:rPr>
          <w:lang w:bidi="ar"/>
        </w:rPr>
      </w:pPr>
      <w:r>
        <w:rPr>
          <w:rFonts w:hint="eastAsia"/>
          <w:lang w:bidi="ar"/>
        </w:rPr>
        <w:t>主要经验及做法</w:t>
      </w:r>
    </w:p>
    <w:p>
      <w:pPr>
        <w:spacing w:line="560" w:lineRule="exact"/>
        <w:ind w:firstLine="640" w:firstLineChars="200"/>
        <w:rPr>
          <w:rFonts w:ascii="仿宋_GB2312" w:eastAsia="仿宋_GB2312" w:cs="Times New Roman" w:hAnsiTheme="majorHAnsi"/>
          <w:bCs/>
          <w:sz w:val="32"/>
          <w:szCs w:val="32"/>
          <w:lang w:bidi="ar"/>
        </w:rPr>
      </w:pPr>
      <w:r>
        <w:rPr>
          <w:rFonts w:hint="eastAsia" w:ascii="仿宋_GB2312" w:eastAsia="仿宋_GB2312" w:cs="Times New Roman" w:hAnsiTheme="majorHAnsi"/>
          <w:bCs/>
          <w:sz w:val="32"/>
          <w:szCs w:val="32"/>
          <w:lang w:bidi="ar"/>
        </w:rPr>
        <w:t>通过预算绩效管理，总结了工作中的较好的经验，如：在年度预算时严格按照相关文件要求等严格进行预算编制年度预算，严格执行《预算法》，严把支出关，按照 “收支两条线”，区财县管的财务要求制度，确保了项目支出各项经费按时足额保障到位，有效地杜绝了非预算支出，挤占挪用、虚报等套取财政资金违规行为。</w:t>
      </w:r>
    </w:p>
    <w:p>
      <w:pPr>
        <w:pStyle w:val="24"/>
        <w:numPr>
          <w:ilvl w:val="0"/>
          <w:numId w:val="8"/>
        </w:numPr>
        <w:spacing w:before="0" w:after="0" w:line="560" w:lineRule="exact"/>
        <w:ind w:left="0" w:firstLine="643" w:firstLineChars="200"/>
        <w:rPr>
          <w:lang w:bidi="ar"/>
        </w:rPr>
      </w:pPr>
      <w:r>
        <w:rPr>
          <w:rFonts w:hint="eastAsia"/>
          <w:lang w:bidi="ar"/>
        </w:rPr>
        <w:t>存在的问题及原因分析</w:t>
      </w:r>
    </w:p>
    <w:p>
      <w:pPr>
        <w:spacing w:line="560" w:lineRule="exact"/>
        <w:ind w:firstLine="640" w:firstLineChars="200"/>
        <w:rPr>
          <w:rFonts w:ascii="仿宋_GB2312" w:eastAsia="仿宋_GB2312" w:cs="Times New Roman" w:hAnsiTheme="majorHAnsi"/>
          <w:bCs/>
          <w:sz w:val="32"/>
          <w:szCs w:val="32"/>
          <w:lang w:bidi="ar"/>
        </w:rPr>
      </w:pPr>
      <w:r>
        <w:rPr>
          <w:rFonts w:hint="eastAsia" w:ascii="仿宋_GB2312" w:eastAsia="仿宋_GB2312" w:cs="Times New Roman" w:hAnsiTheme="majorHAnsi"/>
          <w:bCs/>
          <w:sz w:val="32"/>
          <w:szCs w:val="32"/>
          <w:lang w:bidi="ar"/>
        </w:rPr>
        <w:t>1、因项目前期确定资金使用范围内人员身份识别不精准等原因，导致项目资金支付滞缓，影响了项目实施的进度，造成了部分资金未及时充分发挥效益；</w:t>
      </w:r>
    </w:p>
    <w:p>
      <w:pPr>
        <w:spacing w:line="560" w:lineRule="exact"/>
        <w:ind w:firstLine="640" w:firstLineChars="200"/>
        <w:rPr>
          <w:rFonts w:ascii="仿宋_GB2312" w:eastAsia="仿宋_GB2312" w:cs="Times New Roman" w:hAnsiTheme="majorHAnsi"/>
          <w:bCs/>
          <w:sz w:val="32"/>
          <w:szCs w:val="32"/>
          <w:lang w:bidi="ar"/>
        </w:rPr>
      </w:pPr>
      <w:r>
        <w:rPr>
          <w:rFonts w:hint="eastAsia" w:ascii="仿宋_GB2312" w:eastAsia="仿宋_GB2312" w:cs="Times New Roman" w:hAnsiTheme="majorHAnsi"/>
          <w:bCs/>
          <w:sz w:val="32"/>
          <w:szCs w:val="32"/>
          <w:lang w:bidi="ar"/>
        </w:rPr>
        <w:t>2、对项目实施过程中遇到的实际问题准备不充分，导致项目支出等工作存在不连贯、不熟练的现象，需加强相关人员的业务及操作能力培训。</w:t>
      </w:r>
    </w:p>
    <w:p>
      <w:pPr>
        <w:pStyle w:val="22"/>
        <w:spacing w:before="0" w:after="0" w:line="560" w:lineRule="exact"/>
        <w:ind w:left="420" w:leftChars="200" w:firstLine="321" w:firstLineChars="100"/>
        <w:rPr>
          <w:rFonts w:ascii="黑体" w:hAnsi="黑体"/>
        </w:rPr>
      </w:pPr>
      <w:r>
        <w:rPr>
          <w:rFonts w:hint="eastAsia" w:ascii="黑体" w:hAnsi="黑体"/>
        </w:rPr>
        <w:t>六、有关建议</w:t>
      </w:r>
    </w:p>
    <w:p>
      <w:pPr>
        <w:pStyle w:val="22"/>
        <w:spacing w:before="0" w:after="0" w:line="560" w:lineRule="exact"/>
        <w:ind w:firstLine="640"/>
        <w:rPr>
          <w:rFonts w:ascii="仿宋_GB2312" w:hAnsi="仿宋_GB2312" w:eastAsia="仿宋_GB2312" w:cs="仿宋_GB2312"/>
          <w:b w:val="0"/>
        </w:rPr>
      </w:pPr>
      <w:r>
        <w:rPr>
          <w:rFonts w:hint="eastAsia" w:ascii="仿宋_GB2312" w:hAnsi="仿宋_GB2312" w:eastAsia="仿宋_GB2312" w:cs="仿宋_GB2312"/>
          <w:b w:val="0"/>
        </w:rPr>
        <w:t>1、持续加强财务管理，加快资金支付力度。在支付报账是，严格按照预算规定的项目范围、用途及使用规则审核支付，坚决杜绝超支现象的发生。</w:t>
      </w:r>
    </w:p>
    <w:p>
      <w:pPr>
        <w:pStyle w:val="22"/>
        <w:spacing w:before="0" w:after="0" w:line="560" w:lineRule="exact"/>
        <w:ind w:firstLine="640"/>
        <w:rPr>
          <w:rFonts w:ascii="仿宋_GB2312" w:hAnsi="仿宋_GB2312" w:eastAsia="仿宋_GB2312" w:cs="仿宋_GB2312"/>
          <w:b w:val="0"/>
        </w:rPr>
      </w:pPr>
      <w:r>
        <w:rPr>
          <w:rFonts w:hint="eastAsia" w:ascii="仿宋_GB2312" w:hAnsi="仿宋_GB2312" w:eastAsia="仿宋_GB2312" w:cs="仿宋_GB2312"/>
          <w:b w:val="0"/>
        </w:rPr>
        <w:t>2、持续加强项目开展情况的跟踪监控，严格按照项目进度及时拨付资金，使资金使用效益最大化，减少不必要的浪费，节约成本。</w:t>
      </w:r>
    </w:p>
    <w:p>
      <w:pPr>
        <w:pStyle w:val="22"/>
        <w:spacing w:before="0" w:after="0" w:line="560" w:lineRule="exact"/>
        <w:ind w:left="420" w:leftChars="200" w:firstLine="321" w:firstLineChars="100"/>
        <w:rPr>
          <w:rFonts w:ascii="黑体" w:hAnsi="黑体"/>
        </w:rPr>
      </w:pPr>
      <w:r>
        <w:rPr>
          <w:rFonts w:hint="eastAsia" w:ascii="黑体" w:hAnsi="黑体"/>
        </w:rPr>
        <w:t>七、其他需要说明的问题</w:t>
      </w:r>
    </w:p>
    <w:p>
      <w:pPr>
        <w:pStyle w:val="22"/>
        <w:spacing w:before="0" w:after="0" w:line="560" w:lineRule="exact"/>
        <w:ind w:firstLine="640"/>
        <w:rPr>
          <w:rFonts w:ascii="仿宋_GB2312" w:hAnsi="仿宋_GB2312" w:eastAsia="仿宋_GB2312" w:cs="仿宋_GB2312"/>
          <w:b w:val="0"/>
        </w:rPr>
      </w:pPr>
      <w:r>
        <w:rPr>
          <w:rFonts w:hint="eastAsia" w:ascii="仿宋_GB2312" w:hAnsi="仿宋_GB2312" w:eastAsia="仿宋_GB2312" w:cs="仿宋_GB2312"/>
          <w:b w:val="0"/>
        </w:rPr>
        <w:t>无其他说明问题。</w:t>
      </w:r>
    </w:p>
    <w:p>
      <w:pPr>
        <w:pStyle w:val="22"/>
        <w:spacing w:before="0" w:after="0" w:line="560" w:lineRule="exact"/>
        <w:ind w:firstLine="640"/>
        <w:rPr>
          <w:rFonts w:ascii="仿宋_GB2312" w:hAnsi="仿宋_GB2312" w:eastAsia="仿宋_GB2312" w:cs="仿宋_GB2312"/>
          <w:b w:val="0"/>
        </w:rPr>
      </w:pPr>
    </w:p>
    <w:p>
      <w:pPr>
        <w:spacing w:line="560" w:lineRule="exact"/>
        <w:ind w:firstLine="640" w:firstLineChars="200"/>
        <w:rPr>
          <w:rFonts w:ascii="仿宋_GB2312" w:hAnsi="仿宋" w:eastAsia="仿宋_GB2312" w:cs="宋体"/>
          <w:sz w:val="32"/>
          <w:szCs w:val="32"/>
          <w:lang w:bidi="ar"/>
        </w:rPr>
      </w:pP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附件1：喀什地区西城区片区管理委员会运转经费项目支出绩效目标申报表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附件2：喀什地区西城区片区管理委员会运转经费项目支出绩效自评表</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附件3：喀什地区西城区片区管理委员会运转经费项目支出绩效评价指标体系</w:t>
      </w:r>
    </w:p>
    <w:p>
      <w:pPr>
        <w:spacing w:line="56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0"/>
  <w:drawingGridHorizontalSpacing w:val="210"/>
  <w:drawingGridVerticalSpacing w:val="158"/>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239B2"/>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328CA"/>
    <w:rsid w:val="00972DB5"/>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605143"/>
    <w:rsid w:val="01BE6316"/>
    <w:rsid w:val="048900CE"/>
    <w:rsid w:val="04E34DD4"/>
    <w:rsid w:val="07AE4845"/>
    <w:rsid w:val="087E78C9"/>
    <w:rsid w:val="0B3B3599"/>
    <w:rsid w:val="11744E5A"/>
    <w:rsid w:val="156336EE"/>
    <w:rsid w:val="191510EA"/>
    <w:rsid w:val="19A555B8"/>
    <w:rsid w:val="1C755789"/>
    <w:rsid w:val="1E7A73CB"/>
    <w:rsid w:val="217F35A7"/>
    <w:rsid w:val="24E73B1F"/>
    <w:rsid w:val="268E759D"/>
    <w:rsid w:val="26F03C06"/>
    <w:rsid w:val="2A547683"/>
    <w:rsid w:val="2CD50D0E"/>
    <w:rsid w:val="2D832F0A"/>
    <w:rsid w:val="2E5157DD"/>
    <w:rsid w:val="306A4501"/>
    <w:rsid w:val="31C366C0"/>
    <w:rsid w:val="33CA34B6"/>
    <w:rsid w:val="37C95EEB"/>
    <w:rsid w:val="384C302F"/>
    <w:rsid w:val="3A8E79C8"/>
    <w:rsid w:val="3BC01B4C"/>
    <w:rsid w:val="40735543"/>
    <w:rsid w:val="41B92FD7"/>
    <w:rsid w:val="46C16BC4"/>
    <w:rsid w:val="509F44DE"/>
    <w:rsid w:val="55945462"/>
    <w:rsid w:val="56E62EB1"/>
    <w:rsid w:val="56FA34B5"/>
    <w:rsid w:val="57964064"/>
    <w:rsid w:val="59572B5A"/>
    <w:rsid w:val="5A781A20"/>
    <w:rsid w:val="5B2652A2"/>
    <w:rsid w:val="5C454754"/>
    <w:rsid w:val="64DF3A20"/>
    <w:rsid w:val="667765BF"/>
    <w:rsid w:val="68AC0EA3"/>
    <w:rsid w:val="69102EA7"/>
    <w:rsid w:val="719C0F13"/>
    <w:rsid w:val="77321001"/>
    <w:rsid w:val="7775238E"/>
    <w:rsid w:val="7A8638D9"/>
    <w:rsid w:val="7AF9759E"/>
    <w:rsid w:val="7B936150"/>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1"/>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customStyle="1" w:styleId="17">
    <w:name w:val="标题 1 字符"/>
    <w:basedOn w:val="15"/>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5"/>
    <w:link w:val="9"/>
    <w:qFormat/>
    <w:uiPriority w:val="99"/>
    <w:rPr>
      <w:sz w:val="18"/>
      <w:szCs w:val="18"/>
    </w:rPr>
  </w:style>
  <w:style w:type="character" w:customStyle="1" w:styleId="20">
    <w:name w:val="页脚 字符"/>
    <w:basedOn w:val="15"/>
    <w:link w:val="8"/>
    <w:qFormat/>
    <w:uiPriority w:val="99"/>
    <w:rPr>
      <w:sz w:val="18"/>
      <w:szCs w:val="18"/>
    </w:rPr>
  </w:style>
  <w:style w:type="character" w:customStyle="1" w:styleId="21">
    <w:name w:val="批注框文本 字符"/>
    <w:basedOn w:val="15"/>
    <w:link w:val="7"/>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5"/>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5"/>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5"/>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DD4D1E-2D1F-46E5-966A-D8774884D35D}">
  <ds:schemaRefs/>
</ds:datastoreItem>
</file>

<file path=docProps/app.xml><?xml version="1.0" encoding="utf-8"?>
<Properties xmlns="http://schemas.openxmlformats.org/officeDocument/2006/extended-properties" xmlns:vt="http://schemas.openxmlformats.org/officeDocument/2006/docPropsVTypes">
  <Template>Normal</Template>
  <Pages>1</Pages>
  <Words>810</Words>
  <Characters>4622</Characters>
  <Lines>38</Lines>
  <Paragraphs>10</Paragraphs>
  <TotalTime>10</TotalTime>
  <ScaleCrop>false</ScaleCrop>
  <LinksUpToDate>false</LinksUpToDate>
  <CharactersWithSpaces>5422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2023-11-25T03:46:59Z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