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both"/>
        <w:textAlignment w:val="auto"/>
        <w:outlineLvl w:val="0"/>
        <w:rPr>
          <w:rFonts w:hint="eastAsia" w:ascii="黑体" w:hAnsi="黑体" w:eastAsia="黑体"/>
          <w:b/>
          <w:bCs/>
          <w:color w:val="000000"/>
          <w:sz w:val="36"/>
          <w:szCs w:val="36"/>
          <w:lang w:eastAsia="zh-CN"/>
        </w:rPr>
      </w:pPr>
      <w:r>
        <w:rPr>
          <w:rFonts w:hint="eastAsia" w:ascii="黑体" w:hAnsi="黑体" w:eastAsia="黑体"/>
          <w:b/>
          <w:bCs/>
          <w:color w:val="000000"/>
          <w:sz w:val="36"/>
          <w:szCs w:val="36"/>
          <w:lang w:eastAsia="zh-CN"/>
        </w:rPr>
        <w:t>叶城县叶城羊良种繁育中心项目支出自评总结报告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pStyle w:val="8"/>
        <w:keepNext w:val="0"/>
        <w:keepLines w:val="0"/>
        <w:widowControl/>
        <w:suppressLineNumbers w:val="0"/>
        <w:shd w:val="clear" w:color="auto" w:fill="FFFFFF"/>
        <w:spacing w:before="0" w:beforeAutospacing="0" w:after="0" w:afterAutospacing="0" w:line="21" w:lineRule="atLeast"/>
        <w:ind w:right="0" w:firstLine="1280" w:firstLineChars="400"/>
        <w:rPr>
          <w:rFonts w:hint="eastAsia" w:ascii="仿宋_GB2312" w:hAnsi="黑体" w:eastAsia="仿宋_GB2312" w:cstheme="minorBidi"/>
          <w:b w:val="0"/>
          <w:bCs w:val="0"/>
          <w:color w:val="000000"/>
          <w:kern w:val="2"/>
          <w:sz w:val="32"/>
          <w:szCs w:val="32"/>
          <w:lang w:val="en-US" w:eastAsia="zh-CN" w:bidi="ar-SA"/>
        </w:rPr>
      </w:pPr>
      <w:r>
        <w:rPr>
          <w:rFonts w:hint="eastAsia" w:ascii="仿宋_GB2312" w:hAnsi="黑体" w:eastAsia="仿宋_GB2312" w:cstheme="minorBidi"/>
          <w:b w:val="0"/>
          <w:bCs w:val="0"/>
          <w:color w:val="000000"/>
          <w:kern w:val="2"/>
          <w:sz w:val="32"/>
          <w:szCs w:val="32"/>
          <w:lang w:val="en-US" w:eastAsia="zh-CN" w:bidi="ar-SA"/>
        </w:rPr>
        <w:t>项目名称：叶城县叶城羊良种繁育中心项目</w:t>
      </w:r>
    </w:p>
    <w:p>
      <w:pPr>
        <w:spacing w:line="480" w:lineRule="auto"/>
        <w:ind w:firstLine="1280" w:firstLineChars="400"/>
        <w:jc w:val="left"/>
        <w:rPr>
          <w:rFonts w:hint="eastAsia" w:ascii="仿宋_GB2312" w:hAnsi="黑体" w:eastAsia="仿宋_GB2312" w:cstheme="minorBidi"/>
          <w:b w:val="0"/>
          <w:bCs w:val="0"/>
          <w:color w:val="000000"/>
          <w:kern w:val="2"/>
          <w:sz w:val="32"/>
          <w:szCs w:val="32"/>
          <w:lang w:val="en-US" w:eastAsia="zh-CN" w:bidi="ar-SA"/>
        </w:rPr>
      </w:pPr>
      <w:r>
        <w:rPr>
          <w:rFonts w:hint="eastAsia" w:ascii="仿宋_GB2312" w:hAnsi="黑体" w:eastAsia="仿宋_GB2312" w:cstheme="minorBidi"/>
          <w:b w:val="0"/>
          <w:bCs w:val="0"/>
          <w:color w:val="000000"/>
          <w:kern w:val="2"/>
          <w:sz w:val="32"/>
          <w:szCs w:val="32"/>
          <w:lang w:val="en-US" w:eastAsia="zh-CN" w:bidi="ar-SA"/>
        </w:rPr>
        <w:t>项目单位：叶城县乌夏巴什镇人民政府</w:t>
      </w:r>
    </w:p>
    <w:p>
      <w:pPr>
        <w:spacing w:line="480" w:lineRule="auto"/>
        <w:ind w:firstLine="1280" w:firstLineChars="400"/>
        <w:jc w:val="left"/>
        <w:rPr>
          <w:rFonts w:hint="eastAsia" w:ascii="仿宋_GB2312" w:hAnsi="黑体" w:eastAsia="仿宋_GB2312" w:cstheme="minorBidi"/>
          <w:b w:val="0"/>
          <w:bCs w:val="0"/>
          <w:color w:val="000000"/>
          <w:kern w:val="2"/>
          <w:sz w:val="32"/>
          <w:szCs w:val="32"/>
          <w:lang w:val="en-US" w:eastAsia="zh-CN" w:bidi="ar-SA"/>
        </w:rPr>
      </w:pPr>
      <w:r>
        <w:rPr>
          <w:rFonts w:hint="eastAsia" w:ascii="仿宋_GB2312" w:hAnsi="黑体" w:eastAsia="仿宋_GB2312" w:cstheme="minorBidi"/>
          <w:b w:val="0"/>
          <w:bCs w:val="0"/>
          <w:color w:val="000000"/>
          <w:kern w:val="2"/>
          <w:sz w:val="32"/>
          <w:szCs w:val="32"/>
          <w:lang w:val="en-US" w:eastAsia="zh-CN" w:bidi="ar-SA"/>
        </w:rPr>
        <w:t>主管部门：</w:t>
      </w:r>
      <w:r>
        <w:rPr>
          <w:rFonts w:hint="eastAsia" w:ascii="仿宋_GB2312" w:hAnsi="黑体" w:eastAsia="仿宋_GB2312" w:cstheme="minorBidi"/>
          <w:b w:val="0"/>
          <w:bCs w:val="0"/>
          <w:color w:val="000000"/>
          <w:kern w:val="2"/>
          <w:sz w:val="32"/>
          <w:szCs w:val="32"/>
          <w:lang w:val="zh-CN" w:eastAsia="zh-CN" w:bidi="ar-SA"/>
        </w:rPr>
        <w:t>叶城县畜牧园</w:t>
      </w:r>
      <w:r>
        <w:rPr>
          <w:rFonts w:hint="eastAsia" w:ascii="仿宋_GB2312" w:hAnsi="黑体" w:eastAsia="仿宋_GB2312" w:cstheme="minorBidi"/>
          <w:b w:val="0"/>
          <w:bCs w:val="0"/>
          <w:color w:val="000000"/>
          <w:kern w:val="2"/>
          <w:sz w:val="32"/>
          <w:szCs w:val="32"/>
          <w:lang w:val="en-US" w:eastAsia="zh-CN" w:bidi="ar-SA"/>
        </w:rPr>
        <w:t>兽医站</w:t>
      </w:r>
    </w:p>
    <w:p>
      <w:pPr>
        <w:spacing w:line="480" w:lineRule="auto"/>
        <w:ind w:firstLine="1280" w:firstLineChars="400"/>
        <w:jc w:val="left"/>
        <w:rPr>
          <w:rFonts w:hint="eastAsia" w:ascii="仿宋_GB2312" w:hAnsi="黑体" w:eastAsia="仿宋_GB2312" w:cstheme="minorBidi"/>
          <w:b w:val="0"/>
          <w:bCs w:val="0"/>
          <w:color w:val="000000"/>
          <w:kern w:val="2"/>
          <w:sz w:val="32"/>
          <w:szCs w:val="32"/>
          <w:lang w:val="en-US" w:eastAsia="zh-CN" w:bidi="ar-SA"/>
        </w:rPr>
      </w:pPr>
      <w:r>
        <w:rPr>
          <w:rFonts w:hint="eastAsia" w:ascii="仿宋_GB2312" w:hAnsi="黑体" w:eastAsia="仿宋_GB2312" w:cstheme="minorBidi"/>
          <w:b w:val="0"/>
          <w:bCs w:val="0"/>
          <w:color w:val="000000"/>
          <w:kern w:val="2"/>
          <w:sz w:val="32"/>
          <w:szCs w:val="32"/>
          <w:lang w:val="en-US" w:eastAsia="zh-CN" w:bidi="ar-SA"/>
        </w:rPr>
        <w:t>项目负责人：王英</w:t>
      </w:r>
    </w:p>
    <w:p>
      <w:pPr>
        <w:spacing w:line="480" w:lineRule="auto"/>
        <w:ind w:firstLine="1280" w:firstLineChars="400"/>
        <w:jc w:val="left"/>
        <w:rPr>
          <w:rFonts w:hint="eastAsia" w:ascii="仿宋_GB2312" w:hAnsi="黑体" w:eastAsia="仿宋_GB2312" w:cstheme="minorBidi"/>
          <w:b w:val="0"/>
          <w:bCs w:val="0"/>
          <w:color w:val="000000"/>
          <w:kern w:val="2"/>
          <w:sz w:val="32"/>
          <w:szCs w:val="32"/>
          <w:lang w:val="en-US" w:eastAsia="zh-CN" w:bidi="ar-SA"/>
        </w:rPr>
      </w:pPr>
      <w:r>
        <w:rPr>
          <w:rFonts w:hint="eastAsia" w:ascii="仿宋_GB2312" w:hAnsi="黑体" w:eastAsia="仿宋_GB2312" w:cstheme="minorBidi"/>
          <w:b w:val="0"/>
          <w:bCs w:val="0"/>
          <w:color w:val="000000"/>
          <w:kern w:val="2"/>
          <w:sz w:val="32"/>
          <w:szCs w:val="32"/>
          <w:lang w:val="en-US" w:eastAsia="zh-CN" w:bidi="ar-SA"/>
        </w:rPr>
        <w:t>填报时间：2023年1月6日</w:t>
      </w:r>
    </w:p>
    <w:p>
      <w:pPr>
        <w:spacing w:line="480" w:lineRule="auto"/>
        <w:ind w:firstLine="1280" w:firstLineChars="400"/>
        <w:jc w:val="left"/>
        <w:rPr>
          <w:rFonts w:hint="eastAsia" w:ascii="仿宋_GB2312" w:hAnsi="黑体" w:eastAsia="仿宋_GB2312" w:cstheme="minorBidi"/>
          <w:color w:val="000000"/>
          <w:kern w:val="2"/>
          <w:sz w:val="32"/>
          <w:szCs w:val="32"/>
          <w:lang w:val="en-US" w:eastAsia="zh-CN" w:bidi="ar-SA"/>
        </w:rPr>
      </w:pPr>
    </w:p>
    <w:p>
      <w:pPr>
        <w:pStyle w:val="2"/>
        <w:rPr>
          <w:rFonts w:hint="eastAsia" w:ascii="仿宋_GB2312" w:hAnsi="黑体" w:eastAsia="仿宋_GB2312" w:cstheme="minorBidi"/>
          <w:color w:val="000000"/>
          <w:kern w:val="2"/>
          <w:sz w:val="32"/>
          <w:szCs w:val="32"/>
          <w:lang w:val="en-US" w:eastAsia="zh-CN" w:bidi="ar-SA"/>
        </w:rPr>
      </w:pPr>
    </w:p>
    <w:p>
      <w:pPr>
        <w:rPr>
          <w:rFonts w:hint="eastAsia" w:ascii="仿宋_GB2312" w:hAnsi="黑体" w:eastAsia="仿宋_GB2312" w:cstheme="minorBidi"/>
          <w:color w:val="000000"/>
          <w:kern w:val="2"/>
          <w:sz w:val="32"/>
          <w:szCs w:val="32"/>
          <w:lang w:val="en-US" w:eastAsia="zh-CN" w:bidi="ar-SA"/>
        </w:rPr>
      </w:pPr>
    </w:p>
    <w:p>
      <w:pPr>
        <w:pStyle w:val="2"/>
        <w:rPr>
          <w:rFonts w:hint="eastAsia" w:ascii="仿宋_GB2312" w:hAnsi="黑体" w:eastAsia="仿宋_GB2312" w:cstheme="minorBidi"/>
          <w:color w:val="000000"/>
          <w:kern w:val="2"/>
          <w:sz w:val="32"/>
          <w:szCs w:val="32"/>
          <w:lang w:val="en-US" w:eastAsia="zh-CN" w:bidi="ar-SA"/>
        </w:rPr>
      </w:pPr>
    </w:p>
    <w:p>
      <w:pPr>
        <w:rPr>
          <w:rFonts w:hint="eastAsia" w:ascii="仿宋_GB2312" w:hAnsi="黑体" w:eastAsia="仿宋_GB2312" w:cstheme="minorBidi"/>
          <w:color w:val="000000"/>
          <w:kern w:val="2"/>
          <w:sz w:val="32"/>
          <w:szCs w:val="32"/>
          <w:lang w:val="en-US" w:eastAsia="zh-CN" w:bidi="ar-SA"/>
        </w:rPr>
      </w:pPr>
    </w:p>
    <w:p>
      <w:pPr>
        <w:pStyle w:val="2"/>
        <w:rPr>
          <w:rFonts w:hint="eastAsia"/>
          <w:lang w:val="en-US" w:eastAsia="zh-CN"/>
        </w:rPr>
      </w:pPr>
    </w:p>
    <w:p>
      <w:pPr>
        <w:pStyle w:val="2"/>
        <w:rPr>
          <w:rFonts w:hint="eastAsia"/>
          <w:lang w:val="en-US" w:eastAsia="zh-CN"/>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000000"/>
          <w:sz w:val="32"/>
          <w:szCs w:val="32"/>
        </w:rPr>
      </w:pPr>
      <w:r>
        <w:rPr>
          <w:rFonts w:hint="eastAsia" w:ascii="黑体" w:hAnsi="黑体" w:eastAsia="黑体"/>
          <w:b/>
          <w:bCs/>
          <w:color w:val="000000"/>
          <w:sz w:val="32"/>
          <w:szCs w:val="32"/>
          <w:lang w:val="en-US" w:eastAsia="zh-CN"/>
        </w:rPr>
        <w:t>叶城县乌夏巴什镇人民政府2022</w:t>
      </w:r>
      <w:r>
        <w:rPr>
          <w:rFonts w:hint="eastAsia" w:ascii="黑体" w:hAnsi="黑体" w:eastAsia="黑体"/>
          <w:b/>
          <w:bCs/>
          <w:color w:val="000000"/>
          <w:sz w:val="32"/>
          <w:szCs w:val="32"/>
        </w:rPr>
        <w:t>年</w:t>
      </w:r>
      <w:r>
        <w:rPr>
          <w:rFonts w:hint="eastAsia" w:ascii="黑体" w:hAnsi="黑体" w:eastAsia="黑体"/>
          <w:b/>
          <w:bCs/>
          <w:color w:val="000000"/>
          <w:sz w:val="32"/>
          <w:szCs w:val="32"/>
          <w:lang w:eastAsia="zh-CN"/>
        </w:rPr>
        <w:t>财政衔接推进乡村振兴补助资金</w:t>
      </w:r>
      <w:r>
        <w:rPr>
          <w:rFonts w:hint="eastAsia" w:ascii="黑体" w:hAnsi="黑体" w:eastAsia="黑体"/>
          <w:b/>
          <w:bCs/>
          <w:color w:val="000000"/>
          <w:sz w:val="32"/>
          <w:szCs w:val="32"/>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1.</w:t>
      </w:r>
      <w:r>
        <w:rPr>
          <w:rFonts w:hint="eastAsia" w:ascii="仿宋_GB2312" w:hAnsi="黑体" w:eastAsia="仿宋_GB2312"/>
          <w:b/>
          <w:bCs/>
          <w:color w:val="000000"/>
          <w:sz w:val="32"/>
          <w:szCs w:val="32"/>
          <w:lang w:eastAsia="zh-CN"/>
        </w:rPr>
        <w:t>财政衔接推进乡村振兴补助资金</w:t>
      </w:r>
      <w:r>
        <w:rPr>
          <w:rFonts w:hint="eastAsia" w:ascii="仿宋_GB2312" w:hAnsi="黑体" w:eastAsia="仿宋_GB2312"/>
          <w:b/>
          <w:bCs/>
          <w:color w:val="000000"/>
          <w:sz w:val="32"/>
          <w:szCs w:val="32"/>
        </w:rPr>
        <w:t>下达预算及项目情况。</w:t>
      </w:r>
    </w:p>
    <w:p>
      <w:pPr>
        <w:spacing w:line="480" w:lineRule="auto"/>
        <w:ind w:firstLine="1280" w:firstLineChars="400"/>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根据《关于下达2022年自治区财政衔接推进乡村振兴补助资金预算的通知》（新财振〔2022〕18号），下达2022年自治区财政衔接推进乡村振兴补助资金，叶城县叶城羊良种繁育中心项目，项目总投资为558万元，通过无偿为收入偏低群众提供地方良种羊并开展适度规模集中托管，持续增加已脱贫人口的收入，并通过技术培训为叶城县农民提供种畜繁殖及育肥技术培训，不断提高养殖业产业化水平和科技含量，为农业可持续发展、困难群众持续增收致富提供保证。</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b/>
          <w:bCs/>
          <w:color w:val="000000"/>
          <w:sz w:val="32"/>
          <w:szCs w:val="32"/>
          <w:lang w:val="en-US" w:eastAsia="zh-CN"/>
        </w:rPr>
        <w:t>2.</w:t>
      </w:r>
      <w:r>
        <w:rPr>
          <w:rFonts w:hint="eastAsia" w:ascii="仿宋_GB2312" w:hAnsi="黑体" w:eastAsia="仿宋_GB2312"/>
          <w:b/>
          <w:bCs/>
          <w:color w:val="000000"/>
          <w:sz w:val="32"/>
          <w:szCs w:val="32"/>
          <w:lang w:eastAsia="zh-CN"/>
        </w:rPr>
        <w:t>财政衔接推进乡村振兴补助资金</w:t>
      </w:r>
      <w:r>
        <w:rPr>
          <w:rFonts w:hint="eastAsia" w:ascii="仿宋_GB2312" w:hAnsi="黑体" w:eastAsia="仿宋_GB2312"/>
          <w:b/>
          <w:bCs/>
          <w:color w:val="000000"/>
          <w:sz w:val="32"/>
          <w:szCs w:val="32"/>
        </w:rPr>
        <w:t>项目绩效目标设定情况。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本项目建设主要采购叶城羊能繁母羊3000只，种公羊100只（湖羊和叶城羊各50只），为叶城县的养殖业提供优良品种；通过无偿为收入偏低群众提供地方良种羊并开展适度规模集中托管，持续增加已脱贫人口的收入，并通过技术培训为叶城县农民提供种畜繁殖及育肥技术培训，不断提高养殖业产业化水平和科技含量，为农业可持续发展、困难群众持续增收致富提供保证。</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本项目于2022年2月25日之前项目实施方案编制完成。2022年3月15日之前完成采购手续办理及挂网，2022年4月15日之前完成招标程序。2022年4月15日之前签订合同，2022年6月30日之前完成供货验收，办理移交手续。</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二、绩效自评工作开展情况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 绩效评价范围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 绩效评价对象</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3.绩效评价时间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2023年1月3日-2023年1月30日</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4. 绩效评价方法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本次绩效评价方法的选用坚持简便有效的原则采用综合分析法。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5. 绩效评价标准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0" w:name="_Toc31464"/>
      <w:bookmarkStart w:id="1" w:name="_Toc17882"/>
      <w:r>
        <w:rPr>
          <w:rFonts w:hint="eastAsia" w:ascii="仿宋_GB2312" w:hAnsi="黑体" w:eastAsia="仿宋_GB2312" w:cstheme="minorBidi"/>
          <w:color w:val="000000"/>
          <w:kern w:val="2"/>
          <w:sz w:val="32"/>
          <w:szCs w:val="32"/>
          <w:lang w:val="en-US" w:eastAsia="zh-CN" w:bidi="ar-SA"/>
        </w:rPr>
        <w:t>计划标准：指以预先制定的目标、计划、预算、定额等作为评价标准。</w:t>
      </w:r>
      <w:bookmarkEnd w:id="0"/>
      <w:bookmarkEnd w:id="1"/>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2" w:name="_Toc2318"/>
      <w:bookmarkStart w:id="3" w:name="_Toc5633"/>
      <w:r>
        <w:rPr>
          <w:rFonts w:hint="eastAsia" w:ascii="仿宋_GB2312" w:hAnsi="黑体" w:eastAsia="仿宋_GB2312" w:cstheme="minorBidi"/>
          <w:color w:val="000000"/>
          <w:kern w:val="2"/>
          <w:sz w:val="32"/>
          <w:szCs w:val="32"/>
          <w:lang w:val="en-US" w:eastAsia="zh-CN" w:bidi="ar-SA"/>
        </w:rPr>
        <w:t>行业标准：指参照国家公布的行业指标数据制定的评价标准。</w:t>
      </w:r>
      <w:bookmarkEnd w:id="2"/>
      <w:bookmarkEnd w:id="3"/>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4" w:name="_Toc430"/>
      <w:bookmarkStart w:id="5" w:name="_Toc16028"/>
      <w:r>
        <w:rPr>
          <w:rFonts w:hint="eastAsia" w:ascii="仿宋_GB2312" w:hAnsi="黑体" w:eastAsia="仿宋_GB2312" w:cstheme="minorBidi"/>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rPr>
      </w:pPr>
      <w:r>
        <w:rPr>
          <w:rFonts w:hint="eastAsia" w:ascii="仿宋_GB2312" w:hAnsi="黑体" w:eastAsia="仿宋_GB2312"/>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rPr>
      </w:pPr>
      <w:r>
        <w:rPr>
          <w:rFonts w:hint="eastAsia" w:ascii="仿宋_GB2312" w:hAnsi="黑体" w:eastAsia="仿宋_GB2312"/>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1.项目资金到位情况分析。</w:t>
      </w:r>
    </w:p>
    <w:p>
      <w:pPr>
        <w:spacing w:line="480" w:lineRule="auto"/>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叶城县叶城羊良种繁育中心项目新财扶[2021]39号,喀地财扶[2021]9号安排下达资金558万元为为衔接补助资金，最终确定项目资金总数为558万元。</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2.项目资金执行情况分析。</w:t>
      </w:r>
    </w:p>
    <w:p>
      <w:pPr>
        <w:spacing w:line="480" w:lineRule="auto"/>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截至2022年12月31日，实际支出558万元，预算执行率100%。</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3.项目资金管理情况分析。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rPr>
      </w:pPr>
      <w:r>
        <w:rPr>
          <w:rFonts w:hint="eastAsia" w:ascii="仿宋_GB2312" w:hAnsi="黑体" w:eastAsia="仿宋_GB2312"/>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pPr>
      <w:r>
        <w:rPr>
          <w:rFonts w:hint="eastAsia" w:ascii="仿宋_GB2312" w:hAnsi="黑体" w:eastAsia="仿宋_GB2312"/>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lang w:val="en-US" w:eastAsia="zh-CN" w:bidi="ar"/>
        </w:rPr>
      </w:pPr>
      <w:r>
        <w:rPr>
          <w:rFonts w:hint="eastAsia" w:ascii="仿宋_GB2312" w:hAnsi="黑体" w:eastAsia="仿宋_GB2312" w:cstheme="minorBidi"/>
          <w:color w:val="000000"/>
          <w:kern w:val="2"/>
          <w:sz w:val="32"/>
          <w:szCs w:val="32"/>
          <w:lang w:val="en-US" w:eastAsia="zh-CN" w:bidi="ar-SA"/>
        </w:rPr>
        <w:t>购买叶城羊能繁母羊数量3000只，与预期目标一致，指标标杆分值为5分，根据评分标准，该指标不扣分。得5分</w:t>
      </w:r>
      <w:r>
        <w:rPr>
          <w:rFonts w:hint="eastAsia" w:ascii="仿宋_GB2312" w:hAnsi="宋体" w:eastAsia="仿宋_GB2312" w:cs="Times New Roman"/>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lang w:val="en-US" w:eastAsia="zh-CN" w:bidi="ar"/>
        </w:rPr>
      </w:pPr>
      <w:r>
        <w:rPr>
          <w:rFonts w:hint="eastAsia" w:ascii="仿宋_GB2312" w:hAnsi="黑体" w:eastAsia="仿宋_GB2312" w:cstheme="minorBidi"/>
          <w:color w:val="000000"/>
          <w:kern w:val="2"/>
          <w:sz w:val="32"/>
          <w:szCs w:val="32"/>
          <w:lang w:val="en-US" w:eastAsia="zh-CN" w:bidi="ar-SA"/>
        </w:rPr>
        <w:t>购买湖羊种公羊数量50只，与预期目标一致，指标标杆分值为5分，根据评分标准，该指标不扣分。得5分</w:t>
      </w:r>
      <w:r>
        <w:rPr>
          <w:rFonts w:hint="eastAsia" w:ascii="仿宋_GB2312" w:hAnsi="宋体" w:eastAsia="仿宋_GB2312" w:cs="Times New Roman"/>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lang w:val="en-US" w:eastAsia="zh-CN"/>
        </w:rPr>
      </w:pPr>
      <w:r>
        <w:rPr>
          <w:rFonts w:hint="eastAsia" w:ascii="仿宋_GB2312" w:hAnsi="黑体" w:eastAsia="仿宋_GB2312" w:cstheme="minorBidi"/>
          <w:color w:val="000000"/>
          <w:kern w:val="2"/>
          <w:sz w:val="32"/>
          <w:szCs w:val="32"/>
          <w:lang w:val="en-US" w:eastAsia="zh-CN" w:bidi="ar-SA"/>
        </w:rPr>
        <w:t>购买叶城羊种公羊数量50只，与预期目标一致，指标标杆分值为5分，根据评分标准，该指标不扣分。得5分</w:t>
      </w:r>
      <w:r>
        <w:rPr>
          <w:rFonts w:hint="eastAsia" w:ascii="仿宋_GB2312" w:hAnsi="宋体" w:eastAsia="仿宋_GB2312" w:cs="Times New Roman"/>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养殖动物存活率98%，与预期目标一致，指标标杆分值为5分,根据评分标准，该指标不扣分，得5分。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项目开工时间2022年2月1日，与预期目标指标一致，指标标杆分值为5分,根据评分标准，该指标不扣分，得5分。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项目完工时间2022年6月29日，与预期目标指标一致，指标标杆分值为5分,根据评分标准，该指标不扣分，5分。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项目完工及时率100%，与预期目标一致，指标标杆分值为5分，根据评分标准，该指标不扣分，得5分。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采购叶城羊能繁母羊每只羊价成本1775元，与预期目标指标一致，指标标杆分值为5分，根据评分标准，该指标不扣分，得5分。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采购叶城羊种公羊每只羊价成本成本2250元，与预期目标指标一致，指标标杆分值为5分，根据评分标准，该指标不扣分，得5分。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采购湖羊种公羊每只羊价成本2850元，与预期目标指标一致，指标标杆分值为5分，根据评分标准，该指标不扣分，得5分。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lang w:val="en-US" w:eastAsia="zh-CN"/>
        </w:rPr>
      </w:pPr>
      <w:r>
        <w:rPr>
          <w:rFonts w:hint="eastAsia" w:ascii="仿宋_GB2312" w:hAnsi="黑体" w:eastAsia="仿宋_GB2312" w:cstheme="minorBidi"/>
          <w:color w:val="000000"/>
          <w:kern w:val="2"/>
          <w:sz w:val="32"/>
          <w:szCs w:val="32"/>
          <w:lang w:val="en-US" w:eastAsia="zh-CN" w:bidi="ar-SA"/>
        </w:rPr>
        <w:t>合计得分15分。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带动脱贫户和边缘易致贫户3100人，与预期指标一致，指标标杆分值为10分，根据评分标准，该指标不扣分，得10分。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lang w:val="en-US" w:eastAsia="zh-CN"/>
        </w:rPr>
      </w:pPr>
      <w:r>
        <w:rPr>
          <w:rFonts w:hint="eastAsia" w:ascii="仿宋_GB2312" w:hAnsi="黑体" w:eastAsia="仿宋_GB2312" w:cstheme="minorBidi"/>
          <w:color w:val="000000"/>
          <w:kern w:val="2"/>
          <w:sz w:val="32"/>
          <w:szCs w:val="32"/>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带动增加受益脱贫户人口全年总收入24.8万元，与预期指标一致，指标标杆分值为10分，根据评分标准，该指标不扣分，得10分。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合计得分10分。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种羊持续增加收入年限3年，与预期指标一致，指标标杆分值为10分，根据评分标准，该指标不扣分，得10分。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对于“满意度指标： 受益村镇人员满意度95%，与预期目标一致，根据评分标准，该指标不扣分,得10分。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四、偏离绩效目标的原因和下一步改进措施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乌夏巴什镇叶城县叶城羊良种繁育中心项目预算558万元，到位558万元，实际支出558万元，预算执行率为100%，项目绩效指标总体完成率为100%，无偏差。</w:t>
      </w:r>
    </w:p>
    <w:p>
      <w:pPr>
        <w:pStyle w:val="20"/>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spacing w:line="480" w:lineRule="auto"/>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叶城羊良种繁育中心项目采购的3100只种羊，其中叶城羊能繁母羊3000只，种公羊100只（湖羊和叶城羊各50只）；逐步提高叶城羊品质，托管托养合作社按生物资产分红，按各村受益群众数量和名单平均分配到人，受益人数3100人，即按照不低于4.35%分红比例计算，3年托管期内人均累计分红240元。从而大力促进叶城县山区乡镇巩固拓展和乡村振兴，同时促进当地优势发展产业健康发展。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000000"/>
          <w:sz w:val="32"/>
          <w:szCs w:val="32"/>
        </w:rPr>
      </w:pPr>
      <w:r>
        <w:rPr>
          <w:rFonts w:hint="eastAsia" w:ascii="仿宋_GB2312" w:hAnsi="黑体" w:eastAsia="仿宋_GB2312"/>
          <w:b/>
          <w:color w:val="000000"/>
          <w:sz w:val="32"/>
          <w:szCs w:val="32"/>
          <w:lang w:val="en-US" w:eastAsia="zh-CN"/>
        </w:rPr>
        <w:t>六、</w:t>
      </w:r>
      <w:r>
        <w:rPr>
          <w:rFonts w:hint="eastAsia" w:ascii="仿宋_GB2312" w:hAnsi="黑体" w:eastAsia="仿宋_GB2312"/>
          <w:b/>
          <w:color w:val="000000"/>
          <w:sz w:val="32"/>
          <w:szCs w:val="32"/>
        </w:rPr>
        <w:t>绩效自评结果拟应用和公开情况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（一）对衔接推进乡村振兴补助资金项目、绩效公告公示情况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（二）对绩效自评结果拟应用情况进行说明</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（三）对二级指标权重(分值)分配情况进行说明，赋权的方法或者原则</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8EC01DC"/>
    <w:rsid w:val="12A245A9"/>
    <w:rsid w:val="14653122"/>
    <w:rsid w:val="17F82735"/>
    <w:rsid w:val="187A025D"/>
    <w:rsid w:val="1937751C"/>
    <w:rsid w:val="19CC7701"/>
    <w:rsid w:val="1ABF7AF2"/>
    <w:rsid w:val="1B4D6D35"/>
    <w:rsid w:val="1B5F2096"/>
    <w:rsid w:val="20183F4F"/>
    <w:rsid w:val="20C02ABC"/>
    <w:rsid w:val="22084AEF"/>
    <w:rsid w:val="22E936F1"/>
    <w:rsid w:val="29EC0C5C"/>
    <w:rsid w:val="2B1E4C6A"/>
    <w:rsid w:val="2B371128"/>
    <w:rsid w:val="2D5F13D7"/>
    <w:rsid w:val="2E51749D"/>
    <w:rsid w:val="31A02A0C"/>
    <w:rsid w:val="31AE0AA6"/>
    <w:rsid w:val="331E490C"/>
    <w:rsid w:val="386D751C"/>
    <w:rsid w:val="3A667D78"/>
    <w:rsid w:val="3EDE66B4"/>
    <w:rsid w:val="41030824"/>
    <w:rsid w:val="41871287"/>
    <w:rsid w:val="4BA819CC"/>
    <w:rsid w:val="54575230"/>
    <w:rsid w:val="55DA66E7"/>
    <w:rsid w:val="59EF28A2"/>
    <w:rsid w:val="5CEF0BA5"/>
    <w:rsid w:val="614F4951"/>
    <w:rsid w:val="647906B5"/>
    <w:rsid w:val="651A36AB"/>
    <w:rsid w:val="6AC53C59"/>
    <w:rsid w:val="7132728B"/>
    <w:rsid w:val="761975A1"/>
    <w:rsid w:val="79EBDDC2"/>
    <w:rsid w:val="7B580975"/>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8">
    <w:name w:val="heading 4"/>
    <w:basedOn w:val="1"/>
    <w:next w:val="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9">
    <w:name w:val="annotation text"/>
    <w:basedOn w:val="1"/>
    <w:unhideWhenUsed/>
    <w:qFormat/>
    <w:uiPriority w:val="99"/>
    <w:rPr>
      <w:rFonts w:cs="Times New Roman"/>
      <w:kern w:val="0"/>
      <w:sz w:val="20"/>
      <w:szCs w:val="20"/>
    </w:rPr>
  </w:style>
  <w:style w:type="paragraph" w:styleId="10">
    <w:name w:val="Body Text"/>
    <w:basedOn w:val="1"/>
    <w:qFormat/>
    <w:uiPriority w:val="0"/>
    <w:pPr>
      <w:spacing w:before="240" w:after="240" w:line="360" w:lineRule="auto"/>
      <w:jc w:val="center"/>
    </w:pPr>
    <w:rPr>
      <w:b/>
      <w:sz w:val="44"/>
    </w:rPr>
  </w:style>
  <w:style w:type="paragraph" w:styleId="11">
    <w:name w:val="Plain Text"/>
    <w:basedOn w:val="1"/>
    <w:unhideWhenUsed/>
    <w:qFormat/>
    <w:uiPriority w:val="99"/>
    <w:rPr>
      <w:rFonts w:ascii="宋体" w:hAnsi="Courier New"/>
    </w:rPr>
  </w:style>
  <w:style w:type="paragraph" w:styleId="12">
    <w:name w:val="Body Text Indent 2"/>
    <w:basedOn w:val="1"/>
    <w:qFormat/>
    <w:uiPriority w:val="0"/>
    <w:pPr>
      <w:ind w:firstLine="280"/>
    </w:pPr>
    <w:rPr>
      <w:rFonts w:ascii="仿宋_GB2312" w:hAnsi="仿宋_GB2312" w:eastAsia="仿宋_GB2312"/>
      <w:kern w:val="1"/>
      <w:sz w:val="28"/>
    </w:rPr>
  </w:style>
  <w:style w:type="paragraph" w:styleId="13">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7">
    <w:name w:val="Strong"/>
    <w:basedOn w:val="16"/>
    <w:qFormat/>
    <w:uiPriority w:val="0"/>
    <w:rPr>
      <w:b/>
      <w:bCs/>
    </w:rPr>
  </w:style>
  <w:style w:type="paragraph" w:customStyle="1" w:styleId="18">
    <w:name w:val="1 正文"/>
    <w:basedOn w:val="1"/>
    <w:qFormat/>
    <w:uiPriority w:val="0"/>
    <w:pPr>
      <w:ind w:firstLine="200"/>
    </w:pPr>
    <w:rPr>
      <w:rFonts w:eastAsia="仿宋_GB2312" w:cs="Times New Roman"/>
      <w:szCs w:val="28"/>
    </w:rPr>
  </w:style>
  <w:style w:type="paragraph" w:customStyle="1" w:styleId="1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0">
    <w:name w:val="闻政-正文二级标题"/>
    <w:basedOn w:val="6"/>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