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叶城县伯西热克乡9村电力改造项目支出绩效</w:t>
      </w:r>
      <w:r>
        <w:rPr>
          <w:rFonts w:hint="eastAsia" w:ascii="黑体" w:hAnsi="黑体" w:eastAsia="黑体"/>
          <w:b/>
          <w:bCs/>
          <w:color w:val="auto"/>
          <w:sz w:val="36"/>
          <w:szCs w:val="36"/>
          <w:highlight w:val="none"/>
          <w:lang w:val="en-US" w:eastAsia="zh-CN"/>
        </w:rPr>
        <w:t>自评总结</w:t>
      </w:r>
      <w:r>
        <w:rPr>
          <w:rFonts w:hint="eastAsia" w:ascii="黑体" w:hAnsi="黑体" w:eastAsia="黑体"/>
          <w:b/>
          <w:bCs/>
          <w:color w:val="auto"/>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项目名称：叶城县伯西热克乡9村电力改造项目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项目单位：叶城县伯西热克乡人民政府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主管部门：叶城县乡村振兴局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项目负责人：文雄</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auto"/>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叶城县伯西热克乡人民政府2022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资金绩效自评总结报告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资金下达预算及项目情况。</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根据《关于下达2022年自治区财政衔接推进乡村振兴补助资金预算的通知》（新财振〔2022〕18号），下达2022年自治区财政衔接推进乡村振兴补助资金，叶城县伯西热克乡9村电力改造项目，项目总投资为150.8万元，通过该项目的实施，10千伏零佰线1015线路及变压器改造1套，该项目实施后可大幅度改善项目村村民生活环境，提高村民生活素质，进一步增强项目村农户幸福感和获得感。 </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伯西热克乡投入巩固拓展脱贫攻坚成果和乡村振兴有效衔接资金150.8万元，用于10千伏零佰线1015线路及变压器改造。通过委托招标，确定成交单位，在叶城县伯西热克乡实施电力改造项目，该项目实施后可大幅度改善项目村村民生活环境，提高村民生活素质，进一步增强项目村农户幸福感和获得感。</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总投资150.8万元，将用于伯西热克乡9村10千伏零佰线1015线路及变压器改造，投入资金150.8万元。带动当地特色产业的发展，活跃当地的经济市场，促进资源的合理利用，带动当地就业市场的发展。带动增加受益脱贫户人口全年总收入达到3万元，受益脱贫户人口数达到25人。</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该项目按照正常手续进行招投标标，设备按照合同按时到位，资金按照规定及时准确支付，带动当地特色产业的发展，活跃当地的经济市场，促进资源的合理利用，带动当地就业市场的发展。</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430"/>
      <w:bookmarkStart w:id="5" w:name="_Toc16028"/>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喀地财扶【2021】9号共安排下达资金150.8万元，为衔接资金，最终确定项目资金总数为150.8万元。</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截至2022年12月31日，实际支出132.51万元，预算执行率87.9%。</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10千伏零佰线1015线路及变压器改造1套，与预期目标一致，指标标杆分值为15分，根据评分标准，该指标不扣分，得15分。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 xml:space="preserve">项目验收合格率100%，与预期目标一致，指标标杆分值为15分，根据评分标准，该指标不扣分，得15分。 </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项目完成及时率100%，与预期目标一致，指标标杆分值为15分，根据评分标准，该指标不扣分，得15分。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10千伏零佰线1015线路及变压器改造成本150.8万元/套，实际10千伏零佰线1015线路及变压器改造项目成本132.51万元，经费都能控制绩效目标范围内，指标标杆分值为5分，根据评分标准，该指标扣0.61分，得4.39分。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带动增加脱贫户和边缘易致贫户就业10人，与预期指标一致，指标标杆分值为10分，根据评分标准，该指标不扣分，得10分。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带动增加受益脱贫户人口全年总收入10万元，与预期指标一致，指标标杆分值为10分，根据评分标准，该指标不扣分，得10分。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工程设计使用年限5年，与预期指标一致，指标标杆分值为10分，根据评分标准，该指标不扣分，得10分。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对于“满意度指标：受益巩固脱贫户满意度95%，实际受益巩固脱贫户满意度100%，与预期目标一致，指标标杆分值为10分，根据评分标准，该指标不扣分,得10分。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满意度指标合计得10分。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伯西热克乡9村电力改造项目预算150.8万元，到位150.8万元，实际支出132.51万元，预算执行率为87.9%，项目绩效指标总体完成率为98.5%，偏差率百分之10.6％，偏差原因：项目尾款还未支付，采取措施：核实原因加快支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叶城县伯西热克乡实施9村电力改造项目到位资金150.8万元，执行资金132.51万元，资金执行率87.9%，用于叶城县伯西热克乡10千伏零佰线1015线路及变压器改造。</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该项目最终评分98.19分，绩效评级为“优”。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59A592B"/>
    <w:rsid w:val="05BB0039"/>
    <w:rsid w:val="11F170BA"/>
    <w:rsid w:val="176A0D8C"/>
    <w:rsid w:val="187A025D"/>
    <w:rsid w:val="1937751C"/>
    <w:rsid w:val="1ABF7AF2"/>
    <w:rsid w:val="23270747"/>
    <w:rsid w:val="29EC0C5C"/>
    <w:rsid w:val="2AB127A3"/>
    <w:rsid w:val="2E51749D"/>
    <w:rsid w:val="317A42C7"/>
    <w:rsid w:val="31AE0AA6"/>
    <w:rsid w:val="389846DA"/>
    <w:rsid w:val="3AFA7CA6"/>
    <w:rsid w:val="41871287"/>
    <w:rsid w:val="4D7A283A"/>
    <w:rsid w:val="609F5A19"/>
    <w:rsid w:val="65FB514F"/>
    <w:rsid w:val="66FB5A93"/>
    <w:rsid w:val="6F070892"/>
    <w:rsid w:val="6F0F46CE"/>
    <w:rsid w:val="7E984E50"/>
    <w:rsid w:val="DBDF0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 w:type="paragraph" w:customStyle="1" w:styleId="18">
    <w:name w:val="闻政-正文一级标题"/>
    <w:basedOn w:val="2"/>
    <w:next w:val="16"/>
    <w:qFormat/>
    <w:uiPriority w:val="3"/>
    <w:pPr>
      <w:spacing w:before="120" w:after="60" w:line="500" w:lineRule="exact"/>
      <w:ind w:firstLine="0" w:firstLineChars="0"/>
      <w:outlineLvl w:val="0"/>
    </w:pPr>
    <w:rPr>
      <w:rFonts w:ascii="黑体" w:hAnsi="黑体" w:eastAsia="黑体"/>
      <w:sz w:val="32"/>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1</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2025-02-13T11:11:59Z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