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p>
    <w:p>
      <w:pPr>
        <w:pageBreakBefore w:val="0"/>
        <w:widowControl w:val="0"/>
        <w:kinsoku/>
        <w:wordWrap/>
        <w:overflowPunct/>
        <w:topLinePunct w:val="0"/>
        <w:autoSpaceDN/>
        <w:bidi w:val="0"/>
        <w:adjustRightInd/>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autoSpaceDN/>
        <w:bidi w:val="0"/>
        <w:adjustRightInd/>
        <w:snapToGrid/>
        <w:spacing w:line="560" w:lineRule="exact"/>
        <w:ind w:firstLine="0" w:firstLineChars="0"/>
        <w:jc w:val="center"/>
        <w:textAlignment w:val="auto"/>
        <w:rPr>
          <w:rFonts w:hint="eastAsia" w:ascii="黑体" w:hAnsi="黑体" w:eastAsia="黑体" w:cs="黑体"/>
          <w:b/>
          <w:color w:val="auto"/>
          <w:kern w:val="0"/>
          <w:sz w:val="36"/>
          <w:szCs w:val="36"/>
          <w:highlight w:val="none"/>
          <w:lang w:bidi="en-US"/>
        </w:rPr>
      </w:pP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方正仿宋_GBK" w:cs="方正仿宋_GBK"/>
          <w:b/>
          <w:bCs/>
          <w:color w:val="auto"/>
          <w:kern w:val="0"/>
          <w:sz w:val="32"/>
          <w:szCs w:val="32"/>
          <w:highlight w:val="none"/>
          <w:lang w:bidi="en-US"/>
        </w:rPr>
      </w:pPr>
      <w:r>
        <w:rPr>
          <w:rFonts w:hint="eastAsia" w:ascii="黑体" w:hAnsi="黑体" w:eastAsia="黑体" w:cs="黑体"/>
          <w:b/>
          <w:bCs/>
          <w:color w:val="auto"/>
          <w:sz w:val="36"/>
          <w:szCs w:val="36"/>
          <w:highlight w:val="none"/>
          <w:lang w:eastAsia="zh-CN"/>
        </w:rPr>
        <w:t>叶城县伯西热克乡9村基础设施建设项目（防渗渠建设）</w:t>
      </w:r>
      <w:r>
        <w:rPr>
          <w:rFonts w:hint="eastAsia" w:ascii="黑体" w:hAnsi="黑体" w:eastAsia="黑体"/>
          <w:b/>
          <w:bCs/>
          <w:color w:val="auto"/>
          <w:sz w:val="36"/>
          <w:szCs w:val="36"/>
          <w:highlight w:val="none"/>
          <w:lang w:eastAsia="zh-CN"/>
        </w:rPr>
        <w:t>支出自评总结报告</w:t>
      </w:r>
    </w:p>
    <w:p>
      <w:pPr>
        <w:pStyle w:val="8"/>
        <w:pageBreakBefore w:val="0"/>
        <w:widowControl w:val="0"/>
        <w:kinsoku/>
        <w:overflowPunct/>
        <w:topLinePunct w:val="0"/>
        <w:autoSpaceDN/>
        <w:bidi w:val="0"/>
        <w:adjustRightInd/>
        <w:snapToGrid/>
        <w:spacing w:line="560" w:lineRule="exact"/>
        <w:textAlignment w:val="auto"/>
        <w:rPr>
          <w:rFonts w:hint="default" w:ascii="仿宋_GB2312" w:hAnsi="仿宋_GB2312" w:eastAsia="仿宋_GB2312" w:cs="仿宋_GB2312"/>
          <w:b/>
          <w:bCs/>
          <w:color w:val="auto"/>
          <w:sz w:val="32"/>
          <w:szCs w:val="32"/>
          <w:highlight w:val="none"/>
          <w:lang w:val="en-US" w:eastAsia="zh-CN"/>
        </w:rPr>
      </w:pPr>
    </w:p>
    <w:p>
      <w:pPr>
        <w:pStyle w:val="5"/>
        <w:pageBreakBefore w:val="0"/>
        <w:widowControl w:val="0"/>
        <w:kinsoku/>
        <w:overflowPunct/>
        <w:topLinePunct w:val="0"/>
        <w:autoSpaceDN/>
        <w:bidi w:val="0"/>
        <w:adjustRightInd/>
        <w:snapToGrid/>
        <w:spacing w:line="560" w:lineRule="exact"/>
        <w:ind w:left="0" w:leftChars="0" w:firstLine="0" w:firstLineChars="0"/>
        <w:textAlignment w:val="auto"/>
        <w:rPr>
          <w:rFonts w:hint="eastAsia" w:ascii="仿宋_GB2312" w:hAnsi="仿宋_GB2312" w:eastAsia="仿宋_GB2312" w:cs="仿宋_GB2312"/>
          <w:color w:val="auto"/>
          <w:sz w:val="32"/>
          <w:szCs w:val="32"/>
          <w:highlight w:val="none"/>
        </w:rPr>
      </w:pPr>
    </w:p>
    <w:p>
      <w:pPr>
        <w:pStyle w:val="5"/>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rPr>
      </w:pPr>
    </w:p>
    <w:p>
      <w:pPr>
        <w:pStyle w:val="5"/>
        <w:pageBreakBefore w:val="0"/>
        <w:widowControl w:val="0"/>
        <w:kinsoku/>
        <w:overflowPunct/>
        <w:topLinePunct w:val="0"/>
        <w:autoSpaceDN/>
        <w:bidi w:val="0"/>
        <w:adjustRightInd/>
        <w:snapToGrid/>
        <w:spacing w:line="560" w:lineRule="exact"/>
        <w:ind w:left="0" w:leftChars="0" w:firstLine="0" w:firstLineChars="0"/>
        <w:textAlignment w:val="auto"/>
        <w:rPr>
          <w:rFonts w:hint="eastAsia" w:ascii="仿宋_GB2312" w:hAnsi="仿宋_GB2312" w:eastAsia="仿宋_GB2312" w:cs="仿宋_GB2312"/>
          <w:color w:val="auto"/>
          <w:sz w:val="32"/>
          <w:szCs w:val="32"/>
          <w:highlight w:val="none"/>
        </w:rPr>
      </w:pPr>
    </w:p>
    <w:p>
      <w:pPr>
        <w:pStyle w:val="5"/>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rPr>
      </w:pPr>
    </w:p>
    <w:p>
      <w:pPr>
        <w:pStyle w:val="5"/>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rPr>
      </w:pPr>
    </w:p>
    <w:p>
      <w:pPr>
        <w:pStyle w:val="5"/>
        <w:pageBreakBefore w:val="0"/>
        <w:widowControl w:val="0"/>
        <w:kinsoku/>
        <w:overflowPunct/>
        <w:topLinePunct w:val="0"/>
        <w:autoSpaceDN/>
        <w:bidi w:val="0"/>
        <w:adjustRightInd/>
        <w:snapToGrid/>
        <w:spacing w:line="560" w:lineRule="exact"/>
        <w:ind w:left="0" w:leftChars="0" w:firstLine="0" w:firstLineChars="0"/>
        <w:textAlignment w:val="auto"/>
        <w:rPr>
          <w:rFonts w:hint="eastAsia" w:ascii="仿宋_GB2312" w:hAnsi="仿宋_GB2312" w:eastAsia="仿宋_GB2312" w:cs="仿宋_GB2312"/>
          <w:color w:val="auto"/>
          <w:sz w:val="32"/>
          <w:szCs w:val="32"/>
          <w:highlight w:val="none"/>
        </w:rPr>
      </w:pPr>
    </w:p>
    <w:p>
      <w:pPr>
        <w:pStyle w:val="5"/>
        <w:pageBreakBefore w:val="0"/>
        <w:widowControl w:val="0"/>
        <w:kinsoku/>
        <w:overflowPunct/>
        <w:topLinePunct w:val="0"/>
        <w:autoSpaceDN/>
        <w:bidi w:val="0"/>
        <w:adjustRightInd/>
        <w:snapToGrid/>
        <w:spacing w:line="560" w:lineRule="exact"/>
        <w:ind w:left="840" w:leftChars="400" w:firstLine="0" w:firstLineChars="0"/>
        <w:textAlignment w:val="auto"/>
        <w:rPr>
          <w:rFonts w:hint="eastAsia" w:ascii="仿宋_GB2312" w:hAnsi="仿宋_GB2312" w:eastAsia="仿宋_GB2312" w:cs="仿宋_GB2312"/>
          <w:color w:val="auto"/>
          <w:sz w:val="32"/>
          <w:szCs w:val="32"/>
          <w:highlight w:val="none"/>
        </w:rPr>
      </w:pPr>
    </w:p>
    <w:p>
      <w:pPr>
        <w:pStyle w:val="5"/>
        <w:pageBreakBefore w:val="0"/>
        <w:widowControl w:val="0"/>
        <w:kinsoku/>
        <w:overflowPunct/>
        <w:topLinePunct w:val="0"/>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项目名称：</w:t>
      </w:r>
      <w:r>
        <w:rPr>
          <w:rFonts w:hint="eastAsia" w:ascii="仿宋_GB2312" w:hAnsi="仿宋_GB2312" w:eastAsia="仿宋_GB2312" w:cs="仿宋_GB2312"/>
          <w:color w:val="auto"/>
          <w:sz w:val="32"/>
          <w:szCs w:val="32"/>
          <w:highlight w:val="none"/>
          <w:lang w:eastAsia="zh-CN"/>
        </w:rPr>
        <w:t>叶城县伯西热克乡9村基础设施建设项目（防渗渠建设）</w:t>
      </w:r>
    </w:p>
    <w:p>
      <w:pPr>
        <w:pStyle w:val="5"/>
        <w:pageBreakBefore w:val="0"/>
        <w:widowControl w:val="0"/>
        <w:kinsoku/>
        <w:overflowPunct/>
        <w:topLinePunct w:val="0"/>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项目单位：叶城县</w:t>
      </w:r>
      <w:r>
        <w:rPr>
          <w:rFonts w:hint="eastAsia" w:ascii="仿宋_GB2312" w:hAnsi="仿宋_GB2312" w:eastAsia="仿宋_GB2312" w:cs="仿宋_GB2312"/>
          <w:color w:val="auto"/>
          <w:sz w:val="32"/>
          <w:szCs w:val="32"/>
          <w:highlight w:val="none"/>
          <w:lang w:eastAsia="zh-CN"/>
        </w:rPr>
        <w:t>伯西热克乡</w:t>
      </w:r>
      <w:r>
        <w:rPr>
          <w:rFonts w:hint="eastAsia" w:ascii="仿宋_GB2312" w:hAnsi="仿宋_GB2312" w:eastAsia="仿宋_GB2312" w:cs="仿宋_GB2312"/>
          <w:color w:val="auto"/>
          <w:sz w:val="32"/>
          <w:szCs w:val="32"/>
          <w:highlight w:val="none"/>
          <w:lang w:val="en-US" w:eastAsia="zh-CN"/>
        </w:rPr>
        <w:t>人民政府</w:t>
      </w:r>
    </w:p>
    <w:p>
      <w:pPr>
        <w:pStyle w:val="5"/>
        <w:pageBreakBefore w:val="0"/>
        <w:widowControl w:val="0"/>
        <w:kinsoku/>
        <w:overflowPunct/>
        <w:topLinePunct w:val="0"/>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主管部门：：</w:t>
      </w:r>
      <w:r>
        <w:rPr>
          <w:rFonts w:hint="eastAsia" w:ascii="仿宋_GB2312" w:hAnsi="仿宋_GB2312" w:eastAsia="仿宋_GB2312" w:cs="仿宋_GB2312"/>
          <w:color w:val="auto"/>
          <w:sz w:val="32"/>
          <w:szCs w:val="32"/>
          <w:highlight w:val="none"/>
          <w:lang w:eastAsia="zh-CN"/>
        </w:rPr>
        <w:t>叶城县乡村振兴局</w:t>
      </w:r>
    </w:p>
    <w:p>
      <w:pPr>
        <w:pStyle w:val="5"/>
        <w:pageBreakBefore w:val="0"/>
        <w:widowControl w:val="0"/>
        <w:kinsoku/>
        <w:overflowPunct/>
        <w:topLinePunct w:val="0"/>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项目负责人：</w:t>
      </w:r>
      <w:r>
        <w:rPr>
          <w:rFonts w:hint="eastAsia" w:ascii="仿宋_GB2312" w:hAnsi="仿宋_GB2312" w:eastAsia="仿宋_GB2312" w:cs="仿宋_GB2312"/>
          <w:color w:val="auto"/>
          <w:sz w:val="32"/>
          <w:szCs w:val="32"/>
          <w:highlight w:val="none"/>
          <w:lang w:val="en-US" w:eastAsia="zh-CN"/>
        </w:rPr>
        <w:t>文雄</w:t>
      </w:r>
    </w:p>
    <w:p>
      <w:pPr>
        <w:pStyle w:val="5"/>
        <w:pageBreakBefore w:val="0"/>
        <w:widowControl w:val="0"/>
        <w:kinsoku/>
        <w:overflowPunct/>
        <w:topLinePunct w:val="0"/>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填报时间：</w:t>
      </w:r>
      <w:r>
        <w:rPr>
          <w:rFonts w:hint="eastAsia" w:ascii="仿宋_GB2312" w:hAnsi="仿宋_GB2312" w:eastAsia="仿宋_GB2312" w:cs="仿宋_GB2312"/>
          <w:color w:val="auto"/>
          <w:sz w:val="32"/>
          <w:szCs w:val="32"/>
          <w:highlight w:val="none"/>
          <w:lang w:val="en-US" w:eastAsia="zh-CN"/>
        </w:rPr>
        <w:t>2023</w:t>
      </w:r>
      <w:r>
        <w:rPr>
          <w:rFonts w:hint="eastAsia" w:ascii="仿宋_GB2312" w:hAnsi="仿宋_GB2312" w:eastAsia="仿宋_GB2312" w:cs="仿宋_GB2312"/>
          <w:color w:val="auto"/>
          <w:sz w:val="32"/>
          <w:szCs w:val="32"/>
          <w:highlight w:val="none"/>
          <w:lang w:eastAsia="zh-CN"/>
        </w:rPr>
        <w:t>年</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月</w:t>
      </w:r>
      <w:r>
        <w:rPr>
          <w:rFonts w:hint="eastAsia" w:ascii="仿宋_GB2312" w:hAnsi="仿宋_GB2312" w:eastAsia="仿宋_GB2312" w:cs="仿宋_GB2312"/>
          <w:color w:val="auto"/>
          <w:sz w:val="32"/>
          <w:szCs w:val="32"/>
          <w:highlight w:val="none"/>
          <w:lang w:val="en-US" w:eastAsia="zh-CN"/>
        </w:rPr>
        <w:t>3日</w:t>
      </w:r>
    </w:p>
    <w:p>
      <w:pPr>
        <w:pStyle w:val="5"/>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eastAsia="zh-CN"/>
        </w:rPr>
      </w:pPr>
    </w:p>
    <w:p>
      <w:pPr>
        <w:pStyle w:val="5"/>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eastAsia="zh-CN"/>
        </w:rPr>
      </w:pPr>
    </w:p>
    <w:p>
      <w:pPr>
        <w:pStyle w:val="5"/>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kinsoku/>
        <w:overflowPunct/>
        <w:topLinePunct w:val="0"/>
        <w:autoSpaceDN/>
        <w:bidi w:val="0"/>
        <w:adjustRightInd/>
        <w:snapToGrid/>
        <w:spacing w:line="560" w:lineRule="exact"/>
        <w:ind w:left="1928" w:hanging="1928" w:hangingChars="600"/>
        <w:jc w:val="left"/>
        <w:textAlignment w:val="auto"/>
        <w:rPr>
          <w:rFonts w:hint="eastAsia" w:ascii="黑体" w:hAnsi="黑体" w:eastAsia="黑体" w:cs="黑体"/>
          <w:b/>
          <w:bCs/>
          <w:color w:val="auto"/>
          <w:sz w:val="32"/>
          <w:szCs w:val="32"/>
          <w:highlight w:val="none"/>
          <w:lang w:eastAsia="zh-CN"/>
        </w:rPr>
      </w:pPr>
      <w:r>
        <w:rPr>
          <w:rFonts w:hint="eastAsia" w:ascii="黑体" w:hAnsi="黑体" w:eastAsia="黑体" w:cs="黑体"/>
          <w:b/>
          <w:bCs/>
          <w:color w:val="auto"/>
          <w:sz w:val="32"/>
          <w:szCs w:val="32"/>
          <w:highlight w:val="none"/>
          <w:lang w:val="en-US" w:eastAsia="zh-CN"/>
        </w:rPr>
        <w:t>叶城县伯西热克乡人民政府2022</w:t>
      </w:r>
      <w:r>
        <w:rPr>
          <w:rFonts w:hint="eastAsia" w:ascii="黑体" w:hAnsi="黑体" w:eastAsia="黑体" w:cs="黑体"/>
          <w:b/>
          <w:bCs/>
          <w:color w:val="auto"/>
          <w:sz w:val="32"/>
          <w:szCs w:val="32"/>
          <w:highlight w:val="none"/>
          <w:lang w:eastAsia="zh-CN"/>
        </w:rPr>
        <w:t>年财政衔接推进乡村振兴补助资金绩效自评总结报告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黑体" w:hAnsi="黑体" w:eastAsia="黑体" w:cs="黑体"/>
          <w:b/>
          <w:color w:val="auto"/>
          <w:sz w:val="32"/>
          <w:szCs w:val="32"/>
          <w:highlight w:val="none"/>
        </w:rPr>
      </w:pP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一、绩效目标分解下达情况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w:t>
      </w:r>
      <w:r>
        <w:rPr>
          <w:rFonts w:hint="eastAsia" w:ascii="仿宋_GB2312" w:hAnsi="仿宋_GB2312" w:eastAsia="仿宋_GB2312" w:cs="仿宋_GB2312"/>
          <w:b/>
          <w:bCs/>
          <w:color w:val="auto"/>
          <w:sz w:val="32"/>
          <w:szCs w:val="32"/>
          <w:highlight w:val="none"/>
          <w:lang w:eastAsia="zh-CN"/>
        </w:rPr>
        <w:t>财政衔接推进乡村振兴补助资金</w:t>
      </w:r>
      <w:r>
        <w:rPr>
          <w:rFonts w:hint="eastAsia" w:ascii="仿宋_GB2312" w:hAnsi="仿宋_GB2312" w:eastAsia="仿宋_GB2312" w:cs="仿宋_GB2312"/>
          <w:b/>
          <w:bCs/>
          <w:color w:val="auto"/>
          <w:sz w:val="32"/>
          <w:szCs w:val="32"/>
          <w:highlight w:val="none"/>
        </w:rPr>
        <w:t>下达预算及项目情况。</w:t>
      </w:r>
    </w:p>
    <w:p>
      <w:pPr>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根据《关于下达2022年自治区财政衔接推进乡村振兴补助资金预算的通知》（新财振〔2022〕18号），下达2022年自治区财政衔接推进乡村振兴补助资金，</w:t>
      </w:r>
      <w:r>
        <w:rPr>
          <w:rFonts w:hint="eastAsia" w:ascii="仿宋_GB2312" w:hAnsi="仿宋_GB2312" w:eastAsia="仿宋_GB2312" w:cs="仿宋_GB2312"/>
          <w:b w:val="0"/>
          <w:bCs w:val="0"/>
          <w:color w:val="auto"/>
          <w:kern w:val="0"/>
          <w:sz w:val="32"/>
          <w:szCs w:val="32"/>
          <w:highlight w:val="none"/>
          <w:lang w:eastAsia="zh-CN" w:bidi="en-US"/>
        </w:rPr>
        <w:t>叶城县伯西热克乡9村基础设施建设项目（防渗渠建设）</w:t>
      </w:r>
      <w:r>
        <w:rPr>
          <w:rFonts w:hint="eastAsia" w:ascii="仿宋_GB2312" w:hAnsi="仿宋_GB2312" w:eastAsia="仿宋_GB2312" w:cs="仿宋_GB2312"/>
          <w:color w:val="auto"/>
          <w:kern w:val="0"/>
          <w:sz w:val="32"/>
          <w:szCs w:val="32"/>
          <w:highlight w:val="none"/>
          <w:lang w:eastAsia="zh-CN" w:bidi="en-US"/>
        </w:rPr>
        <w:t>，</w:t>
      </w:r>
      <w:r>
        <w:rPr>
          <w:rFonts w:hint="eastAsia" w:ascii="仿宋_GB2312" w:hAnsi="仿宋_GB2312" w:eastAsia="仿宋_GB2312" w:cs="仿宋_GB2312"/>
          <w:color w:val="auto"/>
          <w:kern w:val="0"/>
          <w:sz w:val="32"/>
          <w:szCs w:val="32"/>
          <w:highlight w:val="none"/>
          <w:lang w:val="en-US" w:eastAsia="zh-CN" w:bidi="ar-SA"/>
        </w:rPr>
        <w:t>项目预算资金185万元，</w:t>
      </w:r>
      <w:r>
        <w:rPr>
          <w:rFonts w:hint="eastAsia" w:ascii="仿宋_GB2312" w:hAnsi="仿宋_GB2312" w:eastAsia="仿宋_GB2312" w:cs="仿宋_GB2312"/>
          <w:color w:val="auto"/>
          <w:kern w:val="2"/>
          <w:sz w:val="32"/>
          <w:szCs w:val="32"/>
          <w:highlight w:val="none"/>
          <w:lang w:val="en-US" w:eastAsia="zh-CN" w:bidi="ar-SA"/>
        </w:rPr>
        <w:t>项目的实施后可大幅度改善项目村村民生活环境，提高村民生活素质，进一步增强项目村农户幸福感和获得感。</w:t>
      </w:r>
    </w:p>
    <w:p>
      <w:pPr>
        <w:keepNext w:val="0"/>
        <w:keepLines w:val="0"/>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eastAsia="zh-CN"/>
        </w:rPr>
        <w:t>财政衔接推进乡村振兴补助资金</w:t>
      </w:r>
      <w:r>
        <w:rPr>
          <w:rFonts w:hint="eastAsia" w:ascii="仿宋_GB2312" w:hAnsi="仿宋_GB2312" w:eastAsia="仿宋_GB2312" w:cs="仿宋_GB2312"/>
          <w:b/>
          <w:bCs/>
          <w:color w:val="auto"/>
          <w:sz w:val="32"/>
          <w:szCs w:val="32"/>
          <w:highlight w:val="none"/>
        </w:rPr>
        <w:t>项目绩效目标设定情况。</w:t>
      </w:r>
    </w:p>
    <w:p>
      <w:pPr>
        <w:pStyle w:val="17"/>
        <w:pageBreakBefore w:val="0"/>
        <w:widowControl w:val="0"/>
        <w:kinsoku/>
        <w:wordWrap/>
        <w:overflowPunct/>
        <w:topLinePunct w:val="0"/>
        <w:autoSpaceDN/>
        <w:bidi w:val="0"/>
        <w:adjustRightInd/>
        <w:snapToGrid/>
        <w:spacing w:line="560" w:lineRule="exact"/>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喀地财扶【2021】9号共安排下达资金200万元，为衔接资金，最终确定项目资金总数为200万元。</w:t>
      </w:r>
    </w:p>
    <w:p>
      <w:pPr>
        <w:keepNext w:val="0"/>
        <w:keepLines w:val="0"/>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1.项目绩效总目标</w:t>
      </w:r>
    </w:p>
    <w:p>
      <w:pPr>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该项目实施完成后，项目总投资200万元，将用于伯西热克乡9村修建防渗渠1公里，透水路面2000平方米。带动当地特色产业的发展，活跃当地的经济市场，促进资源的合理利用，带动当地就业市场的发展。带动增加受益脱贫户人口全年总收入达到20万元，受益脱贫户人口数达到20人。</w:t>
      </w:r>
    </w:p>
    <w:p>
      <w:pPr>
        <w:keepNext w:val="0"/>
        <w:keepLines w:val="0"/>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2.阶段性目标</w:t>
      </w:r>
    </w:p>
    <w:p>
      <w:pPr>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2022年12月1日-2022年12月20日完成项目前期手续办理、招投标等</w:t>
      </w:r>
    </w:p>
    <w:p>
      <w:pPr>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2022年12月21日-2022年12月30日，完成合同签订</w:t>
      </w:r>
    </w:p>
    <w:p>
      <w:pPr>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2022年12月31日-2023年5月30日完成防渗渠、验收、资金拨付等。</w:t>
      </w:r>
    </w:p>
    <w:p>
      <w:pPr>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二、绩效自评工作开展情况</w:t>
      </w:r>
    </w:p>
    <w:p>
      <w:pPr>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包括自评工作开展范围、对象、时间及方式等。</w:t>
      </w:r>
    </w:p>
    <w:p>
      <w:pPr>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 绩效评价范围</w:t>
      </w:r>
    </w:p>
    <w:p>
      <w:pPr>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2"/>
          <w:sz w:val="32"/>
          <w:szCs w:val="32"/>
          <w:highlight w:val="none"/>
          <w:lang w:val="en-US" w:eastAsia="zh-CN" w:bidi="ar-SA"/>
        </w:rPr>
        <w:t>本次评价范围涵盖项目总体绩效目标、各项绩效指标完成情况以及预算执行情况。覆盖项目预算资金支出的所</w:t>
      </w:r>
      <w:r>
        <w:rPr>
          <w:rFonts w:hint="eastAsia" w:ascii="仿宋_GB2312" w:hAnsi="仿宋_GB2312" w:eastAsia="仿宋_GB2312" w:cs="仿宋_GB2312"/>
          <w:color w:val="auto"/>
          <w:sz w:val="32"/>
          <w:szCs w:val="32"/>
          <w:highlight w:val="none"/>
        </w:rPr>
        <w:t>有内容进行评价。包括项目决策、项目实施和项目成果验收流程等。</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 绩效评价对象</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3.绩效评价时间</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2023年1月3日-2023年1月30日</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4. 绩效评价方法</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本次绩效评价方法的选用坚持简便有效的原则采用综合分析法。</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4. 绩效评价标准</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0" w:name="_Toc68364663"/>
      <w:r>
        <w:rPr>
          <w:rFonts w:hint="eastAsia" w:ascii="仿宋_GB2312" w:hAnsi="仿宋_GB2312" w:eastAsia="仿宋_GB2312" w:cs="仿宋_GB2312"/>
          <w:color w:val="auto"/>
          <w:sz w:val="32"/>
          <w:szCs w:val="32"/>
          <w:highlight w:val="none"/>
          <w:lang w:val="en-US" w:eastAsia="zh-CN"/>
        </w:rPr>
        <w:t>绩效评价标准通常包括计划标准、行业标准、历史标准等，用于对绩效指标完成情况进行比较、分析、评价。本次评价主要采用了计划标准。</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1" w:name="_Toc17882"/>
      <w:bookmarkStart w:id="2" w:name="_Toc31464"/>
      <w:r>
        <w:rPr>
          <w:rFonts w:hint="eastAsia" w:ascii="仿宋_GB2312" w:hAnsi="仿宋_GB2312" w:eastAsia="仿宋_GB2312" w:cs="仿宋_GB2312"/>
          <w:color w:val="auto"/>
          <w:sz w:val="32"/>
          <w:szCs w:val="32"/>
          <w:highlight w:val="none"/>
          <w:lang w:val="en-US" w:eastAsia="zh-CN"/>
        </w:rPr>
        <w:t>计划标准：指以预先制定的目标、计划、预算、定额等作为评价标准。</w:t>
      </w:r>
      <w:bookmarkEnd w:id="1"/>
      <w:bookmarkEnd w:id="2"/>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3" w:name="_Toc2318"/>
      <w:bookmarkStart w:id="4" w:name="_Toc5633"/>
      <w:r>
        <w:rPr>
          <w:rFonts w:hint="eastAsia" w:ascii="仿宋_GB2312" w:hAnsi="仿宋_GB2312" w:eastAsia="仿宋_GB2312" w:cs="仿宋_GB2312"/>
          <w:color w:val="auto"/>
          <w:sz w:val="32"/>
          <w:szCs w:val="32"/>
          <w:highlight w:val="none"/>
          <w:lang w:val="en-US" w:eastAsia="zh-CN"/>
        </w:rPr>
        <w:t>行业标准：指参照国家公布的行业指标数据制定的评价标准。</w:t>
      </w:r>
      <w:bookmarkEnd w:id="3"/>
      <w:bookmarkEnd w:id="4"/>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5" w:name="_Toc16028"/>
      <w:bookmarkStart w:id="6" w:name="_Toc430"/>
      <w:r>
        <w:rPr>
          <w:rFonts w:hint="eastAsia" w:ascii="仿宋_GB2312" w:hAnsi="仿宋_GB2312" w:eastAsia="仿宋_GB2312" w:cs="仿宋_GB2312"/>
          <w:color w:val="auto"/>
          <w:sz w:val="32"/>
          <w:szCs w:val="32"/>
          <w:highlight w:val="none"/>
          <w:lang w:val="en-US" w:eastAsia="zh-CN"/>
        </w:rPr>
        <w:t>历史标准：指参照历史数据制定的评价标准，为体现绩效改进的原则，在可实现的条件下应当确定相对较高的评价标准。</w:t>
      </w:r>
      <w:bookmarkEnd w:id="0"/>
      <w:bookmarkEnd w:id="5"/>
      <w:bookmarkEnd w:id="6"/>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（三）绩效评价工作过程</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本次评价成立了评价工作组，成员如下：</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本次评价设计了评价方案、评价指标体系，通过资料分析、调研、访谈满意度调查等方式形成评价结论，在与项目单位沟通后确定评价意见，并出具评价报告。</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第一阶段：前期准备。认真学习相关要求与规定，成立绩效评价工作组，作为绩效评价工作具体实施机构。成员构成如下：</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杨永春任评价组组长，绩效评价工作职责为负责全盘工作。</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文雄任评价组副组长，绩效评价工作职责为为对项目实施情况进行实地调查。</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戴玉祥任评价组成员，绩效评价工作职责为负责资料审核等工作。</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第二阶段：组织实施。经评价组通过实地调研、查阅资料等方式，采用综合分析法对项目的决策、管理、绩效进行的综合评价分析。</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第三阶段：分析评价。首先按照指标体系进行定量、定性分析。其次开展量化打分、综合评价工作，形成初步评价结论。最后归纳整体项目情况与存在问题，撰写部门绩效评价报告。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val="0"/>
          <w:color w:val="auto"/>
          <w:sz w:val="32"/>
          <w:szCs w:val="32"/>
          <w:highlight w:val="none"/>
        </w:rPr>
      </w:pPr>
      <w:r>
        <w:rPr>
          <w:rFonts w:hint="eastAsia" w:ascii="仿宋_GB2312" w:hAnsi="仿宋_GB2312" w:eastAsia="仿宋_GB2312" w:cs="仿宋_GB2312"/>
          <w:b/>
          <w:bCs w:val="0"/>
          <w:color w:val="auto"/>
          <w:sz w:val="32"/>
          <w:szCs w:val="32"/>
          <w:highlight w:val="none"/>
        </w:rPr>
        <w:t>三、绩效目标自评完成情况分析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val="0"/>
          <w:color w:val="auto"/>
          <w:sz w:val="32"/>
          <w:szCs w:val="32"/>
          <w:highlight w:val="none"/>
        </w:rPr>
      </w:pPr>
      <w:r>
        <w:rPr>
          <w:rFonts w:hint="eastAsia" w:ascii="仿宋_GB2312" w:hAnsi="仿宋_GB2312" w:eastAsia="仿宋_GB2312" w:cs="仿宋_GB2312"/>
          <w:b/>
          <w:bCs w:val="0"/>
          <w:color w:val="auto"/>
          <w:sz w:val="32"/>
          <w:szCs w:val="32"/>
          <w:highlight w:val="none"/>
        </w:rPr>
        <w:t>(一）资金投入情况分析。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val="0"/>
          <w:color w:val="auto"/>
          <w:sz w:val="32"/>
          <w:szCs w:val="32"/>
          <w:highlight w:val="none"/>
        </w:rPr>
      </w:pPr>
      <w:r>
        <w:rPr>
          <w:rFonts w:hint="eastAsia" w:ascii="仿宋_GB2312" w:hAnsi="仿宋_GB2312" w:eastAsia="仿宋_GB2312" w:cs="仿宋_GB2312"/>
          <w:b/>
          <w:bCs w:val="0"/>
          <w:color w:val="auto"/>
          <w:sz w:val="32"/>
          <w:szCs w:val="32"/>
          <w:highlight w:val="none"/>
        </w:rPr>
        <w:t>1.项目资金到位情况分析。</w:t>
      </w:r>
    </w:p>
    <w:p>
      <w:pPr>
        <w:pStyle w:val="5"/>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喀地财扶</w:t>
      </w: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rPr>
        <w:t>号共安排下达资金</w:t>
      </w:r>
      <w:r>
        <w:rPr>
          <w:rFonts w:hint="eastAsia" w:ascii="仿宋_GB2312" w:hAnsi="仿宋_GB2312" w:eastAsia="仿宋_GB2312" w:cs="仿宋_GB2312"/>
          <w:color w:val="auto"/>
          <w:sz w:val="32"/>
          <w:szCs w:val="32"/>
          <w:highlight w:val="none"/>
          <w:lang w:val="en-US" w:eastAsia="zh-CN"/>
        </w:rPr>
        <w:t>200万元</w:t>
      </w:r>
      <w:r>
        <w:rPr>
          <w:rFonts w:hint="eastAsia" w:ascii="仿宋_GB2312" w:hAnsi="仿宋_GB2312" w:eastAsia="仿宋_GB2312" w:cs="仿宋_GB2312"/>
          <w:color w:val="auto"/>
          <w:sz w:val="32"/>
          <w:szCs w:val="32"/>
          <w:highlight w:val="none"/>
        </w:rPr>
        <w:t>，为</w:t>
      </w:r>
      <w:r>
        <w:rPr>
          <w:rFonts w:hint="eastAsia" w:ascii="仿宋_GB2312" w:hAnsi="仿宋_GB2312" w:eastAsia="仿宋_GB2312" w:cs="仿宋_GB2312"/>
          <w:color w:val="auto"/>
          <w:sz w:val="32"/>
          <w:szCs w:val="32"/>
          <w:highlight w:val="none"/>
          <w:lang w:val="en-US" w:eastAsia="zh-CN"/>
        </w:rPr>
        <w:t>衔接</w:t>
      </w:r>
      <w:r>
        <w:rPr>
          <w:rFonts w:hint="eastAsia" w:ascii="仿宋_GB2312" w:hAnsi="仿宋_GB2312" w:eastAsia="仿宋_GB2312" w:cs="仿宋_GB2312"/>
          <w:color w:val="auto"/>
          <w:sz w:val="32"/>
          <w:szCs w:val="32"/>
          <w:highlight w:val="none"/>
        </w:rPr>
        <w:t>资金，最终确定项目资金总数为</w:t>
      </w:r>
      <w:r>
        <w:rPr>
          <w:rFonts w:hint="eastAsia" w:ascii="仿宋_GB2312" w:hAnsi="仿宋_GB2312" w:eastAsia="仿宋_GB2312" w:cs="仿宋_GB2312"/>
          <w:color w:val="auto"/>
          <w:sz w:val="32"/>
          <w:szCs w:val="32"/>
          <w:highlight w:val="none"/>
          <w:lang w:val="en-US" w:eastAsia="zh-CN"/>
        </w:rPr>
        <w:t>200万元</w:t>
      </w:r>
      <w:r>
        <w:rPr>
          <w:rFonts w:hint="eastAsia" w:ascii="仿宋_GB2312" w:hAnsi="仿宋_GB2312" w:eastAsia="仿宋_GB2312" w:cs="仿宋_GB2312"/>
          <w:color w:val="auto"/>
          <w:sz w:val="32"/>
          <w:szCs w:val="32"/>
          <w:highlight w:val="none"/>
        </w:rPr>
        <w:t>。</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2.项目资金执行情况分析。</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叶城县伯西热克乡9村基础设施建设项目（防渗渠建设）预算200万元，到位200万元，实际支出132.51万元，预算执行率为66.3%，本项目能够严格按照《项目实施方案》执行，项目执行情况较好。本项目绩效评价工作，有乡镇主要领导亲自挂帅，分管县领导具体负责，从项目到资金，均能后很好的执行。我单位及时向县领导汇报项目建设进度，加强与施工单位的沟通，确保项目按期完工。</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3.项目资金管理情况分析。</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本项目支出符合《喀什地区财政巩固拓展脱贫攻坚成果同乡村振兴有效衔接资金管理办法（试行）》</w:t>
      </w:r>
      <w:bookmarkStart w:id="7" w:name="_GoBack"/>
      <w:bookmarkEnd w:id="7"/>
      <w:r>
        <w:rPr>
          <w:rFonts w:hint="eastAsia" w:ascii="仿宋_GB2312" w:hAnsi="仿宋_GB2312" w:eastAsia="仿宋_GB2312" w:cs="仿宋_GB2312"/>
          <w:color w:val="auto"/>
          <w:kern w:val="2"/>
          <w:sz w:val="32"/>
          <w:szCs w:val="32"/>
          <w:highlight w:val="none"/>
          <w:lang w:val="en-US" w:eastAsia="zh-CN" w:bidi="ar-SA"/>
        </w:rPr>
        <w:t>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(二）绩效目标完成情况分析。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1.产出指标完成情况分析。</w:t>
      </w:r>
    </w:p>
    <w:p>
      <w:pPr>
        <w:pStyle w:val="5"/>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）对于“产出数量”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透水路面修建面积</w:t>
      </w:r>
      <w:r>
        <w:rPr>
          <w:rFonts w:hint="eastAsia" w:ascii="仿宋_GB2312" w:hAnsi="仿宋_GB2312" w:eastAsia="仿宋_GB2312" w:cs="仿宋_GB2312"/>
          <w:color w:val="auto"/>
          <w:sz w:val="32"/>
          <w:szCs w:val="32"/>
          <w:highlight w:val="none"/>
          <w:lang w:val="en-US" w:eastAsia="zh-CN"/>
        </w:rPr>
        <w:t>2000平方米</w:t>
      </w:r>
      <w:r>
        <w:rPr>
          <w:rFonts w:hint="eastAsia" w:ascii="仿宋_GB2312" w:hAnsi="仿宋_GB2312" w:eastAsia="仿宋_GB2312" w:cs="仿宋_GB2312"/>
          <w:color w:val="auto"/>
          <w:sz w:val="32"/>
          <w:szCs w:val="32"/>
          <w:highlight w:val="none"/>
        </w:rPr>
        <w:t>，与预期目标一致，</w:t>
      </w:r>
      <w:r>
        <w:rPr>
          <w:rFonts w:hint="eastAsia" w:ascii="仿宋_GB2312" w:hAnsi="仿宋_GB2312" w:eastAsia="仿宋_GB2312" w:cs="仿宋_GB2312"/>
          <w:color w:val="auto"/>
          <w:kern w:val="2"/>
          <w:sz w:val="32"/>
          <w:szCs w:val="32"/>
          <w:highlight w:val="none"/>
          <w:lang w:val="en-US" w:eastAsia="zh-CN" w:bidi="ar"/>
        </w:rPr>
        <w:t>指标标杆分值10分，根据评分标准，该指标不扣分。得10分。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新建防渗渠长度</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公里，与预期目标一致，</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指标标杆分值为5分，根据评分标准，该指标不扣分。得0分。</w:t>
      </w:r>
    </w:p>
    <w:p>
      <w:pPr>
        <w:pStyle w:val="5"/>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）对于“产出质量”：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★项目验收合格率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与预期目标一致，</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指标标杆分值为5分，根据评分标准，该指标不扣分。得0分。</w:t>
      </w:r>
    </w:p>
    <w:p>
      <w:pPr>
        <w:pStyle w:val="5"/>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）对于“产出时效”：</w:t>
      </w:r>
    </w:p>
    <w:p>
      <w:pPr>
        <w:pStyle w:val="5"/>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sz w:val="32"/>
          <w:szCs w:val="32"/>
          <w:highlight w:val="none"/>
        </w:rPr>
        <w:t>项目开工时间</w:t>
      </w:r>
      <w:r>
        <w:rPr>
          <w:rFonts w:hint="eastAsia" w:ascii="仿宋_GB2312" w:hAnsi="仿宋_GB2312" w:eastAsia="仿宋_GB2312" w:cs="仿宋_GB2312"/>
          <w:color w:val="auto"/>
          <w:sz w:val="32"/>
          <w:szCs w:val="32"/>
          <w:highlight w:val="none"/>
          <w:lang w:val="en-US" w:eastAsia="zh-CN"/>
        </w:rPr>
        <w:t>2022年12月，</w:t>
      </w:r>
      <w:r>
        <w:rPr>
          <w:rFonts w:hint="eastAsia" w:ascii="仿宋_GB2312" w:hAnsi="仿宋_GB2312" w:eastAsia="仿宋_GB2312" w:cs="仿宋_GB2312"/>
          <w:color w:val="auto"/>
          <w:sz w:val="32"/>
          <w:szCs w:val="32"/>
          <w:highlight w:val="none"/>
        </w:rPr>
        <w:t>与预期目标一致，</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指标标杆分值为5分，根据评分标准，该指标不扣分。得5分。</w:t>
      </w:r>
    </w:p>
    <w:p>
      <w:pPr>
        <w:pStyle w:val="5"/>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sz w:val="32"/>
          <w:szCs w:val="32"/>
          <w:highlight w:val="none"/>
        </w:rPr>
        <w:t>项目</w:t>
      </w:r>
      <w:r>
        <w:rPr>
          <w:rFonts w:hint="eastAsia" w:ascii="仿宋_GB2312" w:hAnsi="仿宋_GB2312" w:eastAsia="仿宋_GB2312" w:cs="仿宋_GB2312"/>
          <w:color w:val="auto"/>
          <w:sz w:val="32"/>
          <w:szCs w:val="32"/>
          <w:highlight w:val="none"/>
          <w:lang w:val="en-US" w:eastAsia="zh-CN"/>
        </w:rPr>
        <w:t>完工</w:t>
      </w:r>
      <w:r>
        <w:rPr>
          <w:rFonts w:hint="eastAsia" w:ascii="仿宋_GB2312" w:hAnsi="仿宋_GB2312" w:eastAsia="仿宋_GB2312" w:cs="仿宋_GB2312"/>
          <w:color w:val="auto"/>
          <w:sz w:val="32"/>
          <w:szCs w:val="32"/>
          <w:highlight w:val="none"/>
        </w:rPr>
        <w:t>时间</w:t>
      </w:r>
      <w:r>
        <w:rPr>
          <w:rFonts w:hint="eastAsia" w:ascii="仿宋_GB2312" w:hAnsi="仿宋_GB2312" w:eastAsia="仿宋_GB2312" w:cs="仿宋_GB2312"/>
          <w:color w:val="auto"/>
          <w:sz w:val="32"/>
          <w:szCs w:val="32"/>
          <w:highlight w:val="none"/>
          <w:lang w:val="en-US" w:eastAsia="zh-CN"/>
        </w:rPr>
        <w:t>2023年5月，</w:t>
      </w:r>
      <w:r>
        <w:rPr>
          <w:rFonts w:hint="eastAsia" w:ascii="仿宋_GB2312" w:hAnsi="仿宋_GB2312" w:eastAsia="仿宋_GB2312" w:cs="仿宋_GB2312"/>
          <w:color w:val="auto"/>
          <w:sz w:val="32"/>
          <w:szCs w:val="32"/>
          <w:highlight w:val="none"/>
        </w:rPr>
        <w:t>与预期目标一致，</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指标标杆分值为5分，根据评分标准，该指标不扣分。得0分。</w:t>
      </w:r>
    </w:p>
    <w:p>
      <w:pPr>
        <w:pStyle w:val="5"/>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sz w:val="32"/>
          <w:szCs w:val="32"/>
          <w:highlight w:val="none"/>
        </w:rPr>
        <w:t xml:space="preserve"> ★项目完成及时率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与预期目标一致，</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指标标杆分值为5分，根据评分标准，该指标不扣分。得3.3分。</w:t>
      </w:r>
    </w:p>
    <w:p>
      <w:pPr>
        <w:pStyle w:val="5"/>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（4）对于“产出成本”：</w:t>
      </w:r>
    </w:p>
    <w:p>
      <w:pPr>
        <w:pStyle w:val="5"/>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sz w:val="32"/>
          <w:szCs w:val="32"/>
          <w:highlight w:val="none"/>
        </w:rPr>
        <w:t>透水路年每平方米修建成本</w:t>
      </w:r>
      <w:r>
        <w:rPr>
          <w:rFonts w:hint="eastAsia" w:ascii="仿宋_GB2312" w:hAnsi="仿宋_GB2312" w:eastAsia="仿宋_GB2312" w:cs="仿宋_GB2312"/>
          <w:color w:val="auto"/>
          <w:sz w:val="32"/>
          <w:szCs w:val="32"/>
          <w:highlight w:val="none"/>
          <w:lang w:val="en-US" w:eastAsia="zh-CN"/>
        </w:rPr>
        <w:t>650元</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平方米</w:t>
      </w:r>
      <w:r>
        <w:rPr>
          <w:rFonts w:hint="eastAsia" w:ascii="仿宋_GB2312" w:hAnsi="仿宋_GB2312" w:eastAsia="仿宋_GB2312" w:cs="仿宋_GB2312"/>
          <w:color w:val="auto"/>
          <w:sz w:val="32"/>
          <w:szCs w:val="32"/>
          <w:highlight w:val="none"/>
        </w:rPr>
        <w:t>，项目经费都能控制绩效目标范围内，</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Style w:val="5"/>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每公里防渗渠修建成本</w:t>
      </w:r>
      <w:r>
        <w:rPr>
          <w:rFonts w:hint="eastAsia" w:ascii="仿宋_GB2312" w:hAnsi="仿宋_GB2312" w:eastAsia="仿宋_GB2312" w:cs="仿宋_GB2312"/>
          <w:color w:val="auto"/>
          <w:sz w:val="32"/>
          <w:szCs w:val="32"/>
          <w:highlight w:val="none"/>
          <w:lang w:val="en-US" w:eastAsia="zh-CN"/>
        </w:rPr>
        <w:t>70万元/公里，</w:t>
      </w:r>
      <w:r>
        <w:rPr>
          <w:rFonts w:hint="eastAsia" w:ascii="仿宋_GB2312" w:hAnsi="仿宋_GB2312" w:eastAsia="仿宋_GB2312" w:cs="仿宋_GB2312"/>
          <w:color w:val="auto"/>
          <w:sz w:val="32"/>
          <w:szCs w:val="32"/>
          <w:highlight w:val="none"/>
        </w:rPr>
        <w:t>项目经费都能控制绩效目标范围内，</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指标标杆分值为5分，根据评分标准，该指标不扣分。得0.14分。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2.效益指标完成情况分析。</w:t>
      </w:r>
    </w:p>
    <w:p>
      <w:pPr>
        <w:pStyle w:val="5"/>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对于“社会效益指标”：</w:t>
      </w:r>
    </w:p>
    <w:p>
      <w:pPr>
        <w:pStyle w:val="5"/>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★★带动增加脱贫户和边缘易致贫户就业</w:t>
      </w:r>
      <w:r>
        <w:rPr>
          <w:rFonts w:hint="eastAsia" w:ascii="仿宋_GB2312" w:hAnsi="仿宋_GB2312" w:eastAsia="仿宋_GB2312" w:cs="仿宋_GB2312"/>
          <w:color w:val="auto"/>
          <w:sz w:val="32"/>
          <w:szCs w:val="32"/>
          <w:highlight w:val="none"/>
          <w:lang w:val="en-US" w:eastAsia="zh-CN"/>
        </w:rPr>
        <w:t>20人</w:t>
      </w:r>
      <w:r>
        <w:rPr>
          <w:rFonts w:hint="eastAsia" w:ascii="仿宋_GB2312" w:hAnsi="仿宋_GB2312" w:eastAsia="仿宋_GB2312" w:cs="仿宋_GB2312"/>
          <w:color w:val="auto"/>
          <w:sz w:val="32"/>
          <w:szCs w:val="32"/>
          <w:highlight w:val="none"/>
        </w:rPr>
        <w:t>，与预期指标一致，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Style w:val="5"/>
        <w:pageBreakBefore w:val="0"/>
        <w:widowControl w:val="0"/>
        <w:numPr>
          <w:ilvl w:val="0"/>
          <w:numId w:val="1"/>
        </w:numPr>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对于“可持续影响指标”：</w:t>
      </w:r>
    </w:p>
    <w:p>
      <w:pPr>
        <w:pStyle w:val="5"/>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sz w:val="32"/>
          <w:szCs w:val="32"/>
          <w:highlight w:val="none"/>
          <w:lang w:val="en-US" w:eastAsia="zh-CN"/>
        </w:rPr>
        <w:t>工厂设计使用年限5年，</w:t>
      </w:r>
      <w:r>
        <w:rPr>
          <w:rFonts w:hint="eastAsia" w:ascii="仿宋_GB2312" w:hAnsi="仿宋_GB2312" w:eastAsia="仿宋_GB2312" w:cs="仿宋_GB2312"/>
          <w:color w:val="auto"/>
          <w:sz w:val="32"/>
          <w:szCs w:val="32"/>
          <w:highlight w:val="none"/>
        </w:rPr>
        <w:t>与预期指标一致，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Style w:val="5"/>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）对于“经济效益指标”：</w:t>
      </w:r>
    </w:p>
    <w:p>
      <w:pPr>
        <w:pStyle w:val="5"/>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sz w:val="32"/>
          <w:szCs w:val="32"/>
          <w:highlight w:val="none"/>
        </w:rPr>
        <w:t xml:space="preserve"> ★★★带动增加受益脱贫户人口全年总收入</w:t>
      </w:r>
      <w:r>
        <w:rPr>
          <w:rFonts w:hint="eastAsia" w:ascii="仿宋_GB2312" w:hAnsi="仿宋_GB2312" w:eastAsia="仿宋_GB2312" w:cs="仿宋_GB2312"/>
          <w:color w:val="auto"/>
          <w:sz w:val="32"/>
          <w:szCs w:val="32"/>
          <w:highlight w:val="none"/>
          <w:lang w:val="en-US" w:eastAsia="zh-CN"/>
        </w:rPr>
        <w:t>20万元</w:t>
      </w:r>
      <w:r>
        <w:rPr>
          <w:rFonts w:hint="eastAsia" w:ascii="仿宋_GB2312" w:hAnsi="仿宋_GB2312" w:eastAsia="仿宋_GB2312" w:cs="仿宋_GB2312"/>
          <w:color w:val="auto"/>
          <w:sz w:val="32"/>
          <w:szCs w:val="32"/>
          <w:highlight w:val="none"/>
        </w:rPr>
        <w:t>，与预期指标一致，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Style w:val="5"/>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对于“</w:t>
      </w:r>
      <w:r>
        <w:rPr>
          <w:rFonts w:hint="eastAsia" w:ascii="仿宋_GB2312" w:hAnsi="仿宋_GB2312" w:eastAsia="仿宋_GB2312" w:cs="仿宋_GB2312"/>
          <w:color w:val="auto"/>
          <w:sz w:val="32"/>
          <w:szCs w:val="32"/>
          <w:highlight w:val="none"/>
          <w:lang w:val="en-US" w:eastAsia="zh-CN"/>
        </w:rPr>
        <w:t>生态效益</w:t>
      </w:r>
      <w:r>
        <w:rPr>
          <w:rFonts w:hint="eastAsia" w:ascii="仿宋_GB2312" w:hAnsi="仿宋_GB2312" w:eastAsia="仿宋_GB2312" w:cs="仿宋_GB2312"/>
          <w:color w:val="auto"/>
          <w:sz w:val="32"/>
          <w:szCs w:val="32"/>
          <w:highlight w:val="none"/>
        </w:rPr>
        <w:t>指标”：</w:t>
      </w:r>
    </w:p>
    <w:p>
      <w:pPr>
        <w:pStyle w:val="5"/>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该项目无此指标</w:t>
      </w:r>
    </w:p>
    <w:p>
      <w:pPr>
        <w:pStyle w:val="5"/>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2.满意度指标:</w:t>
      </w:r>
    </w:p>
    <w:p>
      <w:pPr>
        <w:pStyle w:val="5"/>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根据问卷调查，★受益巩固脱贫户满意度9</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实际</w:t>
      </w:r>
      <w:r>
        <w:rPr>
          <w:rFonts w:hint="eastAsia" w:ascii="仿宋_GB2312" w:hAnsi="仿宋_GB2312" w:eastAsia="仿宋_GB2312" w:cs="仿宋_GB2312"/>
          <w:color w:val="auto"/>
          <w:sz w:val="32"/>
          <w:szCs w:val="32"/>
          <w:highlight w:val="none"/>
        </w:rPr>
        <w:t>★受益巩固脱贫户满意度</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%与预期目标一致，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right="0"/>
        <w:jc w:val="left"/>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四、偏离绩效目标的原因和下一步改进措施</w:t>
      </w:r>
    </w:p>
    <w:p>
      <w:pPr>
        <w:pStyle w:val="5"/>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叶城县伯西热克乡9村基础设施建设项目（防渗渠建设）</w:t>
      </w:r>
      <w:r>
        <w:rPr>
          <w:rFonts w:hint="eastAsia" w:ascii="仿宋_GB2312" w:hAnsi="仿宋_GB2312" w:eastAsia="仿宋_GB2312" w:cs="仿宋_GB2312"/>
          <w:color w:val="auto"/>
          <w:sz w:val="32"/>
          <w:szCs w:val="32"/>
          <w:highlight w:val="none"/>
        </w:rPr>
        <w:t>预算</w:t>
      </w:r>
      <w:r>
        <w:rPr>
          <w:rFonts w:hint="eastAsia" w:ascii="仿宋_GB2312" w:hAnsi="仿宋_GB2312" w:eastAsia="仿宋_GB2312" w:cs="仿宋_GB2312"/>
          <w:color w:val="auto"/>
          <w:sz w:val="32"/>
          <w:szCs w:val="32"/>
          <w:highlight w:val="none"/>
          <w:lang w:val="en-US" w:eastAsia="zh-CN"/>
        </w:rPr>
        <w:t>200万元</w:t>
      </w:r>
      <w:r>
        <w:rPr>
          <w:rFonts w:hint="eastAsia" w:ascii="仿宋_GB2312" w:hAnsi="仿宋_GB2312" w:eastAsia="仿宋_GB2312" w:cs="仿宋_GB2312"/>
          <w:color w:val="auto"/>
          <w:sz w:val="32"/>
          <w:szCs w:val="32"/>
          <w:highlight w:val="none"/>
        </w:rPr>
        <w:t>，到位</w:t>
      </w:r>
      <w:r>
        <w:rPr>
          <w:rFonts w:hint="eastAsia" w:ascii="仿宋_GB2312" w:hAnsi="仿宋_GB2312" w:eastAsia="仿宋_GB2312" w:cs="仿宋_GB2312"/>
          <w:color w:val="auto"/>
          <w:sz w:val="32"/>
          <w:szCs w:val="32"/>
          <w:highlight w:val="none"/>
          <w:lang w:val="en-US" w:eastAsia="zh-CN"/>
        </w:rPr>
        <w:t>200万元</w:t>
      </w:r>
      <w:r>
        <w:rPr>
          <w:rFonts w:hint="eastAsia" w:ascii="仿宋_GB2312" w:hAnsi="仿宋_GB2312" w:eastAsia="仿宋_GB2312" w:cs="仿宋_GB2312"/>
          <w:color w:val="auto"/>
          <w:sz w:val="32"/>
          <w:szCs w:val="32"/>
          <w:highlight w:val="none"/>
        </w:rPr>
        <w:t>，实际支出</w:t>
      </w:r>
      <w:r>
        <w:rPr>
          <w:rFonts w:hint="eastAsia" w:ascii="仿宋_GB2312" w:hAnsi="仿宋_GB2312" w:eastAsia="仿宋_GB2312" w:cs="仿宋_GB2312"/>
          <w:color w:val="auto"/>
          <w:sz w:val="32"/>
          <w:szCs w:val="32"/>
          <w:highlight w:val="none"/>
          <w:lang w:val="en-US" w:eastAsia="zh-CN"/>
        </w:rPr>
        <w:t>132.51万元</w:t>
      </w:r>
      <w:r>
        <w:rPr>
          <w:rFonts w:hint="eastAsia" w:ascii="仿宋_GB2312" w:hAnsi="仿宋_GB2312" w:eastAsia="仿宋_GB2312" w:cs="仿宋_GB2312"/>
          <w:color w:val="auto"/>
          <w:sz w:val="32"/>
          <w:szCs w:val="32"/>
          <w:highlight w:val="none"/>
        </w:rPr>
        <w:t>，预算执行率为</w:t>
      </w:r>
      <w:r>
        <w:rPr>
          <w:rFonts w:hint="eastAsia" w:ascii="仿宋_GB2312" w:hAnsi="仿宋_GB2312" w:eastAsia="仿宋_GB2312" w:cs="仿宋_GB2312"/>
          <w:color w:val="auto"/>
          <w:sz w:val="32"/>
          <w:szCs w:val="32"/>
          <w:highlight w:val="none"/>
          <w:lang w:val="en-US" w:eastAsia="zh-CN"/>
        </w:rPr>
        <w:t>66.3%</w:t>
      </w:r>
      <w:r>
        <w:rPr>
          <w:rFonts w:hint="eastAsia" w:ascii="仿宋_GB2312" w:hAnsi="仿宋_GB2312" w:eastAsia="仿宋_GB2312" w:cs="仿宋_GB2312"/>
          <w:color w:val="auto"/>
          <w:sz w:val="32"/>
          <w:szCs w:val="32"/>
          <w:highlight w:val="none"/>
        </w:rPr>
        <w:t>，项目绩效指标总体完成率为</w:t>
      </w:r>
      <w:r>
        <w:rPr>
          <w:rFonts w:hint="eastAsia" w:ascii="仿宋_GB2312" w:hAnsi="仿宋_GB2312" w:eastAsia="仿宋_GB2312" w:cs="仿宋_GB2312"/>
          <w:color w:val="auto"/>
          <w:sz w:val="32"/>
          <w:szCs w:val="32"/>
          <w:highlight w:val="none"/>
          <w:lang w:val="en-US" w:eastAsia="zh-CN"/>
        </w:rPr>
        <w:t>64.69%</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偏差率1.61%.偏差原因：项目尾款审计费用未支付。</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kern w:val="2"/>
          <w:sz w:val="32"/>
          <w:szCs w:val="32"/>
          <w:highlight w:val="none"/>
          <w:lang w:val="en-US" w:eastAsia="zh-CN" w:bidi="ar-SA"/>
        </w:rPr>
        <w:t>五、综合评价结论</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keepNext w:val="0"/>
        <w:keepLines w:val="0"/>
        <w:pageBreakBefore w:val="0"/>
        <w:widowControl w:val="0"/>
        <w:kinsoku/>
        <w:wordWrap/>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叶城县伯西热克乡9村基础设施建设项目（防渗渠建设）</w:t>
      </w:r>
      <w:r>
        <w:rPr>
          <w:rFonts w:hint="eastAsia" w:ascii="仿宋_GB2312" w:hAnsi="仿宋_GB2312" w:eastAsia="仿宋_GB2312" w:cs="仿宋_GB2312"/>
          <w:color w:val="auto"/>
          <w:sz w:val="32"/>
          <w:szCs w:val="32"/>
          <w:highlight w:val="none"/>
        </w:rPr>
        <w:t>预算</w:t>
      </w:r>
      <w:r>
        <w:rPr>
          <w:rFonts w:hint="eastAsia" w:ascii="仿宋_GB2312" w:hAnsi="仿宋_GB2312" w:eastAsia="仿宋_GB2312" w:cs="仿宋_GB2312"/>
          <w:color w:val="auto"/>
          <w:sz w:val="32"/>
          <w:szCs w:val="32"/>
          <w:highlight w:val="none"/>
          <w:lang w:val="en-US" w:eastAsia="zh-CN"/>
        </w:rPr>
        <w:t>200万元</w:t>
      </w:r>
      <w:r>
        <w:rPr>
          <w:rFonts w:hint="eastAsia" w:ascii="仿宋_GB2312" w:hAnsi="仿宋_GB2312" w:eastAsia="仿宋_GB2312" w:cs="仿宋_GB2312"/>
          <w:color w:val="auto"/>
          <w:sz w:val="32"/>
          <w:szCs w:val="32"/>
          <w:highlight w:val="none"/>
        </w:rPr>
        <w:t>，到位</w:t>
      </w:r>
      <w:r>
        <w:rPr>
          <w:rFonts w:hint="eastAsia" w:ascii="仿宋_GB2312" w:hAnsi="仿宋_GB2312" w:eastAsia="仿宋_GB2312" w:cs="仿宋_GB2312"/>
          <w:color w:val="auto"/>
          <w:sz w:val="32"/>
          <w:szCs w:val="32"/>
          <w:highlight w:val="none"/>
          <w:lang w:val="en-US" w:eastAsia="zh-CN"/>
        </w:rPr>
        <w:t>200万元</w:t>
      </w:r>
      <w:r>
        <w:rPr>
          <w:rFonts w:hint="eastAsia" w:ascii="仿宋_GB2312" w:hAnsi="仿宋_GB2312" w:eastAsia="仿宋_GB2312" w:cs="仿宋_GB2312"/>
          <w:color w:val="auto"/>
          <w:sz w:val="32"/>
          <w:szCs w:val="32"/>
          <w:highlight w:val="none"/>
        </w:rPr>
        <w:t>，实际支出</w:t>
      </w:r>
      <w:r>
        <w:rPr>
          <w:rFonts w:hint="eastAsia" w:ascii="仿宋_GB2312" w:hAnsi="仿宋_GB2312" w:eastAsia="仿宋_GB2312" w:cs="仿宋_GB2312"/>
          <w:color w:val="auto"/>
          <w:sz w:val="32"/>
          <w:szCs w:val="32"/>
          <w:highlight w:val="none"/>
          <w:lang w:val="en-US" w:eastAsia="zh-CN"/>
        </w:rPr>
        <w:t>132.51万元</w:t>
      </w:r>
      <w:r>
        <w:rPr>
          <w:rFonts w:hint="eastAsia" w:ascii="仿宋_GB2312" w:hAnsi="仿宋_GB2312" w:eastAsia="仿宋_GB2312" w:cs="仿宋_GB2312"/>
          <w:color w:val="auto"/>
          <w:sz w:val="32"/>
          <w:szCs w:val="32"/>
          <w:highlight w:val="none"/>
        </w:rPr>
        <w:t>，预算执行率为</w:t>
      </w:r>
      <w:r>
        <w:rPr>
          <w:rFonts w:hint="eastAsia" w:ascii="仿宋_GB2312" w:hAnsi="仿宋_GB2312" w:eastAsia="仿宋_GB2312" w:cs="仿宋_GB2312"/>
          <w:color w:val="auto"/>
          <w:sz w:val="32"/>
          <w:szCs w:val="32"/>
          <w:highlight w:val="none"/>
          <w:lang w:val="en-US" w:eastAsia="zh-CN"/>
        </w:rPr>
        <w:t>66.3%</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项目执行</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指标标杆分值为10分，根据评分标准，该指标扣3.47分。得6.63分。</w:t>
      </w:r>
    </w:p>
    <w:p>
      <w:pPr>
        <w:pStyle w:val="5"/>
        <w:keepNext w:val="0"/>
        <w:keepLines w:val="0"/>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该项目最终评分75.07分，绩效评级为“中”。</w:t>
      </w:r>
    </w:p>
    <w:p>
      <w:pPr>
        <w:keepNext w:val="0"/>
        <w:keepLines w:val="0"/>
        <w:pageBreakBefore w:val="0"/>
        <w:widowControl w:val="0"/>
        <w:numPr>
          <w:ilvl w:val="0"/>
          <w:numId w:val="0"/>
        </w:numPr>
        <w:kinsoku/>
        <w:overflowPunct/>
        <w:topLinePunct w:val="0"/>
        <w:autoSpaceDN/>
        <w:bidi w:val="0"/>
        <w:adjustRightInd/>
        <w:snapToGrid/>
        <w:spacing w:line="560" w:lineRule="exact"/>
        <w:ind w:left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lang w:val="en-US" w:eastAsia="zh-CN"/>
        </w:rPr>
        <w:t>六、</w:t>
      </w:r>
      <w:r>
        <w:rPr>
          <w:rFonts w:hint="eastAsia" w:ascii="仿宋_GB2312" w:hAnsi="仿宋_GB2312" w:eastAsia="仿宋_GB2312" w:cs="仿宋_GB2312"/>
          <w:b/>
          <w:color w:val="auto"/>
          <w:sz w:val="32"/>
          <w:szCs w:val="32"/>
          <w:highlight w:val="none"/>
        </w:rPr>
        <w:t>绩效自评结果拟应用和公开情况</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（一）对衔接推进乡村振兴补助资金项目、绩效公告公示情况</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（二）对绩效自评结果拟应用情况进行说明</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（三）对二级指标权重(分值)分配情况进行说明，赋权的方法或者原则</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p>
    <w:p>
      <w:pPr>
        <w:pStyle w:val="4"/>
        <w:keepNext w:val="0"/>
        <w:keepLines w:val="0"/>
        <w:pageBreakBefore w:val="0"/>
        <w:widowControl w:val="0"/>
        <w:numPr>
          <w:ilvl w:val="0"/>
          <w:numId w:val="0"/>
        </w:numPr>
        <w:kinsoku/>
        <w:overflowPunct/>
        <w:topLinePunct w:val="0"/>
        <w:autoSpaceDN/>
        <w:bidi w:val="0"/>
        <w:adjustRightInd/>
        <w:snapToGrid/>
        <w:spacing w:line="560" w:lineRule="exact"/>
        <w:ind w:leftChars="200"/>
        <w:textAlignment w:val="auto"/>
        <w:rPr>
          <w:rFonts w:hint="eastAsia" w:ascii="仿宋_GB2312" w:hAnsi="仿宋_GB2312" w:eastAsia="仿宋_GB2312" w:cs="仿宋_GB2312"/>
          <w:color w:val="auto"/>
          <w:sz w:val="32"/>
          <w:szCs w:val="32"/>
          <w:highlight w:val="none"/>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HYb2gj">
    <w:altName w:val="宋体"/>
    <w:panose1 w:val="00000000000000000000"/>
    <w:charset w:val="86"/>
    <w:family w:val="modern"/>
    <w:pitch w:val="default"/>
    <w:sig w:usb0="00000000" w:usb1="00000000" w:usb2="0000001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F3E866A"/>
    <w:multiLevelType w:val="singleLevel"/>
    <w:tmpl w:val="9F3E866A"/>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FiMzEyZTU4NDY2YTVlZTc5NDE2YWRlZWI0YjIxMzMifQ=="/>
  </w:docVars>
  <w:rsids>
    <w:rsidRoot w:val="00F20A26"/>
    <w:rsid w:val="003E0379"/>
    <w:rsid w:val="0055176E"/>
    <w:rsid w:val="00F20A26"/>
    <w:rsid w:val="04997DBE"/>
    <w:rsid w:val="059A592B"/>
    <w:rsid w:val="05AD6763"/>
    <w:rsid w:val="0A761636"/>
    <w:rsid w:val="0C033D1A"/>
    <w:rsid w:val="0FD84CB5"/>
    <w:rsid w:val="13337EFC"/>
    <w:rsid w:val="187A025D"/>
    <w:rsid w:val="1937751C"/>
    <w:rsid w:val="1ABF7AF2"/>
    <w:rsid w:val="1E4E2C6C"/>
    <w:rsid w:val="1EE92567"/>
    <w:rsid w:val="208A2654"/>
    <w:rsid w:val="23FC081B"/>
    <w:rsid w:val="258E09AB"/>
    <w:rsid w:val="275E1E77"/>
    <w:rsid w:val="28E34E3E"/>
    <w:rsid w:val="2BDE14CF"/>
    <w:rsid w:val="2C4E3726"/>
    <w:rsid w:val="2E51749D"/>
    <w:rsid w:val="30413413"/>
    <w:rsid w:val="30A66A13"/>
    <w:rsid w:val="31144D76"/>
    <w:rsid w:val="31AE0AA6"/>
    <w:rsid w:val="34176D33"/>
    <w:rsid w:val="40074989"/>
    <w:rsid w:val="405E6C33"/>
    <w:rsid w:val="41871287"/>
    <w:rsid w:val="42C508A7"/>
    <w:rsid w:val="47096FDD"/>
    <w:rsid w:val="4B923308"/>
    <w:rsid w:val="4D8F4A15"/>
    <w:rsid w:val="4EFD730D"/>
    <w:rsid w:val="5B7E6D47"/>
    <w:rsid w:val="63EB4B08"/>
    <w:rsid w:val="66A55136"/>
    <w:rsid w:val="682E0E4F"/>
    <w:rsid w:val="6D3F3949"/>
    <w:rsid w:val="72CE0967"/>
    <w:rsid w:val="72F34F6B"/>
    <w:rsid w:val="755A7568"/>
    <w:rsid w:val="76270182"/>
    <w:rsid w:val="76954A77"/>
    <w:rsid w:val="7B3B8282"/>
    <w:rsid w:val="7E3D5B7E"/>
    <w:rsid w:val="7E984E50"/>
    <w:rsid w:val="7EC667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2">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3">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7">
    <w:name w:val="Body Text"/>
    <w:basedOn w:val="1"/>
    <w:qFormat/>
    <w:uiPriority w:val="0"/>
    <w:pPr>
      <w:spacing w:before="240" w:after="240" w:line="360" w:lineRule="auto"/>
      <w:jc w:val="center"/>
    </w:pPr>
    <w:rPr>
      <w:b/>
      <w:sz w:val="44"/>
    </w:rPr>
  </w:style>
  <w:style w:type="paragraph" w:styleId="8">
    <w:name w:val="Plain Text"/>
    <w:basedOn w:val="1"/>
    <w:unhideWhenUsed/>
    <w:qFormat/>
    <w:uiPriority w:val="99"/>
    <w:rPr>
      <w:rFonts w:ascii="宋体" w:hAnsi="Courier New"/>
    </w:rPr>
  </w:style>
  <w:style w:type="paragraph" w:styleId="9">
    <w:name w:val="Body Text Indent 2"/>
    <w:basedOn w:val="1"/>
    <w:qFormat/>
    <w:uiPriority w:val="0"/>
    <w:pPr>
      <w:ind w:firstLine="280"/>
    </w:pPr>
    <w:rPr>
      <w:rFonts w:ascii="仿宋_GB2312" w:hAnsi="仿宋_GB2312" w:eastAsia="仿宋_GB2312"/>
      <w:kern w:val="1"/>
      <w:sz w:val="28"/>
    </w:rPr>
  </w:style>
  <w:style w:type="paragraph" w:styleId="10">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1">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4">
    <w:name w:val="Strong"/>
    <w:basedOn w:val="13"/>
    <w:qFormat/>
    <w:uiPriority w:val="0"/>
    <w:rPr>
      <w:b/>
      <w:bCs/>
    </w:rPr>
  </w:style>
  <w:style w:type="paragraph" w:customStyle="1" w:styleId="15">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6">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7">
    <w:name w:val="闻政-正文二级标题"/>
    <w:basedOn w:val="6"/>
    <w:next w:val="16"/>
    <w:qFormat/>
    <w:uiPriority w:val="3"/>
    <w:pPr>
      <w:spacing w:before="120" w:after="60" w:line="500" w:lineRule="exact"/>
      <w:ind w:left="200" w:leftChars="200" w:firstLine="0" w:firstLineChars="0"/>
    </w:pPr>
    <w:rPr>
      <w:rFonts w:ascii="Times New Roman" w:hAnsi="Times New Roman"/>
      <w:sz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4267</Words>
  <Characters>4549</Characters>
  <Lines>2</Lines>
  <Paragraphs>1</Paragraphs>
  <TotalTime>0</TotalTime>
  <ScaleCrop>false</ScaleCrop>
  <LinksUpToDate>false</LinksUpToDate>
  <CharactersWithSpaces>4597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Administrator</cp:lastModifiedBy>
  <dcterms:modified xsi:type="dcterms:W3CDTF">2025-02-13T11:13:32Z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191AC744FC934F149A859E418C7D73CF</vt:lpwstr>
  </property>
</Properties>
</file>