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overflowPunct/>
        <w:topLinePunct w:val="0"/>
        <w:autoSpaceDN/>
        <w:bidi w:val="0"/>
        <w:adjustRightInd/>
        <w:snapToGrid/>
        <w:spacing w:line="560" w:lineRule="exact"/>
        <w:ind w:left="0" w:leftChars="0" w:firstLine="0" w:firstLineChars="0"/>
        <w:textAlignment w:val="auto"/>
        <w:rPr>
          <w:rFonts w:hint="eastAsia" w:ascii="仿宋_GB2312" w:hAnsi="仿宋_GB2312" w:eastAsia="仿宋_GB2312" w:cs="仿宋_GB2312"/>
          <w:color w:val="auto"/>
          <w:sz w:val="32"/>
          <w:szCs w:val="32"/>
          <w:highlight w:val="none"/>
          <w:lang w:val="en-US" w:eastAsia="zh-CN"/>
        </w:rPr>
      </w:pPr>
    </w:p>
    <w:p>
      <w:pPr>
        <w:pageBreakBefore w:val="0"/>
        <w:widowControl w:val="0"/>
        <w:kinsoku/>
        <w:wordWrap/>
        <w:overflowPunct/>
        <w:topLinePunct w:val="0"/>
        <w:bidi w:val="0"/>
        <w:snapToGrid/>
        <w:spacing w:line="560" w:lineRule="exact"/>
        <w:ind w:firstLine="0" w:firstLineChars="0"/>
        <w:jc w:val="both"/>
        <w:textAlignment w:val="auto"/>
        <w:rPr>
          <w:rFonts w:hint="eastAsia" w:ascii="仿宋_GB2312" w:hAnsi="仿宋_GB2312" w:eastAsia="仿宋_GB2312" w:cs="仿宋_GB2312"/>
          <w:b/>
          <w:color w:val="auto"/>
          <w:kern w:val="0"/>
          <w:sz w:val="32"/>
          <w:szCs w:val="32"/>
          <w:highlight w:val="none"/>
          <w:lang w:bidi="en-US"/>
        </w:rPr>
      </w:pPr>
    </w:p>
    <w:p>
      <w:pPr>
        <w:pStyle w:val="5"/>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黑体" w:hAnsi="黑体" w:eastAsia="黑体" w:cs="黑体"/>
          <w:color w:val="auto"/>
          <w:sz w:val="36"/>
          <w:szCs w:val="36"/>
          <w:highlight w:val="none"/>
        </w:rPr>
      </w:pPr>
      <w:r>
        <w:rPr>
          <w:rFonts w:hint="eastAsia" w:ascii="黑体" w:hAnsi="黑体" w:eastAsia="黑体" w:cs="黑体"/>
          <w:b/>
          <w:bCs/>
          <w:color w:val="auto"/>
          <w:sz w:val="36"/>
          <w:szCs w:val="36"/>
          <w:highlight w:val="none"/>
          <w:lang w:eastAsia="zh-CN"/>
        </w:rPr>
        <w:t>叶城县伯西热克乡2村卫星工厂建设项目</w:t>
      </w:r>
      <w:r>
        <w:rPr>
          <w:rFonts w:hint="eastAsia" w:ascii="黑体" w:hAnsi="黑体" w:eastAsia="黑体" w:cs="黑体"/>
          <w:b/>
          <w:bCs/>
          <w:color w:val="auto"/>
          <w:sz w:val="36"/>
          <w:szCs w:val="36"/>
          <w:highlight w:val="none"/>
        </w:rPr>
        <w:t>支出绩效评价报告</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70" w:lineRule="exact"/>
        <w:ind w:left="0" w:leftChars="0" w:firstLine="0" w:firstLineChars="0"/>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70" w:lineRule="exact"/>
        <w:ind w:left="0" w:leftChars="0" w:firstLine="0" w:firstLineChars="0"/>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70" w:lineRule="exact"/>
        <w:ind w:left="840" w:leftChars="400" w:firstLine="0" w:firstLineChars="0"/>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70" w:lineRule="exact"/>
        <w:ind w:left="0" w:leftChars="0" w:firstLine="0" w:firstLineChars="0"/>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70" w:lineRule="exact"/>
        <w:ind w:firstLine="960" w:firstLineChars="3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项目名称：</w:t>
      </w:r>
      <w:r>
        <w:rPr>
          <w:rFonts w:hint="eastAsia" w:ascii="仿宋_GB2312" w:hAnsi="仿宋_GB2312" w:eastAsia="仿宋_GB2312" w:cs="仿宋_GB2312"/>
          <w:color w:val="auto"/>
          <w:sz w:val="32"/>
          <w:szCs w:val="32"/>
          <w:highlight w:val="none"/>
          <w:lang w:eastAsia="zh-CN"/>
        </w:rPr>
        <w:t>叶城县伯西热克乡2村卫星工厂建设项目</w:t>
      </w:r>
    </w:p>
    <w:p>
      <w:pPr>
        <w:pStyle w:val="5"/>
        <w:keepNext w:val="0"/>
        <w:keepLines w:val="0"/>
        <w:pageBreakBefore w:val="0"/>
        <w:widowControl w:val="0"/>
        <w:kinsoku/>
        <w:wordWrap/>
        <w:overflowPunct/>
        <w:topLinePunct w:val="0"/>
        <w:autoSpaceDE/>
        <w:autoSpaceDN/>
        <w:bidi w:val="0"/>
        <w:adjustRightInd/>
        <w:snapToGrid/>
        <w:spacing w:line="570" w:lineRule="exact"/>
        <w:ind w:left="840" w:leftChars="40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项目单位：叶城县</w:t>
      </w:r>
      <w:r>
        <w:rPr>
          <w:rFonts w:hint="eastAsia" w:ascii="仿宋_GB2312" w:hAnsi="仿宋_GB2312" w:eastAsia="仿宋_GB2312" w:cs="仿宋_GB2312"/>
          <w:color w:val="auto"/>
          <w:sz w:val="32"/>
          <w:szCs w:val="32"/>
          <w:highlight w:val="none"/>
          <w:lang w:eastAsia="zh-CN"/>
        </w:rPr>
        <w:t>伯西热克乡</w:t>
      </w:r>
      <w:r>
        <w:rPr>
          <w:rFonts w:hint="eastAsia" w:ascii="仿宋_GB2312" w:hAnsi="仿宋_GB2312" w:eastAsia="仿宋_GB2312" w:cs="仿宋_GB2312"/>
          <w:color w:val="auto"/>
          <w:sz w:val="32"/>
          <w:szCs w:val="32"/>
          <w:highlight w:val="none"/>
          <w:lang w:val="en-US" w:eastAsia="zh-CN"/>
        </w:rPr>
        <w:t>人民政府</w:t>
      </w:r>
    </w:p>
    <w:p>
      <w:pPr>
        <w:pStyle w:val="5"/>
        <w:keepNext w:val="0"/>
        <w:keepLines w:val="0"/>
        <w:pageBreakBefore w:val="0"/>
        <w:widowControl w:val="0"/>
        <w:kinsoku/>
        <w:wordWrap/>
        <w:overflowPunct/>
        <w:topLinePunct w:val="0"/>
        <w:autoSpaceDE/>
        <w:autoSpaceDN/>
        <w:bidi w:val="0"/>
        <w:adjustRightInd/>
        <w:snapToGrid/>
        <w:spacing w:line="570" w:lineRule="exact"/>
        <w:ind w:firstLine="960" w:firstLineChars="3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主管部门：：</w:t>
      </w:r>
      <w:r>
        <w:rPr>
          <w:rFonts w:hint="eastAsia" w:ascii="仿宋_GB2312" w:hAnsi="仿宋_GB2312" w:eastAsia="仿宋_GB2312" w:cs="仿宋_GB2312"/>
          <w:color w:val="auto"/>
          <w:sz w:val="32"/>
          <w:szCs w:val="32"/>
          <w:highlight w:val="none"/>
          <w:lang w:eastAsia="zh-CN"/>
        </w:rPr>
        <w:t>叶城县工业园区管委会</w:t>
      </w:r>
    </w:p>
    <w:p>
      <w:pPr>
        <w:pStyle w:val="5"/>
        <w:keepNext w:val="0"/>
        <w:keepLines w:val="0"/>
        <w:pageBreakBefore w:val="0"/>
        <w:widowControl w:val="0"/>
        <w:kinsoku/>
        <w:wordWrap/>
        <w:overflowPunct/>
        <w:topLinePunct w:val="0"/>
        <w:autoSpaceDE/>
        <w:autoSpaceDN/>
        <w:bidi w:val="0"/>
        <w:adjustRightInd/>
        <w:snapToGrid/>
        <w:spacing w:line="570" w:lineRule="exact"/>
        <w:ind w:firstLine="960" w:firstLineChars="3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项目负责人：</w:t>
      </w:r>
      <w:r>
        <w:rPr>
          <w:rFonts w:hint="eastAsia" w:ascii="仿宋_GB2312" w:hAnsi="仿宋_GB2312" w:eastAsia="仿宋_GB2312" w:cs="仿宋_GB2312"/>
          <w:color w:val="auto"/>
          <w:sz w:val="32"/>
          <w:szCs w:val="32"/>
          <w:highlight w:val="none"/>
          <w:lang w:val="en-US" w:eastAsia="zh-CN"/>
        </w:rPr>
        <w:t>文雄</w:t>
      </w:r>
    </w:p>
    <w:p>
      <w:pPr>
        <w:pStyle w:val="5"/>
        <w:keepNext w:val="0"/>
        <w:keepLines w:val="0"/>
        <w:pageBreakBefore w:val="0"/>
        <w:widowControl w:val="0"/>
        <w:kinsoku/>
        <w:wordWrap/>
        <w:overflowPunct/>
        <w:topLinePunct w:val="0"/>
        <w:autoSpaceDE/>
        <w:autoSpaceDN/>
        <w:bidi w:val="0"/>
        <w:adjustRightInd/>
        <w:snapToGrid/>
        <w:spacing w:line="570" w:lineRule="exact"/>
        <w:ind w:firstLine="960" w:firstLineChars="3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填报时间：</w:t>
      </w:r>
      <w:r>
        <w:rPr>
          <w:rFonts w:hint="eastAsia" w:ascii="仿宋_GB2312" w:hAnsi="仿宋_GB2312" w:eastAsia="仿宋_GB2312" w:cs="仿宋_GB2312"/>
          <w:color w:val="auto"/>
          <w:sz w:val="32"/>
          <w:szCs w:val="32"/>
          <w:highlight w:val="none"/>
          <w:lang w:val="en-US" w:eastAsia="zh-CN"/>
        </w:rPr>
        <w:t>2023</w:t>
      </w:r>
      <w:r>
        <w:rPr>
          <w:rFonts w:hint="eastAsia" w:ascii="仿宋_GB2312" w:hAnsi="仿宋_GB2312" w:eastAsia="仿宋_GB2312" w:cs="仿宋_GB2312"/>
          <w:color w:val="auto"/>
          <w:sz w:val="32"/>
          <w:szCs w:val="32"/>
          <w:highlight w:val="none"/>
          <w:lang w:eastAsia="zh-CN"/>
        </w:rPr>
        <w:t>年</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月</w:t>
      </w:r>
      <w:r>
        <w:rPr>
          <w:rFonts w:hint="eastAsia" w:ascii="仿宋_GB2312" w:hAnsi="仿宋_GB2312" w:eastAsia="仿宋_GB2312" w:cs="仿宋_GB2312"/>
          <w:color w:val="auto"/>
          <w:sz w:val="32"/>
          <w:szCs w:val="32"/>
          <w:highlight w:val="none"/>
          <w:lang w:val="en-US" w:eastAsia="zh-CN"/>
        </w:rPr>
        <w:t>3日</w:t>
      </w:r>
    </w:p>
    <w:p>
      <w:pPr>
        <w:pStyle w:val="5"/>
        <w:keepNext w:val="0"/>
        <w:keepLines w:val="0"/>
        <w:pageBreakBefore w:val="0"/>
        <w:widowControl w:val="0"/>
        <w:kinsoku/>
        <w:wordWrap/>
        <w:overflowPunct/>
        <w:topLinePunct w:val="0"/>
        <w:autoSpaceDE/>
        <w:autoSpaceDN/>
        <w:bidi w:val="0"/>
        <w:adjustRightInd/>
        <w:snapToGrid/>
        <w:spacing w:line="570" w:lineRule="exact"/>
        <w:ind w:left="0" w:leftChars="0" w:firstLine="0" w:firstLineChars="0"/>
        <w:textAlignment w:val="auto"/>
        <w:rPr>
          <w:rFonts w:hint="eastAsia" w:ascii="仿宋_GB2312" w:hAnsi="仿宋_GB2312" w:eastAsia="仿宋_GB2312" w:cs="仿宋_GB2312"/>
          <w:color w:val="auto"/>
          <w:sz w:val="32"/>
          <w:szCs w:val="32"/>
          <w:highlight w:val="none"/>
        </w:rPr>
        <w:sectPr>
          <w:headerReference r:id="rId3" w:type="default"/>
          <w:footerReference r:id="rId4" w:type="default"/>
          <w:pgSz w:w="11906" w:h="16838"/>
          <w:pgMar w:top="1984" w:right="1531" w:bottom="1701" w:left="1531" w:header="851" w:footer="992" w:gutter="0"/>
          <w:pgNumType w:fmt="decimal" w:start="1"/>
          <w:cols w:space="720" w:num="1"/>
          <w:rtlGutter w:val="0"/>
          <w:docGrid w:type="lines" w:linePitch="386" w:charSpace="0"/>
        </w:sectPr>
      </w:pPr>
      <w:bookmarkStart w:id="0" w:name="_Toc68364657"/>
      <w:bookmarkEnd w:id="0"/>
    </w:p>
    <w:p>
      <w:pPr>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Style w:val="15"/>
        <w:pageBreakBefore w:val="0"/>
        <w:widowControl w:val="0"/>
        <w:kinsoku/>
        <w:overflowPunct/>
        <w:topLinePunct w:val="0"/>
        <w:bidi w:val="0"/>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overflowPunct/>
        <w:topLinePunct w:val="0"/>
        <w:autoSpaceDN/>
        <w:bidi w:val="0"/>
        <w:adjustRightInd/>
        <w:snapToGrid/>
        <w:spacing w:line="560" w:lineRule="exact"/>
        <w:ind w:firstLine="643" w:firstLineChars="200"/>
        <w:jc w:val="center"/>
        <w:textAlignment w:val="auto"/>
        <w:rPr>
          <w:rFonts w:hint="eastAsia" w:ascii="黑体" w:hAnsi="黑体" w:eastAsia="黑体" w:cs="黑体"/>
          <w:b/>
          <w:bCs/>
          <w:color w:val="auto"/>
          <w:sz w:val="32"/>
          <w:szCs w:val="32"/>
          <w:highlight w:val="none"/>
        </w:rPr>
      </w:pPr>
      <w:r>
        <w:rPr>
          <w:rFonts w:hint="eastAsia" w:ascii="黑体" w:hAnsi="黑体" w:eastAsia="黑体" w:cs="黑体"/>
          <w:b/>
          <w:bCs/>
          <w:color w:val="auto"/>
          <w:sz w:val="32"/>
          <w:szCs w:val="32"/>
          <w:highlight w:val="none"/>
          <w:lang w:val="en-US" w:eastAsia="zh-CN"/>
        </w:rPr>
        <w:t>叶城县伯西热克乡人民政府2022</w:t>
      </w:r>
      <w:r>
        <w:rPr>
          <w:rFonts w:hint="eastAsia" w:ascii="黑体" w:hAnsi="黑体" w:eastAsia="黑体" w:cs="黑体"/>
          <w:b/>
          <w:bCs/>
          <w:color w:val="auto"/>
          <w:sz w:val="32"/>
          <w:szCs w:val="32"/>
          <w:highlight w:val="none"/>
        </w:rPr>
        <w:t>年财政</w:t>
      </w:r>
      <w:r>
        <w:rPr>
          <w:rFonts w:hint="eastAsia" w:ascii="黑体" w:hAnsi="黑体" w:eastAsia="黑体" w:cs="黑体"/>
          <w:b/>
          <w:bCs/>
          <w:color w:val="auto"/>
          <w:sz w:val="32"/>
          <w:szCs w:val="32"/>
          <w:highlight w:val="none"/>
          <w:lang w:eastAsia="zh-CN"/>
        </w:rPr>
        <w:t>衔接推进乡村振兴补助资金</w:t>
      </w:r>
      <w:r>
        <w:rPr>
          <w:rFonts w:hint="eastAsia" w:ascii="黑体" w:hAnsi="黑体" w:eastAsia="黑体" w:cs="黑体"/>
          <w:b/>
          <w:bCs/>
          <w:color w:val="auto"/>
          <w:sz w:val="32"/>
          <w:szCs w:val="32"/>
          <w:highlight w:val="none"/>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1.财政</w:t>
      </w:r>
      <w:r>
        <w:rPr>
          <w:rFonts w:hint="eastAsia" w:ascii="仿宋_GB2312" w:hAnsi="仿宋_GB2312" w:eastAsia="仿宋_GB2312" w:cs="仿宋_GB2312"/>
          <w:b/>
          <w:bCs/>
          <w:color w:val="auto"/>
          <w:sz w:val="32"/>
          <w:szCs w:val="32"/>
          <w:highlight w:val="none"/>
          <w:lang w:eastAsia="zh-CN"/>
        </w:rPr>
        <w:t>衔接推进乡村振兴补助资金</w:t>
      </w:r>
      <w:r>
        <w:rPr>
          <w:rFonts w:hint="eastAsia" w:ascii="仿宋_GB2312" w:hAnsi="仿宋_GB2312" w:eastAsia="仿宋_GB2312" w:cs="仿宋_GB2312"/>
          <w:b/>
          <w:bCs/>
          <w:color w:val="auto"/>
          <w:sz w:val="32"/>
          <w:szCs w:val="32"/>
          <w:highlight w:val="none"/>
        </w:rPr>
        <w:t>下达预算及项目情况。</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w:t>
      </w:r>
      <w:r>
        <w:rPr>
          <w:rFonts w:hint="eastAsia" w:ascii="仿宋_GB2312" w:hAnsi="仿宋_GB2312" w:eastAsia="仿宋_GB2312" w:cs="仿宋_GB2312"/>
          <w:b w:val="0"/>
          <w:bCs w:val="0"/>
          <w:color w:val="auto"/>
          <w:kern w:val="0"/>
          <w:sz w:val="32"/>
          <w:szCs w:val="32"/>
          <w:highlight w:val="none"/>
          <w:lang w:eastAsia="zh-CN" w:bidi="en-US"/>
        </w:rPr>
        <w:t>叶城县伯西热克乡2村卫星工厂建设项目</w:t>
      </w:r>
      <w:r>
        <w:rPr>
          <w:rFonts w:hint="eastAsia" w:ascii="仿宋_GB2312" w:hAnsi="仿宋_GB2312" w:eastAsia="仿宋_GB2312" w:cs="仿宋_GB2312"/>
          <w:color w:val="auto"/>
          <w:kern w:val="0"/>
          <w:sz w:val="32"/>
          <w:szCs w:val="32"/>
          <w:highlight w:val="none"/>
          <w:lang w:eastAsia="zh-CN" w:bidi="en-US"/>
        </w:rPr>
        <w:t>，</w:t>
      </w:r>
      <w:r>
        <w:rPr>
          <w:rFonts w:hint="eastAsia" w:ascii="仿宋_GB2312" w:hAnsi="仿宋_GB2312" w:eastAsia="仿宋_GB2312" w:cs="仿宋_GB2312"/>
          <w:color w:val="auto"/>
          <w:kern w:val="0"/>
          <w:sz w:val="32"/>
          <w:szCs w:val="32"/>
          <w:highlight w:val="none"/>
          <w:lang w:val="en-US" w:eastAsia="zh-CN" w:bidi="ar-SA"/>
        </w:rPr>
        <w:t>项目预算资金360万元，</w:t>
      </w:r>
      <w:r>
        <w:rPr>
          <w:rFonts w:hint="eastAsia" w:ascii="仿宋_GB2312" w:hAnsi="仿宋_GB2312" w:eastAsia="仿宋_GB2312" w:cs="仿宋_GB2312"/>
          <w:color w:val="auto"/>
          <w:kern w:val="2"/>
          <w:sz w:val="32"/>
          <w:szCs w:val="32"/>
          <w:highlight w:val="none"/>
          <w:lang w:val="en-US" w:eastAsia="zh-CN" w:bidi="ar-SA"/>
        </w:rPr>
        <w:t>项目的实施</w:t>
      </w:r>
      <w:r>
        <w:rPr>
          <w:rFonts w:hint="eastAsia" w:ascii="仿宋_GB2312" w:hAnsi="仿宋_GB2312" w:eastAsia="仿宋_GB2312" w:cs="仿宋_GB2312"/>
          <w:color w:val="auto"/>
          <w:sz w:val="32"/>
          <w:szCs w:val="32"/>
          <w:highlight w:val="none"/>
          <w:lang w:val="en-US" w:eastAsia="zh-CN"/>
        </w:rPr>
        <w:t>带动当地特色产业的发展，活跃当地的经济市场，促进资源的合理利用，带动当地就业市场的发展。带动增加受益脱贫户人口全年总收入达到3万元，受益脱贫户人口数达到25人。</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rPr>
        <w:t>财政</w:t>
      </w:r>
      <w:r>
        <w:rPr>
          <w:rFonts w:hint="eastAsia" w:ascii="仿宋_GB2312" w:hAnsi="仿宋_GB2312" w:eastAsia="仿宋_GB2312" w:cs="仿宋_GB2312"/>
          <w:b/>
          <w:bCs/>
          <w:color w:val="auto"/>
          <w:sz w:val="32"/>
          <w:szCs w:val="32"/>
          <w:highlight w:val="none"/>
          <w:lang w:eastAsia="zh-CN"/>
        </w:rPr>
        <w:t>衔接推进乡村振兴补助资金</w:t>
      </w:r>
      <w:r>
        <w:rPr>
          <w:rFonts w:hint="eastAsia" w:ascii="仿宋_GB2312" w:hAnsi="仿宋_GB2312" w:eastAsia="仿宋_GB2312" w:cs="仿宋_GB2312"/>
          <w:b/>
          <w:bCs/>
          <w:color w:val="auto"/>
          <w:sz w:val="32"/>
          <w:szCs w:val="32"/>
          <w:highlight w:val="none"/>
        </w:rPr>
        <w:t>项目绩效目标设定情况。</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喀地财扶</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号共安排下达资金</w:t>
      </w:r>
      <w:r>
        <w:rPr>
          <w:rFonts w:hint="eastAsia" w:ascii="仿宋_GB2312" w:hAnsi="仿宋_GB2312" w:eastAsia="仿宋_GB2312" w:cs="仿宋_GB2312"/>
          <w:color w:val="auto"/>
          <w:sz w:val="32"/>
          <w:szCs w:val="32"/>
          <w:highlight w:val="none"/>
          <w:lang w:val="en-US" w:eastAsia="zh-CN"/>
        </w:rPr>
        <w:t>360万元</w:t>
      </w:r>
      <w:r>
        <w:rPr>
          <w:rFonts w:hint="eastAsia" w:ascii="仿宋_GB2312" w:hAnsi="仿宋_GB2312" w:eastAsia="仿宋_GB2312" w:cs="仿宋_GB2312"/>
          <w:color w:val="auto"/>
          <w:sz w:val="32"/>
          <w:szCs w:val="32"/>
          <w:highlight w:val="none"/>
        </w:rPr>
        <w:t>，为</w:t>
      </w:r>
      <w:r>
        <w:rPr>
          <w:rFonts w:hint="eastAsia" w:ascii="仿宋_GB2312" w:hAnsi="仿宋_GB2312" w:eastAsia="仿宋_GB2312" w:cs="仿宋_GB2312"/>
          <w:color w:val="auto"/>
          <w:sz w:val="32"/>
          <w:szCs w:val="32"/>
          <w:highlight w:val="none"/>
          <w:lang w:val="en-US" w:eastAsia="zh-CN"/>
        </w:rPr>
        <w:t>衔接</w:t>
      </w:r>
      <w:r>
        <w:rPr>
          <w:rFonts w:hint="eastAsia" w:ascii="仿宋_GB2312" w:hAnsi="仿宋_GB2312" w:eastAsia="仿宋_GB2312" w:cs="仿宋_GB2312"/>
          <w:color w:val="auto"/>
          <w:sz w:val="32"/>
          <w:szCs w:val="32"/>
          <w:highlight w:val="none"/>
        </w:rPr>
        <w:t>资金，最终确定项目资金总数为</w:t>
      </w:r>
      <w:r>
        <w:rPr>
          <w:rFonts w:hint="eastAsia" w:ascii="仿宋_GB2312" w:hAnsi="仿宋_GB2312" w:eastAsia="仿宋_GB2312" w:cs="仿宋_GB2312"/>
          <w:color w:val="auto"/>
          <w:sz w:val="32"/>
          <w:szCs w:val="32"/>
          <w:highlight w:val="none"/>
          <w:lang w:val="en-US" w:eastAsia="zh-CN"/>
        </w:rPr>
        <w:t>360万元</w:t>
      </w:r>
      <w:r>
        <w:rPr>
          <w:rFonts w:hint="eastAsia" w:ascii="仿宋_GB2312" w:hAnsi="仿宋_GB2312" w:eastAsia="仿宋_GB2312" w:cs="仿宋_GB2312"/>
          <w:color w:val="auto"/>
          <w:sz w:val="32"/>
          <w:szCs w:val="32"/>
          <w:highlight w:val="none"/>
        </w:rPr>
        <w:t>。</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1.项目绩效总目标</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实施完成后，项目总投资360万元，将用于伯西热克乡2村新建厂房及相关配套设施，投入资金360万元。带动当地特色产业的发展，活跃当地的经济市场，促进资源的合理利用，带动当地就业市场的发展。带动增加受益脱贫户人口全年总收入达到3万元，受益脱贫户人口数达到25人。</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2.阶段性目标</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2022年4月1日-2022年5月1日完成项目前期手续办理、招投标等</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2022年5月2日-2022年5月10日，完成合同签订</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2022年5月11日-9月30日完成卫星工厂建厂房及相关配套设施、验收、资金拨付等。</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包括自评工作开展范围、对象、时间及方式等。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 绩效评价范围</w:t>
      </w:r>
    </w:p>
    <w:p>
      <w:pPr>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本次评价范围涵盖项目总体绩效目标、各项绩效指标完成情况以及预算执行情况。覆盖项目预算资金支出的所有内容进行评价。包括项目决策、项目实施和项目成果验收流程等。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 绩效评价对象</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3.绩效评价时间</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2023年1月3日-2023年1月30日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4. 绩效评价方法</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本次绩效评价方法的选用坚持简便有效的原则采用综合分析法。</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 绩效评价标准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1" w:name="_Toc68364663"/>
      <w:r>
        <w:rPr>
          <w:rFonts w:hint="eastAsia"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绩效评价标准通常包括计划标准、行业标准、历史标准等，用于对绩效指标完成情况进行比较、分析、评价。本次评价主要采用了计划标准。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2" w:name="_Toc31464"/>
      <w:bookmarkStart w:id="3" w:name="_Toc17882"/>
      <w:r>
        <w:rPr>
          <w:rFonts w:hint="eastAsia" w:ascii="仿宋_GB2312" w:hAnsi="仿宋_GB2312" w:eastAsia="仿宋_GB2312" w:cs="仿宋_GB2312"/>
          <w:color w:val="auto"/>
          <w:sz w:val="32"/>
          <w:szCs w:val="32"/>
          <w:highlight w:val="none"/>
          <w:lang w:val="en-US" w:eastAsia="zh-CN"/>
        </w:rPr>
        <w:t>计划标准：指以预先制定的目标、计划、预算、定额等作为评价标准。</w:t>
      </w:r>
      <w:bookmarkEnd w:id="2"/>
      <w:bookmarkEnd w:id="3"/>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4" w:name="_Toc2318"/>
      <w:bookmarkStart w:id="5" w:name="_Toc5633"/>
      <w:r>
        <w:rPr>
          <w:rFonts w:hint="eastAsia" w:ascii="仿宋_GB2312" w:hAnsi="仿宋_GB2312" w:eastAsia="仿宋_GB2312" w:cs="仿宋_GB2312"/>
          <w:color w:val="auto"/>
          <w:sz w:val="32"/>
          <w:szCs w:val="32"/>
          <w:highlight w:val="none"/>
          <w:lang w:val="en-US" w:eastAsia="zh-CN"/>
        </w:rPr>
        <w:t>行业标准：指参照国家公布的行业指标数据制定的评价标准。</w:t>
      </w:r>
      <w:bookmarkEnd w:id="4"/>
      <w:bookmarkEnd w:id="5"/>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6" w:name="_Toc430"/>
      <w:bookmarkStart w:id="7" w:name="_Toc16028"/>
      <w:r>
        <w:rPr>
          <w:rFonts w:hint="eastAsia" w:ascii="仿宋_GB2312" w:hAnsi="仿宋_GB2312" w:eastAsia="仿宋_GB2312" w:cs="仿宋_GB2312"/>
          <w:color w:val="auto"/>
          <w:sz w:val="32"/>
          <w:szCs w:val="32"/>
          <w:highlight w:val="none"/>
          <w:lang w:val="en-US" w:eastAsia="zh-CN"/>
        </w:rPr>
        <w:t>历史标准：指参照历史数据制定的评价标准，为体现绩效改进的原则，在可实现的条件下应当确定相对较高的评价标准。</w:t>
      </w:r>
      <w:bookmarkEnd w:id="1"/>
      <w:bookmarkEnd w:id="6"/>
      <w:bookmarkEnd w:id="7"/>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（三）绩效评价工作过程</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本次评价成立了评价工作组，成员如下：</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本次评价设计了评价方案、评价指标体系，通过资料分析、调研、访谈满意度调查等方式形成评价结论，在与项目单位沟通后确定评价意见，并出具评价报告。</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第一阶段：前期准备。认真学习相关要求与规定，成立绩效评价工作组，作为绩效评价工作具体实施机构。成员构成如下：</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杨永春</w:t>
      </w:r>
      <w:r>
        <w:rPr>
          <w:rFonts w:hint="eastAsia" w:ascii="仿宋_GB2312" w:hAnsi="仿宋_GB2312" w:eastAsia="仿宋_GB2312" w:cs="仿宋_GB2312"/>
          <w:color w:val="auto"/>
          <w:sz w:val="32"/>
          <w:szCs w:val="32"/>
          <w:highlight w:val="none"/>
        </w:rPr>
        <w:t>任评价组组长，绩效评价工作职责为负责全盘工作。</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文雄</w:t>
      </w:r>
      <w:r>
        <w:rPr>
          <w:rFonts w:hint="eastAsia" w:ascii="仿宋_GB2312" w:hAnsi="仿宋_GB2312" w:eastAsia="仿宋_GB2312" w:cs="仿宋_GB2312"/>
          <w:color w:val="auto"/>
          <w:sz w:val="32"/>
          <w:szCs w:val="32"/>
          <w:highlight w:val="none"/>
        </w:rPr>
        <w:t>任评价组副组长，绩效评价工作职责为为对项目实施情况进行实地调查。</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戴玉祥</w:t>
      </w:r>
      <w:r>
        <w:rPr>
          <w:rFonts w:hint="eastAsia" w:ascii="仿宋_GB2312" w:hAnsi="仿宋_GB2312" w:eastAsia="仿宋_GB2312" w:cs="仿宋_GB2312"/>
          <w:color w:val="auto"/>
          <w:sz w:val="32"/>
          <w:szCs w:val="32"/>
          <w:highlight w:val="none"/>
        </w:rPr>
        <w:t>任评价组成员，绩效评价工作职责为负责资料审核等工作。</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第二阶段：组织实施。经评价组通过实地调研</w:t>
      </w:r>
      <w:r>
        <w:rPr>
          <w:rFonts w:hint="eastAsia" w:ascii="仿宋_GB2312" w:hAnsi="仿宋_GB2312" w:eastAsia="仿宋_GB2312" w:cs="仿宋_GB2312"/>
          <w:color w:val="auto"/>
          <w:sz w:val="32"/>
          <w:szCs w:val="32"/>
          <w:highlight w:val="none"/>
          <w:lang w:eastAsia="zh-CN"/>
        </w:rPr>
        <w:t>、查阅资料</w:t>
      </w:r>
      <w:r>
        <w:rPr>
          <w:rFonts w:hint="eastAsia" w:ascii="仿宋_GB2312" w:hAnsi="仿宋_GB2312" w:eastAsia="仿宋_GB2312" w:cs="仿宋_GB2312"/>
          <w:color w:val="auto"/>
          <w:sz w:val="32"/>
          <w:szCs w:val="32"/>
          <w:highlight w:val="none"/>
        </w:rPr>
        <w:t>等方式，采用综合分析法对项目的决策、管理、绩效进行的综合评价分析。</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第三阶段：分析评价。首先按照指标体系进行定量、定性分析。其次开展量化打分、综合评价工作，形成初步评价结论。最后归纳整体项目情况与存在问题，撰写部门绩效评价报告。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1.项目资金到位情况分析。</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喀地财扶</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号共安排下达资金</w:t>
      </w:r>
      <w:r>
        <w:rPr>
          <w:rFonts w:hint="eastAsia" w:ascii="仿宋_GB2312" w:hAnsi="仿宋_GB2312" w:eastAsia="仿宋_GB2312" w:cs="仿宋_GB2312"/>
          <w:color w:val="auto"/>
          <w:sz w:val="32"/>
          <w:szCs w:val="32"/>
          <w:highlight w:val="none"/>
          <w:lang w:val="en-US" w:eastAsia="zh-CN"/>
        </w:rPr>
        <w:t>360万元</w:t>
      </w:r>
      <w:r>
        <w:rPr>
          <w:rFonts w:hint="eastAsia" w:ascii="仿宋_GB2312" w:hAnsi="仿宋_GB2312" w:eastAsia="仿宋_GB2312" w:cs="仿宋_GB2312"/>
          <w:color w:val="auto"/>
          <w:sz w:val="32"/>
          <w:szCs w:val="32"/>
          <w:highlight w:val="none"/>
        </w:rPr>
        <w:t>，为</w:t>
      </w:r>
      <w:r>
        <w:rPr>
          <w:rFonts w:hint="eastAsia" w:ascii="仿宋_GB2312" w:hAnsi="仿宋_GB2312" w:eastAsia="仿宋_GB2312" w:cs="仿宋_GB2312"/>
          <w:color w:val="auto"/>
          <w:sz w:val="32"/>
          <w:szCs w:val="32"/>
          <w:highlight w:val="none"/>
          <w:lang w:val="en-US" w:eastAsia="zh-CN"/>
        </w:rPr>
        <w:t>衔接</w:t>
      </w:r>
      <w:r>
        <w:rPr>
          <w:rFonts w:hint="eastAsia" w:ascii="仿宋_GB2312" w:hAnsi="仿宋_GB2312" w:eastAsia="仿宋_GB2312" w:cs="仿宋_GB2312"/>
          <w:color w:val="auto"/>
          <w:sz w:val="32"/>
          <w:szCs w:val="32"/>
          <w:highlight w:val="none"/>
        </w:rPr>
        <w:t>资金，最终确定项目资金总数为</w:t>
      </w:r>
      <w:r>
        <w:rPr>
          <w:rFonts w:hint="eastAsia" w:ascii="仿宋_GB2312" w:hAnsi="仿宋_GB2312" w:eastAsia="仿宋_GB2312" w:cs="仿宋_GB2312"/>
          <w:color w:val="auto"/>
          <w:sz w:val="32"/>
          <w:szCs w:val="32"/>
          <w:highlight w:val="none"/>
          <w:lang w:val="en-US" w:eastAsia="zh-CN"/>
        </w:rPr>
        <w:t>360万元</w:t>
      </w:r>
      <w:r>
        <w:rPr>
          <w:rFonts w:hint="eastAsia" w:ascii="仿宋_GB2312" w:hAnsi="仿宋_GB2312" w:eastAsia="仿宋_GB2312" w:cs="仿宋_GB2312"/>
          <w:color w:val="auto"/>
          <w:sz w:val="32"/>
          <w:szCs w:val="32"/>
          <w:highlight w:val="none"/>
        </w:rPr>
        <w:t>。</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2.项目资金执行情况分析。</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叶城县</w:t>
      </w:r>
      <w:r>
        <w:rPr>
          <w:rFonts w:hint="eastAsia" w:ascii="仿宋_GB2312" w:hAnsi="仿宋_GB2312" w:eastAsia="仿宋_GB2312" w:cs="仿宋_GB2312"/>
          <w:color w:val="auto"/>
          <w:sz w:val="32"/>
          <w:szCs w:val="32"/>
          <w:highlight w:val="none"/>
          <w:lang w:eastAsia="zh-CN"/>
        </w:rPr>
        <w:t>伯西热克乡2村卫星工厂建设项目</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val="en-US" w:eastAsia="zh-CN"/>
        </w:rPr>
        <w:t>360万元</w:t>
      </w:r>
      <w:r>
        <w:rPr>
          <w:rFonts w:hint="eastAsia" w:ascii="仿宋_GB2312" w:hAnsi="仿宋_GB2312" w:eastAsia="仿宋_GB2312" w:cs="仿宋_GB2312"/>
          <w:color w:val="auto"/>
          <w:sz w:val="32"/>
          <w:szCs w:val="32"/>
          <w:highlight w:val="none"/>
        </w:rPr>
        <w:t>，到位</w:t>
      </w:r>
      <w:r>
        <w:rPr>
          <w:rFonts w:hint="eastAsia" w:ascii="仿宋_GB2312" w:hAnsi="仿宋_GB2312" w:eastAsia="仿宋_GB2312" w:cs="仿宋_GB2312"/>
          <w:color w:val="auto"/>
          <w:sz w:val="32"/>
          <w:szCs w:val="32"/>
          <w:highlight w:val="none"/>
          <w:lang w:val="en-US" w:eastAsia="zh-CN"/>
        </w:rPr>
        <w:t>360万元</w:t>
      </w:r>
      <w:r>
        <w:rPr>
          <w:rFonts w:hint="eastAsia" w:ascii="仿宋_GB2312" w:hAnsi="仿宋_GB2312" w:eastAsia="仿宋_GB2312" w:cs="仿宋_GB2312"/>
          <w:color w:val="auto"/>
          <w:sz w:val="32"/>
          <w:szCs w:val="32"/>
          <w:highlight w:val="none"/>
        </w:rPr>
        <w:t>，实际支出</w:t>
      </w:r>
      <w:r>
        <w:rPr>
          <w:rFonts w:hint="eastAsia" w:ascii="仿宋_GB2312" w:hAnsi="仿宋_GB2312" w:eastAsia="仿宋_GB2312" w:cs="仿宋_GB2312"/>
          <w:color w:val="auto"/>
          <w:sz w:val="32"/>
          <w:szCs w:val="32"/>
          <w:highlight w:val="none"/>
          <w:lang w:val="en-US" w:eastAsia="zh-CN"/>
        </w:rPr>
        <w:t>354.96万元</w:t>
      </w:r>
      <w:r>
        <w:rPr>
          <w:rFonts w:hint="eastAsia" w:ascii="仿宋_GB2312" w:hAnsi="仿宋_GB2312" w:eastAsia="仿宋_GB2312" w:cs="仿宋_GB2312"/>
          <w:color w:val="auto"/>
          <w:sz w:val="32"/>
          <w:szCs w:val="32"/>
          <w:highlight w:val="none"/>
        </w:rPr>
        <w:t>，预算执行率为</w:t>
      </w:r>
      <w:r>
        <w:rPr>
          <w:rFonts w:hint="eastAsia" w:ascii="仿宋_GB2312" w:hAnsi="仿宋_GB2312" w:eastAsia="仿宋_GB2312" w:cs="仿宋_GB2312"/>
          <w:color w:val="auto"/>
          <w:sz w:val="32"/>
          <w:szCs w:val="32"/>
          <w:highlight w:val="none"/>
          <w:lang w:val="en-US" w:eastAsia="zh-CN"/>
        </w:rPr>
        <w:t>98.6%本项目能够严格按照《项目实施方案》执行，项目执行情况较好。本项目绩效评价工作，有乡镇主要领导亲自挂帅，分管县领导具体负责，从项目到资金，均能后很好的执行。我单位及时向县领导汇报项目建设进度，加强与施工单位的沟通，确保项目按期完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3.项目资金管理情况分析。</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本项目支出符合《喀什地区财政巩固拓展脱贫攻坚成果同乡村振兴有效衔接资金管理办法（试行）》</w:t>
      </w:r>
      <w:bookmarkStart w:id="8" w:name="_GoBack"/>
      <w:bookmarkEnd w:id="8"/>
      <w:r>
        <w:rPr>
          <w:rFonts w:hint="eastAsia" w:ascii="仿宋_GB2312" w:hAnsi="仿宋_GB2312" w:eastAsia="仿宋_GB2312" w:cs="仿宋_GB2312"/>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(二）绩效目标完成情况分析。</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rPr>
        <w:t>）对于“产出数量”</w:t>
      </w:r>
    </w:p>
    <w:p>
      <w:pPr>
        <w:pageBreakBefore w:val="0"/>
        <w:widowControl w:val="0"/>
        <w:kinsoku/>
        <w:wordWrap/>
        <w:overflowPunct/>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新建厂房1600平方米</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rPr>
        <w:t>）对于“产出质量”：</w:t>
      </w:r>
    </w:p>
    <w:p>
      <w:pPr>
        <w:pageBreakBefore w:val="0"/>
        <w:widowControl w:val="0"/>
        <w:kinsoku/>
        <w:wordWrap/>
        <w:overflowPunct/>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★项目验收合格率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rPr>
        <w:t>）对于“产出时效”：</w:t>
      </w:r>
    </w:p>
    <w:p>
      <w:pPr>
        <w:pageBreakBefore w:val="0"/>
        <w:widowControl w:val="0"/>
        <w:kinsoku/>
        <w:wordWrap/>
        <w:overflowPunct/>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项目开工时间</w:t>
      </w:r>
      <w:r>
        <w:rPr>
          <w:rFonts w:hint="eastAsia" w:ascii="仿宋_GB2312" w:hAnsi="仿宋_GB2312" w:eastAsia="仿宋_GB2312" w:cs="仿宋_GB2312"/>
          <w:color w:val="auto"/>
          <w:sz w:val="32"/>
          <w:szCs w:val="32"/>
          <w:highlight w:val="none"/>
          <w:lang w:val="en-US" w:eastAsia="zh-CN"/>
        </w:rPr>
        <w:t>2022年5月，</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sz w:val="32"/>
          <w:szCs w:val="32"/>
          <w:highlight w:val="none"/>
        </w:rPr>
        <w:t>项目</w:t>
      </w:r>
      <w:r>
        <w:rPr>
          <w:rFonts w:hint="eastAsia" w:ascii="仿宋_GB2312" w:hAnsi="仿宋_GB2312" w:eastAsia="仿宋_GB2312" w:cs="仿宋_GB2312"/>
          <w:color w:val="auto"/>
          <w:sz w:val="32"/>
          <w:szCs w:val="32"/>
          <w:highlight w:val="none"/>
          <w:lang w:val="en-US" w:eastAsia="zh-CN"/>
        </w:rPr>
        <w:t>完工</w:t>
      </w:r>
      <w:r>
        <w:rPr>
          <w:rFonts w:hint="eastAsia" w:ascii="仿宋_GB2312" w:hAnsi="仿宋_GB2312" w:eastAsia="仿宋_GB2312" w:cs="仿宋_GB2312"/>
          <w:color w:val="auto"/>
          <w:sz w:val="32"/>
          <w:szCs w:val="32"/>
          <w:highlight w:val="none"/>
        </w:rPr>
        <w:t>时间</w:t>
      </w:r>
      <w:r>
        <w:rPr>
          <w:rFonts w:hint="eastAsia" w:ascii="仿宋_GB2312" w:hAnsi="仿宋_GB2312" w:eastAsia="仿宋_GB2312" w:cs="仿宋_GB2312"/>
          <w:color w:val="auto"/>
          <w:sz w:val="32"/>
          <w:szCs w:val="32"/>
          <w:highlight w:val="none"/>
          <w:lang w:val="en-US" w:eastAsia="zh-CN"/>
        </w:rPr>
        <w:t>2022年9月，实际2022年7月28日完工，</w:t>
      </w:r>
      <w:r>
        <w:rPr>
          <w:rFonts w:hint="eastAsia" w:ascii="仿宋_GB2312" w:hAnsi="仿宋_GB2312" w:eastAsia="仿宋_GB2312" w:cs="仿宋_GB2312"/>
          <w:color w:val="auto"/>
          <w:sz w:val="32"/>
          <w:szCs w:val="32"/>
          <w:highlight w:val="none"/>
        </w:rPr>
        <w:t>偏差原因：项目提前完工，改进措施：项目前期做好概算工作，</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sz w:val="32"/>
          <w:szCs w:val="32"/>
          <w:highlight w:val="none"/>
        </w:rPr>
        <w:t xml:space="preserve"> ★项目完成及时率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（4）对于“产出成本”：</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lang w:val="en-US"/>
        </w:rPr>
      </w:pPr>
      <w:r>
        <w:rPr>
          <w:rFonts w:hint="eastAsia" w:ascii="仿宋_GB2312" w:hAnsi="仿宋_GB2312" w:eastAsia="仿宋_GB2312" w:cs="仿宋_GB2312"/>
          <w:color w:val="auto"/>
          <w:sz w:val="32"/>
          <w:szCs w:val="32"/>
          <w:highlight w:val="none"/>
        </w:rPr>
        <w:t>厂房每平方米建设成本</w:t>
      </w:r>
      <w:r>
        <w:rPr>
          <w:rFonts w:hint="eastAsia" w:ascii="仿宋_GB2312" w:hAnsi="仿宋_GB2312" w:eastAsia="仿宋_GB2312" w:cs="仿宋_GB2312"/>
          <w:color w:val="auto"/>
          <w:sz w:val="32"/>
          <w:szCs w:val="32"/>
          <w:highlight w:val="none"/>
          <w:lang w:val="en-US" w:eastAsia="zh-CN"/>
        </w:rPr>
        <w:t>2250元</w:t>
      </w:r>
      <w:r>
        <w:rPr>
          <w:rFonts w:hint="eastAsia" w:ascii="仿宋_GB2312" w:hAnsi="仿宋_GB2312" w:eastAsia="仿宋_GB2312" w:cs="仿宋_GB2312"/>
          <w:color w:val="auto"/>
          <w:sz w:val="32"/>
          <w:szCs w:val="32"/>
          <w:highlight w:val="none"/>
          <w:lang w:eastAsia="zh-CN"/>
        </w:rPr>
        <w:t>元</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平方米</w:t>
      </w:r>
      <w:r>
        <w:rPr>
          <w:rFonts w:hint="eastAsia" w:ascii="仿宋_GB2312" w:hAnsi="仿宋_GB2312" w:eastAsia="仿宋_GB2312" w:cs="仿宋_GB2312"/>
          <w:color w:val="auto"/>
          <w:sz w:val="32"/>
          <w:szCs w:val="32"/>
          <w:highlight w:val="none"/>
        </w:rPr>
        <w:t>，项目经费都能控制绩效目标范围内，</w:t>
      </w:r>
      <w:r>
        <w:rPr>
          <w:rFonts w:hint="eastAsia" w:ascii="仿宋_GB2312" w:hAnsi="仿宋_GB2312" w:eastAsia="仿宋_GB2312" w:cs="仿宋_GB2312"/>
          <w:color w:val="auto"/>
          <w:sz w:val="32"/>
          <w:szCs w:val="32"/>
          <w:highlight w:val="none"/>
          <w:lang w:val="en-US" w:eastAsia="zh-CN"/>
        </w:rPr>
        <w:t>偏差原因:节约成本。</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指标标杆分值为10分，根据评分标准，该指标不扣分。得9.8分。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2.效益指标完成情况分析。</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rPr>
        <w:t>实施效益指标：</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对于“社会效益指标”：</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sz w:val="32"/>
          <w:szCs w:val="32"/>
          <w:highlight w:val="none"/>
        </w:rPr>
        <w:t>★★带动增加脱贫户和边缘易致贫户就业</w:t>
      </w:r>
      <w:r>
        <w:rPr>
          <w:rFonts w:hint="eastAsia" w:ascii="仿宋_GB2312" w:hAnsi="仿宋_GB2312" w:eastAsia="仿宋_GB2312" w:cs="仿宋_GB2312"/>
          <w:color w:val="auto"/>
          <w:sz w:val="32"/>
          <w:szCs w:val="32"/>
          <w:highlight w:val="none"/>
          <w:lang w:val="en-US" w:eastAsia="zh-CN"/>
        </w:rPr>
        <w:t>20人</w:t>
      </w:r>
      <w:r>
        <w:rPr>
          <w:rFonts w:hint="eastAsia" w:ascii="仿宋_GB2312" w:hAnsi="仿宋_GB2312" w:eastAsia="仿宋_GB2312" w:cs="仿宋_GB2312"/>
          <w:color w:val="auto"/>
          <w:sz w:val="32"/>
          <w:szCs w:val="32"/>
          <w:highlight w:val="none"/>
        </w:rPr>
        <w:t>，与预期指标一致，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对于“可持续影响指标”：</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sz w:val="32"/>
          <w:szCs w:val="32"/>
          <w:highlight w:val="none"/>
          <w:lang w:val="en-US" w:eastAsia="zh-CN"/>
        </w:rPr>
        <w:t>工厂设计使用年限25年，</w:t>
      </w:r>
      <w:r>
        <w:rPr>
          <w:rFonts w:hint="eastAsia" w:ascii="仿宋_GB2312" w:hAnsi="仿宋_GB2312" w:eastAsia="仿宋_GB2312" w:cs="仿宋_GB2312"/>
          <w:color w:val="auto"/>
          <w:sz w:val="32"/>
          <w:szCs w:val="32"/>
          <w:highlight w:val="none"/>
        </w:rPr>
        <w:t>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eastAsia="zh-CN"/>
        </w:rPr>
        <w:t>）对于“经济效益指标”：</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sz w:val="32"/>
          <w:szCs w:val="32"/>
          <w:highlight w:val="none"/>
        </w:rPr>
        <w:t xml:space="preserve"> ★★★带动增加受益脱贫户人口全年总收入</w:t>
      </w:r>
      <w:r>
        <w:rPr>
          <w:rFonts w:hint="eastAsia" w:ascii="仿宋_GB2312" w:hAnsi="仿宋_GB2312" w:eastAsia="仿宋_GB2312" w:cs="仿宋_GB2312"/>
          <w:color w:val="auto"/>
          <w:sz w:val="32"/>
          <w:szCs w:val="32"/>
          <w:highlight w:val="none"/>
          <w:lang w:val="en-US" w:eastAsia="zh-CN"/>
        </w:rPr>
        <w:t>10万元</w:t>
      </w:r>
      <w:r>
        <w:rPr>
          <w:rFonts w:hint="eastAsia" w:ascii="仿宋_GB2312" w:hAnsi="仿宋_GB2312" w:eastAsia="仿宋_GB2312" w:cs="仿宋_GB2312"/>
          <w:color w:val="auto"/>
          <w:sz w:val="32"/>
          <w:szCs w:val="32"/>
          <w:highlight w:val="none"/>
        </w:rPr>
        <w:t>，与预期指标一致，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生态效益</w:t>
      </w:r>
      <w:r>
        <w:rPr>
          <w:rFonts w:hint="eastAsia" w:ascii="仿宋_GB2312" w:hAnsi="仿宋_GB2312" w:eastAsia="仿宋_GB2312" w:cs="仿宋_GB2312"/>
          <w:color w:val="auto"/>
          <w:sz w:val="32"/>
          <w:szCs w:val="32"/>
          <w:highlight w:val="none"/>
        </w:rPr>
        <w:t>指标”：</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该项目无此指标</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2.满意度指标:</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根据问卷调查，★受益巩固脱贫户满意度9</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实际</w:t>
      </w:r>
      <w:r>
        <w:rPr>
          <w:rFonts w:hint="eastAsia" w:ascii="仿宋_GB2312" w:hAnsi="仿宋_GB2312" w:eastAsia="仿宋_GB2312" w:cs="仿宋_GB2312"/>
          <w:color w:val="auto"/>
          <w:sz w:val="32"/>
          <w:szCs w:val="32"/>
          <w:highlight w:val="none"/>
        </w:rPr>
        <w:t>★受益巩固脱贫户满意度</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四、偏离绩效目标的原因和下一步改进措施</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叶城县</w:t>
      </w:r>
      <w:r>
        <w:rPr>
          <w:rFonts w:hint="eastAsia" w:ascii="仿宋_GB2312" w:hAnsi="仿宋_GB2312" w:eastAsia="仿宋_GB2312" w:cs="仿宋_GB2312"/>
          <w:color w:val="auto"/>
          <w:sz w:val="32"/>
          <w:szCs w:val="32"/>
          <w:highlight w:val="none"/>
          <w:lang w:eastAsia="zh-CN"/>
        </w:rPr>
        <w:t>伯西热克乡2村卫星工厂建设项目</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val="en-US" w:eastAsia="zh-CN"/>
        </w:rPr>
        <w:t>360万元</w:t>
      </w:r>
      <w:r>
        <w:rPr>
          <w:rFonts w:hint="eastAsia" w:ascii="仿宋_GB2312" w:hAnsi="仿宋_GB2312" w:eastAsia="仿宋_GB2312" w:cs="仿宋_GB2312"/>
          <w:color w:val="auto"/>
          <w:sz w:val="32"/>
          <w:szCs w:val="32"/>
          <w:highlight w:val="none"/>
        </w:rPr>
        <w:t>，到位</w:t>
      </w:r>
      <w:r>
        <w:rPr>
          <w:rFonts w:hint="eastAsia" w:ascii="仿宋_GB2312" w:hAnsi="仿宋_GB2312" w:eastAsia="仿宋_GB2312" w:cs="仿宋_GB2312"/>
          <w:color w:val="auto"/>
          <w:sz w:val="32"/>
          <w:szCs w:val="32"/>
          <w:highlight w:val="none"/>
          <w:lang w:val="en-US" w:eastAsia="zh-CN"/>
        </w:rPr>
        <w:t>360万元</w:t>
      </w:r>
      <w:r>
        <w:rPr>
          <w:rFonts w:hint="eastAsia" w:ascii="仿宋_GB2312" w:hAnsi="仿宋_GB2312" w:eastAsia="仿宋_GB2312" w:cs="仿宋_GB2312"/>
          <w:color w:val="auto"/>
          <w:sz w:val="32"/>
          <w:szCs w:val="32"/>
          <w:highlight w:val="none"/>
        </w:rPr>
        <w:t>，实际支出</w:t>
      </w:r>
      <w:r>
        <w:rPr>
          <w:rFonts w:hint="eastAsia" w:ascii="仿宋_GB2312" w:hAnsi="仿宋_GB2312" w:eastAsia="仿宋_GB2312" w:cs="仿宋_GB2312"/>
          <w:color w:val="auto"/>
          <w:sz w:val="32"/>
          <w:szCs w:val="32"/>
          <w:highlight w:val="none"/>
          <w:lang w:val="en-US" w:eastAsia="zh-CN"/>
        </w:rPr>
        <w:t>354.96万元</w:t>
      </w:r>
      <w:r>
        <w:rPr>
          <w:rFonts w:hint="eastAsia" w:ascii="仿宋_GB2312" w:hAnsi="仿宋_GB2312" w:eastAsia="仿宋_GB2312" w:cs="仿宋_GB2312"/>
          <w:color w:val="auto"/>
          <w:sz w:val="32"/>
          <w:szCs w:val="32"/>
          <w:highlight w:val="none"/>
        </w:rPr>
        <w:t>，预算执行率为</w:t>
      </w:r>
      <w:r>
        <w:rPr>
          <w:rFonts w:hint="eastAsia" w:ascii="仿宋_GB2312" w:hAnsi="仿宋_GB2312" w:eastAsia="仿宋_GB2312" w:cs="仿宋_GB2312"/>
          <w:color w:val="auto"/>
          <w:sz w:val="32"/>
          <w:szCs w:val="32"/>
          <w:highlight w:val="none"/>
          <w:lang w:val="en-US" w:eastAsia="zh-CN"/>
        </w:rPr>
        <w:t>98.6%</w:t>
      </w:r>
      <w:r>
        <w:rPr>
          <w:rFonts w:hint="eastAsia" w:ascii="仿宋_GB2312" w:hAnsi="仿宋_GB2312" w:eastAsia="仿宋_GB2312" w:cs="仿宋_GB2312"/>
          <w:color w:val="auto"/>
          <w:sz w:val="32"/>
          <w:szCs w:val="32"/>
          <w:highlight w:val="none"/>
        </w:rPr>
        <w:t>，项目绩效指标总体完成率为</w:t>
      </w:r>
      <w:r>
        <w:rPr>
          <w:rFonts w:hint="eastAsia" w:ascii="仿宋_GB2312" w:hAnsi="仿宋_GB2312" w:eastAsia="仿宋_GB2312" w:cs="仿宋_GB2312"/>
          <w:color w:val="auto"/>
          <w:sz w:val="32"/>
          <w:szCs w:val="32"/>
          <w:highlight w:val="none"/>
          <w:lang w:val="en-US" w:eastAsia="zh-CN"/>
        </w:rPr>
        <w:t>99.8%</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偏差原因:节约成本。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五、综合评价结论</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叶城县</w:t>
      </w:r>
      <w:r>
        <w:rPr>
          <w:rFonts w:hint="eastAsia" w:ascii="仿宋_GB2312" w:hAnsi="仿宋_GB2312" w:eastAsia="仿宋_GB2312" w:cs="仿宋_GB2312"/>
          <w:color w:val="auto"/>
          <w:sz w:val="32"/>
          <w:szCs w:val="32"/>
          <w:highlight w:val="none"/>
          <w:lang w:eastAsia="zh-CN"/>
        </w:rPr>
        <w:t>伯西热克乡2村卫星工厂建设项目</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val="en-US" w:eastAsia="zh-CN"/>
        </w:rPr>
        <w:t>360万元</w:t>
      </w:r>
      <w:r>
        <w:rPr>
          <w:rFonts w:hint="eastAsia" w:ascii="仿宋_GB2312" w:hAnsi="仿宋_GB2312" w:eastAsia="仿宋_GB2312" w:cs="仿宋_GB2312"/>
          <w:color w:val="auto"/>
          <w:sz w:val="32"/>
          <w:szCs w:val="32"/>
          <w:highlight w:val="none"/>
        </w:rPr>
        <w:t>，到位</w:t>
      </w:r>
      <w:r>
        <w:rPr>
          <w:rFonts w:hint="eastAsia" w:ascii="仿宋_GB2312" w:hAnsi="仿宋_GB2312" w:eastAsia="仿宋_GB2312" w:cs="仿宋_GB2312"/>
          <w:color w:val="auto"/>
          <w:sz w:val="32"/>
          <w:szCs w:val="32"/>
          <w:highlight w:val="none"/>
          <w:lang w:val="en-US" w:eastAsia="zh-CN"/>
        </w:rPr>
        <w:t>360万元</w:t>
      </w:r>
      <w:r>
        <w:rPr>
          <w:rFonts w:hint="eastAsia" w:ascii="仿宋_GB2312" w:hAnsi="仿宋_GB2312" w:eastAsia="仿宋_GB2312" w:cs="仿宋_GB2312"/>
          <w:color w:val="auto"/>
          <w:sz w:val="32"/>
          <w:szCs w:val="32"/>
          <w:highlight w:val="none"/>
        </w:rPr>
        <w:t>，实际支出</w:t>
      </w:r>
      <w:r>
        <w:rPr>
          <w:rFonts w:hint="eastAsia" w:ascii="仿宋_GB2312" w:hAnsi="仿宋_GB2312" w:eastAsia="仿宋_GB2312" w:cs="仿宋_GB2312"/>
          <w:color w:val="auto"/>
          <w:sz w:val="32"/>
          <w:szCs w:val="32"/>
          <w:highlight w:val="none"/>
          <w:lang w:val="en-US" w:eastAsia="zh-CN"/>
        </w:rPr>
        <w:t>354.96万元</w:t>
      </w:r>
      <w:r>
        <w:rPr>
          <w:rFonts w:hint="eastAsia" w:ascii="仿宋_GB2312" w:hAnsi="仿宋_GB2312" w:eastAsia="仿宋_GB2312" w:cs="仿宋_GB2312"/>
          <w:color w:val="auto"/>
          <w:sz w:val="32"/>
          <w:szCs w:val="32"/>
          <w:highlight w:val="none"/>
        </w:rPr>
        <w:t>，预算执行率为</w:t>
      </w:r>
      <w:r>
        <w:rPr>
          <w:rFonts w:hint="eastAsia" w:ascii="仿宋_GB2312" w:hAnsi="仿宋_GB2312" w:eastAsia="仿宋_GB2312" w:cs="仿宋_GB2312"/>
          <w:color w:val="auto"/>
          <w:sz w:val="32"/>
          <w:szCs w:val="32"/>
          <w:highlight w:val="none"/>
          <w:lang w:val="en-US" w:eastAsia="zh-CN"/>
        </w:rPr>
        <w:t>98.6%</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项目执行</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指标标杆分值为10分，根据评分标准，该指标扣0.14分。得9.86分。</w:t>
      </w:r>
    </w:p>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该项目最终评分99.66分，绩效评级为“优”。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lang w:val="en-US" w:eastAsia="zh-CN"/>
        </w:rPr>
        <w:t>六、</w:t>
      </w:r>
      <w:r>
        <w:rPr>
          <w:rFonts w:hint="eastAsia" w:ascii="仿宋_GB2312" w:hAnsi="仿宋_GB2312" w:eastAsia="仿宋_GB2312" w:cs="仿宋_GB2312"/>
          <w:b/>
          <w:color w:val="auto"/>
          <w:sz w:val="32"/>
          <w:szCs w:val="32"/>
          <w:highlight w:val="none"/>
        </w:rPr>
        <w:t>绩效自评结果拟应用和公开情况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（一）对衔接推进乡村振兴补助资金项目、绩效公告公示情况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（二）对绩效自评结果拟应用情况进行说明</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（三）对二级指标权重(分值)分配情况进行说明，赋权的方法或者原则</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rFonts w:hint="eastAsia" w:ascii="仿宋_GB2312" w:hAnsi="仿宋_GB2312" w:eastAsia="仿宋_GB2312" w:cs="仿宋_GB2312"/>
          <w:color w:val="auto"/>
          <w:sz w:val="32"/>
          <w:szCs w:val="32"/>
          <w:highlight w:val="none"/>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4997DBE"/>
    <w:rsid w:val="059A592B"/>
    <w:rsid w:val="08F844FB"/>
    <w:rsid w:val="0A761636"/>
    <w:rsid w:val="0C033D1A"/>
    <w:rsid w:val="0FD84CB5"/>
    <w:rsid w:val="13337EFC"/>
    <w:rsid w:val="187A025D"/>
    <w:rsid w:val="1937751C"/>
    <w:rsid w:val="1ABF7AF2"/>
    <w:rsid w:val="1E4E2C6C"/>
    <w:rsid w:val="1EE92567"/>
    <w:rsid w:val="208A2654"/>
    <w:rsid w:val="23FC081B"/>
    <w:rsid w:val="258E09AB"/>
    <w:rsid w:val="275E1E77"/>
    <w:rsid w:val="29306ADB"/>
    <w:rsid w:val="2BDE14CF"/>
    <w:rsid w:val="2E51749D"/>
    <w:rsid w:val="30A66A13"/>
    <w:rsid w:val="31AE0AA6"/>
    <w:rsid w:val="405E6C33"/>
    <w:rsid w:val="41871287"/>
    <w:rsid w:val="42C508A7"/>
    <w:rsid w:val="47096FDD"/>
    <w:rsid w:val="4B123985"/>
    <w:rsid w:val="4EFD730D"/>
    <w:rsid w:val="4F2B1860"/>
    <w:rsid w:val="4FD80717"/>
    <w:rsid w:val="5B7E6D47"/>
    <w:rsid w:val="61371143"/>
    <w:rsid w:val="66A55136"/>
    <w:rsid w:val="682E0E4F"/>
    <w:rsid w:val="6D3F3949"/>
    <w:rsid w:val="72CE0967"/>
    <w:rsid w:val="755A7568"/>
    <w:rsid w:val="76270182"/>
    <w:rsid w:val="76954A77"/>
    <w:rsid w:val="7E3D5B7E"/>
    <w:rsid w:val="7E984E50"/>
    <w:rsid w:val="7FF1E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4">
    <w:name w:val="Body Text First Indent 2"/>
    <w:basedOn w:val="5"/>
    <w:next w:val="1"/>
    <w:unhideWhenUsed/>
    <w:qFormat/>
    <w:uiPriority w:val="0"/>
    <w:pPr>
      <w:ind w:firstLine="420"/>
    </w:pPr>
  </w:style>
  <w:style w:type="paragraph" w:styleId="5">
    <w:name w:val="Body Text Indent"/>
    <w:basedOn w:val="1"/>
    <w:next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Plain Text"/>
    <w:basedOn w:val="1"/>
    <w:unhideWhenUsed/>
    <w:qFormat/>
    <w:uiPriority w:val="99"/>
    <w:rPr>
      <w:rFonts w:ascii="宋体" w:hAnsi="Courier New"/>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二级标题"/>
    <w:basedOn w:val="6"/>
    <w:next w:val="16"/>
    <w:qFormat/>
    <w:uiPriority w:val="3"/>
    <w:pPr>
      <w:spacing w:before="120" w:after="60" w:line="500" w:lineRule="exact"/>
      <w:ind w:left="200" w:leftChars="200" w:firstLine="0" w:firstLineChars="0"/>
    </w:pPr>
    <w:rPr>
      <w:rFonts w:ascii="Times New Roman" w:hAnsi="Times New Roman"/>
      <w:sz w:val="28"/>
    </w:rPr>
  </w:style>
  <w:style w:type="paragraph" w:customStyle="1" w:styleId="18">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2025-02-13T11:10:22Z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