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新疆喀什地区叶城县依力克其乡人民政府2022年度部门决算公开说明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负责全乡党政行政管理事务</w:t>
      </w:r>
      <w:r>
        <w:rPr>
          <w:rFonts w:hint="eastAsia" w:ascii="仿宋_GB2312" w:eastAsia="仿宋_GB2312"/>
          <w:sz w:val="32"/>
          <w:szCs w:val="32"/>
          <w:lang w:val="en-US" w:eastAsia="zh-CN"/>
        </w:rPr>
        <w:t>,</w:t>
      </w:r>
      <w:r>
        <w:rPr>
          <w:rFonts w:ascii="仿宋_GB2312" w:eastAsia="仿宋_GB2312"/>
          <w:sz w:val="32"/>
          <w:szCs w:val="32"/>
        </w:rPr>
        <w:t>把党的各项优惠政策落实到实处，负责全乡经济社会发展、社会事务管理、基层组织建设等全面工作。以全面建设社会主义新农村为出发点，不断深化美丽乡村建设，不断铸牢全乡经济社会发展基础，为全乡群众提供社会服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新疆喀什地区叶城县依力克其乡人民政府</w:t>
      </w:r>
      <w:r>
        <w:rPr>
          <w:rFonts w:ascii="仿宋_GB2312" w:eastAsia="仿宋_GB2312"/>
          <w:sz w:val="32"/>
          <w:szCs w:val="32"/>
        </w:rPr>
        <w:t>2022</w:t>
      </w:r>
      <w:r>
        <w:rPr>
          <w:rFonts w:hint="eastAsia" w:ascii="仿宋_GB2312" w:eastAsia="仿宋_GB2312"/>
          <w:sz w:val="32"/>
          <w:szCs w:val="32"/>
        </w:rPr>
        <w:t>年度，实有人数</w:t>
      </w:r>
      <w:r>
        <w:rPr>
          <w:rFonts w:ascii="仿宋_GB2312" w:eastAsia="仿宋_GB2312"/>
          <w:sz w:val="32"/>
          <w:szCs w:val="32"/>
        </w:rPr>
        <w:t>120</w:t>
      </w:r>
      <w:r>
        <w:rPr>
          <w:rFonts w:hint="eastAsia" w:ascii="仿宋_GB2312" w:eastAsia="仿宋_GB2312"/>
          <w:sz w:val="32"/>
          <w:szCs w:val="32"/>
        </w:rPr>
        <w:t>人，其中：在职人员</w:t>
      </w:r>
      <w:r>
        <w:rPr>
          <w:rFonts w:ascii="仿宋_GB2312" w:eastAsia="仿宋_GB2312"/>
          <w:sz w:val="32"/>
          <w:szCs w:val="32"/>
        </w:rPr>
        <w:t>111</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9</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从部门决算单位构成看，新疆喀什地区叶城县依力克其乡人民政府部门决算包括：新疆喀什地区叶城县依力克其乡人民政府决算。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6</w:t>
      </w:r>
      <w:r>
        <w:rPr>
          <w:rFonts w:hint="eastAsia" w:ascii="仿宋_GB2312" w:hAnsi="黑体" w:eastAsia="仿宋_GB2312" w:cs="宋体"/>
          <w:bCs/>
          <w:kern w:val="0"/>
          <w:sz w:val="32"/>
          <w:szCs w:val="32"/>
        </w:rPr>
        <w:t>个处室，分别是：党建办、党政办、社会事务办、综治执法办、经济发展办、财政所</w:t>
      </w:r>
      <w:r>
        <w:rPr>
          <w:rFonts w:hint="eastAsia" w:ascii="仿宋_GB2312" w:hAnsi="宋体" w:eastAsia="仿宋_GB2312" w:cs="宋体"/>
          <w:kern w:val="0"/>
          <w:sz w:val="32"/>
          <w:szCs w:val="32"/>
        </w:rPr>
        <w:t>。</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br w:type="page"/>
      </w: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年度收入总计2,756.91万元，其中：本年收入合计</w:t>
      </w:r>
      <w:r>
        <w:rPr>
          <w:rFonts w:ascii="仿宋_GB2312" w:eastAsia="仿宋_GB2312"/>
          <w:sz w:val="32"/>
          <w:szCs w:val="32"/>
        </w:rPr>
        <w:t>2,756.91</w:t>
      </w:r>
      <w:r>
        <w:rPr>
          <w:rFonts w:hint="eastAsia" w:ascii="仿宋_GB2312" w:eastAsia="仿宋_GB2312"/>
          <w:sz w:val="32"/>
          <w:szCs w:val="32"/>
        </w:rPr>
        <w:t>万元，使用非财政拨款结余0.00万元，年初结转和结余0.00万元。收入总计与上年相比，减少584.46万元，</w:t>
      </w:r>
      <w:r>
        <w:rPr>
          <w:rFonts w:ascii="仿宋_GB2312" w:eastAsia="仿宋_GB2312"/>
          <w:sz w:val="32"/>
          <w:szCs w:val="32"/>
        </w:rPr>
        <w:t>下降17.49</w:t>
      </w:r>
      <w:r>
        <w:rPr>
          <w:rFonts w:hint="eastAsia" w:ascii="仿宋_GB2312" w:eastAsia="仿宋_GB2312"/>
          <w:sz w:val="32"/>
          <w:szCs w:val="32"/>
        </w:rPr>
        <w:t>%，主要原因是：2022年度减少叶城县依力克其乡村组巷道项目，叶城县依力克其乡低产田改造项目，叶城县依力克其乡养殖小区项目，叶城县依力克其乡乡村车间项目。</w:t>
      </w:r>
    </w:p>
    <w:p>
      <w:pPr>
        <w:ind w:firstLine="640" w:firstLineChars="200"/>
        <w:rPr>
          <w:rFonts w:ascii="仿宋_GB2312" w:eastAsia="仿宋_GB2312"/>
          <w:sz w:val="32"/>
          <w:szCs w:val="32"/>
        </w:rPr>
      </w:pPr>
      <w:r>
        <w:rPr>
          <w:rFonts w:hint="eastAsia" w:ascii="仿宋_GB2312" w:eastAsia="仿宋_GB2312"/>
          <w:sz w:val="32"/>
          <w:szCs w:val="32"/>
        </w:rPr>
        <w:t>本年支出总计2,756.91万元，其中：本年支出合计</w:t>
      </w:r>
      <w:r>
        <w:rPr>
          <w:rFonts w:ascii="仿宋_GB2312" w:eastAsia="仿宋_GB2312"/>
          <w:sz w:val="32"/>
          <w:szCs w:val="32"/>
        </w:rPr>
        <w:t>2,756.91</w:t>
      </w:r>
      <w:r>
        <w:rPr>
          <w:rFonts w:hint="eastAsia" w:ascii="仿宋_GB2312" w:eastAsia="仿宋_GB2312"/>
          <w:sz w:val="32"/>
          <w:szCs w:val="32"/>
        </w:rPr>
        <w:t>万元，结余分配0.00万元，年末结转和结余0.00万元。支出总计与上年相比，</w:t>
      </w:r>
      <w:r>
        <w:rPr>
          <w:rFonts w:ascii="仿宋_GB2312" w:eastAsia="仿宋_GB2312"/>
          <w:sz w:val="32"/>
          <w:szCs w:val="32"/>
        </w:rPr>
        <w:t>减少584.46</w:t>
      </w:r>
      <w:r>
        <w:rPr>
          <w:rFonts w:hint="eastAsia" w:ascii="仿宋_GB2312" w:eastAsia="仿宋_GB2312"/>
          <w:sz w:val="32"/>
          <w:szCs w:val="32"/>
        </w:rPr>
        <w:t>万元，</w:t>
      </w:r>
      <w:r>
        <w:rPr>
          <w:rFonts w:ascii="仿宋_GB2312" w:eastAsia="仿宋_GB2312"/>
          <w:sz w:val="32"/>
          <w:szCs w:val="32"/>
        </w:rPr>
        <w:t>下降17.49</w:t>
      </w:r>
      <w:r>
        <w:rPr>
          <w:rFonts w:hint="eastAsia" w:ascii="仿宋_GB2312" w:eastAsia="仿宋_GB2312"/>
          <w:sz w:val="32"/>
          <w:szCs w:val="32"/>
        </w:rPr>
        <w:t>%，主要原因是：2022年度减少叶城县依力克其乡村组巷道项目，叶城县依力克其乡低产田改造项目，叶城县依力克其乡养殖小区项目，叶城县依力克其乡乡村车间项目。</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年度本年收入</w:t>
      </w:r>
      <w:r>
        <w:rPr>
          <w:rFonts w:ascii="仿宋_GB2312" w:eastAsia="仿宋_GB2312"/>
          <w:sz w:val="32"/>
          <w:szCs w:val="32"/>
        </w:rPr>
        <w:t>2,756.91</w:t>
      </w:r>
      <w:r>
        <w:rPr>
          <w:rFonts w:hint="eastAsia" w:ascii="仿宋_GB2312" w:eastAsia="仿宋_GB2312"/>
          <w:sz w:val="32"/>
          <w:szCs w:val="32"/>
        </w:rPr>
        <w:t>万元，其中：财政拨款收入</w:t>
      </w:r>
      <w:r>
        <w:rPr>
          <w:rFonts w:ascii="仿宋_GB2312" w:eastAsia="仿宋_GB2312"/>
          <w:sz w:val="32"/>
          <w:szCs w:val="32"/>
        </w:rPr>
        <w:t>2,750.74</w:t>
      </w:r>
      <w:r>
        <w:rPr>
          <w:rFonts w:hint="eastAsia" w:ascii="仿宋_GB2312" w:eastAsia="仿宋_GB2312"/>
          <w:sz w:val="32"/>
          <w:szCs w:val="32"/>
        </w:rPr>
        <w:t>万元，占99.78%；上级补助收入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6.17</w:t>
      </w:r>
      <w:r>
        <w:rPr>
          <w:rFonts w:hint="eastAsia" w:ascii="仿宋_GB2312" w:eastAsia="仿宋_GB2312"/>
          <w:sz w:val="32"/>
          <w:szCs w:val="32"/>
        </w:rPr>
        <w:t>万元，占0.22%。</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年度本年支出2,756.91万元，其中：基本支出</w:t>
      </w:r>
      <w:r>
        <w:rPr>
          <w:rFonts w:ascii="仿宋_GB2312" w:eastAsia="仿宋_GB2312"/>
          <w:sz w:val="32"/>
          <w:szCs w:val="32"/>
        </w:rPr>
        <w:t>1,775.15</w:t>
      </w:r>
      <w:r>
        <w:rPr>
          <w:rFonts w:hint="eastAsia" w:ascii="仿宋_GB2312" w:eastAsia="仿宋_GB2312"/>
          <w:sz w:val="32"/>
          <w:szCs w:val="32"/>
        </w:rPr>
        <w:t>万元，占64.39%；项目支出</w:t>
      </w:r>
      <w:r>
        <w:rPr>
          <w:rFonts w:ascii="仿宋_GB2312" w:eastAsia="仿宋_GB2312"/>
          <w:sz w:val="32"/>
          <w:szCs w:val="32"/>
        </w:rPr>
        <w:t>981.76</w:t>
      </w:r>
      <w:r>
        <w:rPr>
          <w:rFonts w:hint="eastAsia" w:ascii="仿宋_GB2312" w:eastAsia="仿宋_GB2312"/>
          <w:sz w:val="32"/>
          <w:szCs w:val="32"/>
        </w:rPr>
        <w:t>万元，占35.61%；上缴上级支出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收入总计2,750.74万元，其中：年初财政拨款结转和结余0.00万元，财政拨款本年收入2,750.74万元。财政拨款收入总计与上年相比，减少545.20万元，下降16.54%，主要原因是：2022年度减少叶城县依力克其乡村组巷道项目，叶城县依力克其乡低产田改造项目，叶城县依力克其乡养殖小区项目，叶城县依力克其乡乡村车间项目。</w:t>
      </w:r>
    </w:p>
    <w:p>
      <w:pPr>
        <w:ind w:firstLine="640" w:firstLineChars="200"/>
        <w:rPr>
          <w:rFonts w:ascii="仿宋_GB2312" w:eastAsia="仿宋_GB2312"/>
          <w:sz w:val="32"/>
          <w:szCs w:val="32"/>
        </w:rPr>
      </w:pPr>
      <w:r>
        <w:rPr>
          <w:rFonts w:hint="eastAsia" w:ascii="仿宋_GB2312" w:eastAsia="仿宋_GB2312"/>
          <w:sz w:val="32"/>
          <w:szCs w:val="32"/>
        </w:rPr>
        <w:t>财政拨款支出总计2,750.74万元，其中：年末财政拨款结转和结余0.00万元，财政拨款本年支出2,750.74万元。财政拨款支出总计与上年相比，减少545.20万元，下降16.54%，主要原因是：2022年度减少叶城县依力克其乡村组巷道项目，叶城县依力克其乡低产田改造项目，叶城县依力克其乡养殖小区项目，叶城县依力克其乡乡村车间项目。</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与年初预算数相比情况：财政拨款收入总计年初预算数</w:t>
      </w:r>
      <w:r>
        <w:rPr>
          <w:rFonts w:ascii="仿宋_GB2312" w:eastAsia="仿宋_GB2312"/>
          <w:sz w:val="32"/>
          <w:szCs w:val="32"/>
        </w:rPr>
        <w:t>1,768.06</w:t>
      </w:r>
      <w:r>
        <w:rPr>
          <w:rFonts w:hint="eastAsia" w:ascii="仿宋_GB2312" w:eastAsia="仿宋_GB2312"/>
          <w:sz w:val="32"/>
          <w:szCs w:val="32"/>
        </w:rPr>
        <w:t>万元，决算数</w:t>
      </w:r>
      <w:r>
        <w:rPr>
          <w:rFonts w:ascii="仿宋_GB2312" w:eastAsia="仿宋_GB2312"/>
          <w:sz w:val="32"/>
          <w:szCs w:val="32"/>
        </w:rPr>
        <w:t>2,750.74</w:t>
      </w:r>
      <w:r>
        <w:rPr>
          <w:rFonts w:hint="eastAsia" w:ascii="仿宋_GB2312" w:eastAsia="仿宋_GB2312"/>
          <w:sz w:val="32"/>
          <w:szCs w:val="32"/>
        </w:rPr>
        <w:t>万元，预决算差异率</w:t>
      </w:r>
      <w:r>
        <w:rPr>
          <w:rFonts w:ascii="仿宋_GB2312" w:eastAsia="仿宋_GB2312"/>
          <w:sz w:val="32"/>
          <w:szCs w:val="32"/>
        </w:rPr>
        <w:t>55.58</w:t>
      </w:r>
      <w:r>
        <w:rPr>
          <w:rFonts w:hint="eastAsia" w:ascii="仿宋_GB2312" w:eastAsia="仿宋_GB2312"/>
          <w:sz w:val="32"/>
          <w:szCs w:val="32"/>
        </w:rPr>
        <w:t>%，主要原因是：2022年年中追加叶城县依力克其乡农村垃圾收集处理项目，叶城县依力克其乡核桃嫁接项目，叶城县依力克其乡林果修剪项目，叶城县依力克其乡厕所革命项目。财政拨款支出总计年初预算数</w:t>
      </w:r>
      <w:r>
        <w:rPr>
          <w:rFonts w:ascii="仿宋_GB2312" w:eastAsia="仿宋_GB2312"/>
          <w:sz w:val="32"/>
          <w:szCs w:val="32"/>
        </w:rPr>
        <w:t>1,768.06</w:t>
      </w:r>
      <w:r>
        <w:rPr>
          <w:rFonts w:hint="eastAsia" w:ascii="仿宋_GB2312" w:eastAsia="仿宋_GB2312"/>
          <w:sz w:val="32"/>
          <w:szCs w:val="32"/>
        </w:rPr>
        <w:t>万元，决算数</w:t>
      </w:r>
      <w:r>
        <w:rPr>
          <w:rFonts w:ascii="仿宋_GB2312" w:eastAsia="仿宋_GB2312"/>
          <w:sz w:val="32"/>
          <w:szCs w:val="32"/>
        </w:rPr>
        <w:t>2,750.74</w:t>
      </w:r>
      <w:r>
        <w:rPr>
          <w:rFonts w:hint="eastAsia" w:ascii="仿宋_GB2312" w:eastAsia="仿宋_GB2312"/>
          <w:sz w:val="32"/>
          <w:szCs w:val="32"/>
        </w:rPr>
        <w:t>万元，预决算差异率55.58%，主要原因是：2022年年中追加叶城县依力克其乡农村垃圾收集处理项目，叶城县依力克其乡核桃嫁接项目，叶城县依力克其乡林果修剪项目，叶城县依力克其乡厕所革命项目。</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年度一般公共预算财政拨款支出2,750.74万元，占本年支出合计的</w:t>
      </w:r>
      <w:r>
        <w:rPr>
          <w:rFonts w:ascii="仿宋_GB2312" w:eastAsia="仿宋_GB2312"/>
          <w:sz w:val="32"/>
          <w:szCs w:val="32"/>
        </w:rPr>
        <w:t>99.78</w:t>
      </w:r>
      <w:r>
        <w:rPr>
          <w:rFonts w:hint="eastAsia" w:ascii="仿宋_GB2312" w:eastAsia="仿宋_GB2312"/>
          <w:sz w:val="32"/>
          <w:szCs w:val="32"/>
        </w:rPr>
        <w:t>%，与上年相比，</w:t>
      </w:r>
      <w:r>
        <w:rPr>
          <w:rFonts w:ascii="仿宋_GB2312" w:eastAsia="仿宋_GB2312"/>
          <w:sz w:val="32"/>
          <w:szCs w:val="32"/>
        </w:rPr>
        <w:t>减少545.20</w:t>
      </w:r>
      <w:r>
        <w:rPr>
          <w:rFonts w:hint="eastAsia" w:ascii="仿宋_GB2312" w:eastAsia="仿宋_GB2312"/>
          <w:sz w:val="32"/>
          <w:szCs w:val="32"/>
        </w:rPr>
        <w:t>万元，</w:t>
      </w:r>
      <w:r>
        <w:rPr>
          <w:rFonts w:ascii="仿宋_GB2312" w:eastAsia="仿宋_GB2312"/>
          <w:sz w:val="32"/>
          <w:szCs w:val="32"/>
        </w:rPr>
        <w:t>下降16.54</w:t>
      </w:r>
      <w:r>
        <w:rPr>
          <w:rFonts w:hint="eastAsia" w:ascii="仿宋_GB2312" w:eastAsia="仿宋_GB2312"/>
          <w:sz w:val="32"/>
          <w:szCs w:val="32"/>
        </w:rPr>
        <w:t>%，主要原因是：2022年度减少叶城县依力克其乡村组巷道项目，叶城县依力克其乡低产田改造项目，叶城县依力克其乡养殖小区项目，叶城县依力克其乡乡村车间项目。</w:t>
      </w:r>
    </w:p>
    <w:p>
      <w:pPr>
        <w:ind w:firstLine="640" w:firstLineChars="200"/>
        <w:outlineLvl w:val="2"/>
        <w:rPr>
          <w:rFonts w:ascii="黑体" w:hAnsi="黑体" w:eastAsia="黑体"/>
          <w:sz w:val="32"/>
          <w:szCs w:val="32"/>
        </w:rPr>
      </w:pPr>
      <w:r>
        <w:rPr>
          <w:rFonts w:hint="eastAsia" w:ascii="黑体" w:hAnsi="黑体" w:eastAsia="黑体"/>
          <w:sz w:val="32"/>
          <w:szCs w:val="32"/>
        </w:rPr>
        <w:t>（二）一般公共预算财政拨款支出决算结构情况</w:t>
      </w:r>
    </w:p>
    <w:p>
      <w:pPr>
        <w:ind w:firstLine="640" w:firstLineChars="200"/>
        <w:rPr>
          <w:rFonts w:ascii="黑体" w:hAnsi="黑体" w:eastAsia="黑体"/>
          <w:sz w:val="32"/>
          <w:szCs w:val="32"/>
        </w:rPr>
      </w:pPr>
      <w:r>
        <w:rPr>
          <w:rFonts w:hint="eastAsia" w:ascii="仿宋_GB2312" w:eastAsia="仿宋_GB2312"/>
          <w:sz w:val="32"/>
          <w:szCs w:val="32"/>
        </w:rPr>
        <w:t>1.一般公共服务支出(类)1,527.22万元,占55.52%。</w:t>
      </w:r>
    </w:p>
    <w:p>
      <w:pPr>
        <w:ind w:firstLine="640" w:firstLineChars="200"/>
        <w:outlineLvl w:val="2"/>
        <w:rPr>
          <w:rFonts w:ascii="黑体" w:hAnsi="黑体" w:eastAsia="黑体"/>
          <w:sz w:val="32"/>
          <w:szCs w:val="32"/>
        </w:rPr>
      </w:pPr>
      <w:r>
        <w:rPr>
          <w:rFonts w:hint="eastAsia" w:ascii="仿宋_GB2312" w:eastAsia="仿宋_GB2312"/>
          <w:sz w:val="32"/>
          <w:szCs w:val="32"/>
        </w:rPr>
        <w:t>2.公共安全支出(类)15.00万元,占0.55%。</w:t>
      </w:r>
    </w:p>
    <w:p>
      <w:pPr>
        <w:ind w:firstLine="640" w:firstLineChars="200"/>
        <w:outlineLvl w:val="2"/>
        <w:rPr>
          <w:rFonts w:ascii="黑体" w:hAnsi="黑体" w:eastAsia="黑体"/>
          <w:sz w:val="32"/>
          <w:szCs w:val="32"/>
        </w:rPr>
      </w:pPr>
      <w:r>
        <w:rPr>
          <w:rFonts w:hint="eastAsia" w:ascii="仿宋_GB2312" w:eastAsia="仿宋_GB2312"/>
          <w:sz w:val="32"/>
          <w:szCs w:val="32"/>
        </w:rPr>
        <w:t>3.文化旅游体育与传媒支出(类)17.92万元,占0.65%。</w:t>
      </w:r>
    </w:p>
    <w:p>
      <w:pPr>
        <w:ind w:firstLine="640" w:firstLineChars="200"/>
        <w:outlineLvl w:val="2"/>
        <w:rPr>
          <w:rFonts w:ascii="黑体" w:hAnsi="黑体" w:eastAsia="黑体"/>
          <w:sz w:val="32"/>
          <w:szCs w:val="32"/>
        </w:rPr>
      </w:pPr>
      <w:r>
        <w:rPr>
          <w:rFonts w:hint="eastAsia" w:ascii="仿宋_GB2312" w:eastAsia="仿宋_GB2312"/>
          <w:sz w:val="32"/>
          <w:szCs w:val="32"/>
        </w:rPr>
        <w:t>4.社会保障和就业支出(类)174.64万元,占6.35%。</w:t>
      </w:r>
    </w:p>
    <w:p>
      <w:pPr>
        <w:ind w:firstLine="640" w:firstLineChars="200"/>
        <w:outlineLvl w:val="2"/>
        <w:rPr>
          <w:rFonts w:ascii="黑体" w:hAnsi="黑体" w:eastAsia="黑体"/>
          <w:sz w:val="32"/>
          <w:szCs w:val="32"/>
        </w:rPr>
      </w:pPr>
      <w:r>
        <w:rPr>
          <w:rFonts w:hint="eastAsia" w:ascii="仿宋_GB2312" w:eastAsia="仿宋_GB2312"/>
          <w:sz w:val="32"/>
          <w:szCs w:val="32"/>
        </w:rPr>
        <w:t>5.卫生健康支出(类)88.67万元,占3.22%。</w:t>
      </w:r>
    </w:p>
    <w:p>
      <w:pPr>
        <w:ind w:firstLine="640" w:firstLineChars="200"/>
        <w:outlineLvl w:val="2"/>
        <w:rPr>
          <w:rFonts w:ascii="黑体" w:hAnsi="黑体" w:eastAsia="黑体"/>
          <w:sz w:val="32"/>
          <w:szCs w:val="32"/>
        </w:rPr>
      </w:pPr>
      <w:r>
        <w:rPr>
          <w:rFonts w:hint="eastAsia" w:ascii="仿宋_GB2312" w:eastAsia="仿宋_GB2312"/>
          <w:sz w:val="32"/>
          <w:szCs w:val="32"/>
        </w:rPr>
        <w:t>6.农林水支出(类)813.08万元,占29.56%。</w:t>
      </w:r>
    </w:p>
    <w:p>
      <w:pPr>
        <w:ind w:firstLine="640" w:firstLineChars="200"/>
        <w:outlineLvl w:val="2"/>
        <w:rPr>
          <w:rFonts w:ascii="黑体" w:hAnsi="黑体" w:eastAsia="黑体"/>
          <w:sz w:val="32"/>
          <w:szCs w:val="32"/>
        </w:rPr>
      </w:pPr>
      <w:r>
        <w:rPr>
          <w:rFonts w:hint="eastAsia" w:ascii="仿宋_GB2312" w:eastAsia="仿宋_GB2312"/>
          <w:sz w:val="32"/>
          <w:szCs w:val="32"/>
        </w:rPr>
        <w:t>7.交通运输支出(类)0.24万元,占0.01%。</w:t>
      </w:r>
    </w:p>
    <w:p>
      <w:pPr>
        <w:ind w:firstLine="640" w:firstLineChars="200"/>
        <w:outlineLvl w:val="2"/>
        <w:rPr>
          <w:rFonts w:ascii="黑体" w:hAnsi="黑体" w:eastAsia="黑体"/>
          <w:sz w:val="32"/>
          <w:szCs w:val="32"/>
        </w:rPr>
      </w:pPr>
      <w:r>
        <w:rPr>
          <w:rFonts w:hint="eastAsia" w:ascii="仿宋_GB2312" w:eastAsia="仿宋_GB2312"/>
          <w:sz w:val="32"/>
          <w:szCs w:val="32"/>
        </w:rPr>
        <w:t>8.住房保障支出(类)113.97万元,占4.14%。</w:t>
      </w:r>
    </w:p>
    <w:p>
      <w:pPr>
        <w:ind w:firstLine="640" w:firstLineChars="200"/>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b/>
          <w:bCs/>
          <w:sz w:val="32"/>
          <w:szCs w:val="32"/>
          <w:highlight w:val="yellow"/>
        </w:rPr>
      </w:pPr>
      <w:r>
        <w:rPr>
          <w:rFonts w:hint="eastAsia" w:ascii="仿宋_GB2312" w:eastAsia="仿宋_GB2312"/>
          <w:sz w:val="32"/>
          <w:szCs w:val="32"/>
        </w:rPr>
        <w:t>1.一般公共服务支出(类)政府办公厅（室）及相关机构事务(款)行政运行(项):支出决算数为1,406.37万元，比上年决算增加395.22万元，增长39.09%</w:t>
      </w:r>
      <w:r>
        <w:rPr>
          <w:rFonts w:ascii="仿宋_GB2312" w:eastAsia="仿宋_GB2312"/>
          <w:sz w:val="32"/>
          <w:szCs w:val="32"/>
        </w:rPr>
        <w:t>,</w:t>
      </w:r>
      <w:r>
        <w:rPr>
          <w:rFonts w:hint="eastAsia" w:ascii="仿宋_GB2312" w:eastAsia="仿宋_GB2312"/>
          <w:sz w:val="32"/>
          <w:szCs w:val="32"/>
        </w:rPr>
        <w:t>主要原因是:本年度主要增加了干部基本工资调标、基础绩效奖、正常晋升工资补发、退休去世干部抚恤金增加，公用经费增加，支出决算数增加。</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仿宋_GB2312" w:eastAsia="仿宋_GB2312"/>
          <w:sz w:val="32"/>
          <w:szCs w:val="32"/>
        </w:rPr>
        <w:t>2.一般公共服务支出(类)组织事务(款)其他组织事务支出(项):支出决算数为117.41万元，比上年决算减少101.72万元，下降46.42%</w:t>
      </w:r>
      <w:r>
        <w:rPr>
          <w:rFonts w:ascii="仿宋_GB2312" w:eastAsia="仿宋_GB2312"/>
          <w:sz w:val="32"/>
          <w:szCs w:val="32"/>
        </w:rPr>
        <w:t>,</w:t>
      </w:r>
      <w:r>
        <w:rPr>
          <w:rFonts w:hint="eastAsia" w:ascii="仿宋_GB2312" w:eastAsia="仿宋_GB2312"/>
          <w:sz w:val="32"/>
          <w:szCs w:val="32"/>
        </w:rPr>
        <w:t>主要原因是:2022年主要减少村级运转经费，支出决算数减少。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3.一般公共服务支出(类)统战事务(款)其他统战事务支出(项):支出决算数为3.44万元，比上年决算增加3.44万元，增长100.00%</w:t>
      </w:r>
      <w:r>
        <w:rPr>
          <w:rFonts w:ascii="仿宋_GB2312" w:eastAsia="仿宋_GB2312"/>
          <w:sz w:val="32"/>
          <w:szCs w:val="32"/>
        </w:rPr>
        <w:t>,</w:t>
      </w:r>
      <w:r>
        <w:rPr>
          <w:rFonts w:hint="eastAsia" w:ascii="仿宋_GB2312" w:eastAsia="仿宋_GB2312"/>
          <w:sz w:val="32"/>
          <w:szCs w:val="32"/>
        </w:rPr>
        <w:t>主要原因是:2022年主要增加统战事务管委会经费，其他统战事务支出决算数增加。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4.公共安全支出(类)其他公共安全支出(款)其他公共安全支出(项):支出决算数为15.00万元，比上年决算增加15.00万元，增长100.00%</w:t>
      </w:r>
      <w:r>
        <w:rPr>
          <w:rFonts w:ascii="仿宋_GB2312" w:eastAsia="仿宋_GB2312"/>
          <w:sz w:val="32"/>
          <w:szCs w:val="32"/>
        </w:rPr>
        <w:t>,</w:t>
      </w:r>
      <w:r>
        <w:rPr>
          <w:rFonts w:hint="eastAsia" w:ascii="仿宋_GB2312" w:eastAsia="仿宋_GB2312"/>
          <w:sz w:val="32"/>
          <w:szCs w:val="32"/>
        </w:rPr>
        <w:t>主要原因是:2022年增加转移支付集中整治工作经费，其他公共安全支出决算数增加。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5.文化旅游体育与传媒支出(类)文化和旅游(款)其他文化和旅游支出(项):支出决算数为5.00万元，比上年决算增加5.00万元，增长100.00%</w:t>
      </w:r>
      <w:r>
        <w:rPr>
          <w:rFonts w:ascii="仿宋_GB2312" w:eastAsia="仿宋_GB2312"/>
          <w:sz w:val="32"/>
          <w:szCs w:val="32"/>
        </w:rPr>
        <w:t>,</w:t>
      </w:r>
      <w:r>
        <w:rPr>
          <w:rFonts w:hint="eastAsia" w:ascii="仿宋_GB2312" w:eastAsia="仿宋_GB2312"/>
          <w:sz w:val="32"/>
          <w:szCs w:val="32"/>
        </w:rPr>
        <w:t>主要原因是:2022年增加文化站免费开放活动经费，其他文化和旅游支出决算数增加。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6.文化旅游体育与传媒支出(类)其他文化旅游体育与传媒支出(款)其他文化旅游体育与传媒支出(项):支出决算数为12.92万元，比上年决算增加12.92万元，增长100.00%</w:t>
      </w:r>
      <w:r>
        <w:rPr>
          <w:rFonts w:ascii="仿宋_GB2312" w:eastAsia="仿宋_GB2312"/>
          <w:sz w:val="32"/>
          <w:szCs w:val="32"/>
        </w:rPr>
        <w:t>,</w:t>
      </w:r>
      <w:r>
        <w:rPr>
          <w:rFonts w:hint="eastAsia" w:ascii="仿宋_GB2312" w:eastAsia="仿宋_GB2312"/>
          <w:sz w:val="32"/>
          <w:szCs w:val="32"/>
        </w:rPr>
        <w:t>主要原因是:2022年增加中央补助地方公共文化服务建设补助村级文化经费资金，其他文化旅游体育与传媒支出决算数增加。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7.社会保障和就业支出(类)民政管理事务(款)其他民政管理事务支出(项):支出决算数为4.00万元，比上年决算增加4.00万元，增长100.00%</w:t>
      </w:r>
      <w:r>
        <w:rPr>
          <w:rFonts w:ascii="仿宋_GB2312" w:eastAsia="仿宋_GB2312"/>
          <w:sz w:val="32"/>
          <w:szCs w:val="32"/>
        </w:rPr>
        <w:t>,</w:t>
      </w:r>
      <w:r>
        <w:rPr>
          <w:rFonts w:hint="eastAsia" w:ascii="仿宋_GB2312" w:eastAsia="仿宋_GB2312"/>
          <w:sz w:val="32"/>
          <w:szCs w:val="32"/>
        </w:rPr>
        <w:t>主要原因是:2022年增加幸福大院补助资金，支出决算数增加。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8.社会保障和就业支出(类)行政事业单位养老支出(款)行政单位离退休(项):支出决算数为7.44万元，比上年决算增加7.44万元，增长100.00%</w:t>
      </w:r>
      <w:r>
        <w:rPr>
          <w:rFonts w:ascii="仿宋_GB2312" w:eastAsia="仿宋_GB2312"/>
          <w:sz w:val="32"/>
          <w:szCs w:val="32"/>
        </w:rPr>
        <w:t>,</w:t>
      </w:r>
      <w:r>
        <w:rPr>
          <w:rFonts w:hint="eastAsia" w:ascii="仿宋_GB2312" w:eastAsia="仿宋_GB2312"/>
          <w:sz w:val="32"/>
          <w:szCs w:val="32"/>
        </w:rPr>
        <w:t>主要原因是:本年科目调整，行政单位离退休经费单独核算，经费增加。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9.社会保障和就业支出(类)行政事业单位养老支出(款)机关事业单位基本养老保险缴费支出(项):支出决算数为151.84万元，比上年决算减少2.84万元，下降1.84%</w:t>
      </w:r>
      <w:r>
        <w:rPr>
          <w:rFonts w:ascii="仿宋_GB2312" w:eastAsia="仿宋_GB2312"/>
          <w:sz w:val="32"/>
          <w:szCs w:val="32"/>
        </w:rPr>
        <w:t>,</w:t>
      </w:r>
      <w:r>
        <w:rPr>
          <w:rFonts w:hint="eastAsia" w:ascii="仿宋_GB2312" w:eastAsia="仿宋_GB2312"/>
          <w:sz w:val="32"/>
          <w:szCs w:val="32"/>
        </w:rPr>
        <w:t>主要原因是:2022年人员调出，导致机关事业单位基本养老保险缴费支出减少。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10.社会保障和就业支出(类)行政事业单位养老支出(款)机关事业单位职业年金缴费支出(项):支出决算数为5.69万元，比上年决算增加0.12万元，增长2.15%</w:t>
      </w:r>
      <w:r>
        <w:rPr>
          <w:rFonts w:ascii="仿宋_GB2312" w:eastAsia="仿宋_GB2312"/>
          <w:sz w:val="32"/>
          <w:szCs w:val="32"/>
        </w:rPr>
        <w:t>,</w:t>
      </w:r>
      <w:r>
        <w:rPr>
          <w:rFonts w:hint="eastAsia" w:ascii="仿宋_GB2312" w:eastAsia="仿宋_GB2312"/>
          <w:sz w:val="32"/>
          <w:szCs w:val="32"/>
        </w:rPr>
        <w:t>主要原因是:2022年在职人员工资调资，职业年金基数调增，导致支出增加。</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11.社会保障和就业支出(类)其他社会保障和就业支出(款)其他社会保障和就业支出(项):支出决算数为5.67万元，比上年决算减少2.35万元，下降29.30%</w:t>
      </w:r>
      <w:r>
        <w:rPr>
          <w:rFonts w:ascii="仿宋_GB2312" w:eastAsia="仿宋_GB2312"/>
          <w:sz w:val="32"/>
          <w:szCs w:val="32"/>
        </w:rPr>
        <w:t>,</w:t>
      </w:r>
      <w:r>
        <w:rPr>
          <w:rFonts w:hint="eastAsia" w:ascii="仿宋_GB2312" w:eastAsia="仿宋_GB2312"/>
          <w:sz w:val="32"/>
          <w:szCs w:val="32"/>
        </w:rPr>
        <w:t>主要原因是:本年度人员调出，导致其他社会保障和就业支出减少。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12.卫生健康支出(类)公共卫生(款)突发公共卫生事件应急处理(项):支出决算数为5.00万元，比上年决算增加5.00万元，增长100.00%</w:t>
      </w:r>
      <w:r>
        <w:rPr>
          <w:rFonts w:ascii="仿宋_GB2312" w:eastAsia="仿宋_GB2312"/>
          <w:sz w:val="32"/>
          <w:szCs w:val="32"/>
        </w:rPr>
        <w:t>,</w:t>
      </w:r>
      <w:r>
        <w:rPr>
          <w:rFonts w:hint="eastAsia" w:ascii="仿宋_GB2312" w:eastAsia="仿宋_GB2312"/>
          <w:sz w:val="32"/>
          <w:szCs w:val="32"/>
        </w:rPr>
        <w:t>主要原因是:2022年增加突发公共卫生事件处理项目。</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13.卫生健康支出(类)行政事业单位医疗(款)行政单位医疗(项):支出决算数为67.36万元，比上年决算增加67.36万元，增长100.00%</w:t>
      </w:r>
      <w:r>
        <w:rPr>
          <w:rFonts w:ascii="仿宋_GB2312" w:eastAsia="仿宋_GB2312"/>
          <w:sz w:val="32"/>
          <w:szCs w:val="32"/>
        </w:rPr>
        <w:t>,</w:t>
      </w:r>
      <w:r>
        <w:rPr>
          <w:rFonts w:hint="eastAsia" w:ascii="仿宋_GB2312" w:eastAsia="仿宋_GB2312"/>
          <w:sz w:val="32"/>
          <w:szCs w:val="32"/>
        </w:rPr>
        <w:t>主要原因是:2022年度功能科目调整，上年度医疗保险在主科目中列支，本年度单独科目列支。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14.卫生健康支出(类)行政事业单位医疗(款)公务员医疗补助(项):支出决算数为16.31万元，比上年决算增加16.31万元，增长100.00%</w:t>
      </w:r>
      <w:r>
        <w:rPr>
          <w:rFonts w:ascii="仿宋_GB2312" w:eastAsia="仿宋_GB2312"/>
          <w:sz w:val="32"/>
          <w:szCs w:val="32"/>
        </w:rPr>
        <w:t>,</w:t>
      </w:r>
      <w:r>
        <w:rPr>
          <w:rFonts w:hint="eastAsia" w:ascii="仿宋_GB2312" w:eastAsia="仿宋_GB2312"/>
          <w:sz w:val="32"/>
          <w:szCs w:val="32"/>
        </w:rPr>
        <w:t>主要原因是:2022年度功能科目调整，上年度公务员医疗补助在主科目中列支，本年度单独科目列支。</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15.农林水支出(类)巩固脱贫衔接乡村振兴(款)农村基础设施建设(项):支出决算数为571.00万元，比上年决算增加478.06万元，增长514.37%</w:t>
      </w:r>
      <w:r>
        <w:rPr>
          <w:rFonts w:ascii="仿宋_GB2312" w:eastAsia="仿宋_GB2312"/>
          <w:sz w:val="32"/>
          <w:szCs w:val="32"/>
        </w:rPr>
        <w:t>,</w:t>
      </w:r>
      <w:r>
        <w:rPr>
          <w:rFonts w:hint="eastAsia" w:ascii="仿宋_GB2312" w:eastAsia="仿宋_GB2312"/>
          <w:sz w:val="32"/>
          <w:szCs w:val="32"/>
        </w:rPr>
        <w:t>主要原因是:2022年增加叶城县依力克其乡农村垃圾收集项目，叶城县依力克其乡示范村厕所革命项目。</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16.农林水支出(类)巩固脱贫衔接乡村振兴(款)生产发展(项):支出决算数为242.08万元，比上年决算减少1,088.48万元，下降81.81%</w:t>
      </w:r>
      <w:r>
        <w:rPr>
          <w:rFonts w:ascii="仿宋_GB2312" w:eastAsia="仿宋_GB2312"/>
          <w:sz w:val="32"/>
          <w:szCs w:val="32"/>
        </w:rPr>
        <w:t>,</w:t>
      </w:r>
      <w:r>
        <w:rPr>
          <w:rFonts w:hint="eastAsia" w:ascii="仿宋_GB2312" w:eastAsia="仿宋_GB2312"/>
          <w:sz w:val="32"/>
          <w:szCs w:val="32"/>
        </w:rPr>
        <w:t>主要原因是:2022年减少叶城县依力克其乡核桃嫁接改优项目，叶城县依力克其乡林果修剪项目，叶城县依力克其乡家禽养殖合作社项目。</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17.交通运输支出(类)邮政业支出(款)邮政普遍服务与特殊服务(项):支出决算数为0.24万元，比上年决算增加0.24万元，增长100.00%</w:t>
      </w:r>
      <w:r>
        <w:rPr>
          <w:rFonts w:ascii="仿宋_GB2312" w:eastAsia="仿宋_GB2312"/>
          <w:sz w:val="32"/>
          <w:szCs w:val="32"/>
        </w:rPr>
        <w:t>,</w:t>
      </w:r>
      <w:r>
        <w:rPr>
          <w:rFonts w:hint="eastAsia" w:ascii="仿宋_GB2312" w:eastAsia="仿宋_GB2312"/>
          <w:sz w:val="32"/>
          <w:szCs w:val="32"/>
        </w:rPr>
        <w:t>主要原因是:增加2022年农牧区投递员专项补贴项目。</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18.住房保障支出(类)住房改革支出(款)住房公积金(项):支出决算数为113.97万元，比上年决算减少2.14万元，下降1.84%</w:t>
      </w:r>
      <w:r>
        <w:rPr>
          <w:rFonts w:ascii="仿宋_GB2312" w:eastAsia="仿宋_GB2312"/>
          <w:sz w:val="32"/>
          <w:szCs w:val="32"/>
        </w:rPr>
        <w:t>,</w:t>
      </w:r>
      <w:r>
        <w:rPr>
          <w:rFonts w:hint="eastAsia" w:ascii="仿宋_GB2312" w:eastAsia="仿宋_GB2312"/>
          <w:sz w:val="32"/>
          <w:szCs w:val="32"/>
        </w:rPr>
        <w:t>主要原因是:2022年退休3人，导致住房公积金支出减少。</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19.一般公共服务支出(类)政府办公厅（室）及相关机构事务(款)一般行政管理事务(项):支出决算数为0.00万元，比上年决算减少3.80万元，下降100%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20.一般公共服务支出(类)政府办公厅（室）及相关机构事务(款)其他政府办公厅（室）及相关机构事务支出(项):支出决算数为0.00万元，比上年决算减少5.00万元，下降100%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21.一般公共服务支出(类)党委办公厅（室）及相关机构事务(款)行政运行(项):支出决算数为0.00万元，比上年决算减少108.34万元，下降100%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22.公共安全支出(类)司法(款)行政运行(项):支出决算数为0.00万元，比上年决算减少11.03万元，下降100%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23.文化旅游体育与传媒支出(类)文化和旅游(款)群众文化(项):支出决算数为0.00万元，比上年决算减少11.91万元，下降100%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24.社会保障和就业支出(类)人力资源和社会保障管理事务(款)事业运行(项):支出决算数为0.00万元，比上年决算减少37.57万元，下降100%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25.节能环保支出(类)退耕还林还草(款)其他退耕还林还草支出(项):支出决算数为0.00万元，比上年决算减少0.64万元，下降100%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26.农林水支出(类)农业农村(款)事业运行(项):支出决算数为0.00万元，比上年决算减少164.57万元，下降100%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27.农林水支出(类)林业和草原(款)事业机构(项):支出决算数为0.00万元，比上年决算减少14.68万元，下降100%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仿宋_GB2312" w:eastAsia="仿宋_GB2312"/>
          <w:sz w:val="32"/>
          <w:szCs w:val="32"/>
        </w:rPr>
        <w:t>28.交通运输支出(类)邮政业支出(款)其他邮政业支出(项):支出决算数为0.00万元，比上年决算减少0.24万元，下降100%</w:t>
      </w:r>
      <w:r>
        <w:rPr>
          <w:rFonts w:ascii="仿宋_GB2312" w:eastAsia="仿宋_GB2312"/>
          <w:sz w:val="32"/>
          <w:szCs w:val="32"/>
        </w:rPr>
        <w:t>,</w:t>
      </w:r>
      <w:r>
        <w:rPr>
          <w:rFonts w:hint="eastAsia" w:ascii="仿宋_GB2312" w:eastAsia="仿宋_GB2312"/>
          <w:sz w:val="32"/>
          <w:szCs w:val="32"/>
        </w:rPr>
        <w:t>主要原因是:本年无安排此项科目支出。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年度一般公共预算财政拨款基本支出</w:t>
      </w:r>
      <w:r>
        <w:rPr>
          <w:rFonts w:ascii="仿宋_GB2312" w:eastAsia="仿宋_GB2312"/>
          <w:sz w:val="32"/>
          <w:szCs w:val="32"/>
        </w:rPr>
        <w:t>1,768.98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1,730.40</w:t>
      </w:r>
      <w:r>
        <w:rPr>
          <w:rFonts w:hint="eastAsia" w:ascii="仿宋_GB2312" w:eastAsia="仿宋_GB2312"/>
          <w:sz w:val="32"/>
          <w:szCs w:val="32"/>
        </w:rPr>
        <w:t>万元，包括：基本工资、津贴补贴、奖金、绩效工资、机关事业单位基本养老保险缴费、职业年金缴费、职工基本医疗保险缴费、公务员医疗补助缴费、其他社会保障缴费、住房公积金、退休费、生活补助、其他对个人和家庭的补助。</w:t>
      </w:r>
    </w:p>
    <w:p>
      <w:pPr>
        <w:ind w:firstLine="640" w:firstLineChars="200"/>
        <w:rPr>
          <w:rFonts w:ascii="仿宋_GB2312" w:hAnsi="宋体" w:eastAsia="仿宋_GB2312" w:cs="宋体"/>
          <w:kern w:val="0"/>
          <w:sz w:val="32"/>
          <w:szCs w:val="32"/>
        </w:rPr>
      </w:pPr>
      <w:r>
        <w:rPr>
          <w:rFonts w:hint="eastAsia" w:ascii="仿宋_GB2312" w:eastAsia="仿宋_GB2312"/>
          <w:sz w:val="32"/>
          <w:szCs w:val="32"/>
        </w:rPr>
        <w:t>公用经费38.58万元，包括：办公费、印刷费、水费、电费、邮电费、公务用车运行维护费。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2022</w:t>
      </w:r>
      <w:r>
        <w:rPr>
          <w:rFonts w:hint="eastAsia" w:ascii="仿宋_GB2312" w:eastAsia="仿宋_GB2312"/>
          <w:sz w:val="32"/>
          <w:szCs w:val="32"/>
        </w:rPr>
        <w:t>年度财政拨款“三公”经费支出决算</w:t>
      </w:r>
      <w:r>
        <w:rPr>
          <w:rFonts w:ascii="仿宋_GB2312" w:eastAsia="仿宋_GB2312"/>
          <w:sz w:val="32"/>
          <w:szCs w:val="32"/>
        </w:rPr>
        <w:t>2.50</w:t>
      </w:r>
      <w:r>
        <w:rPr>
          <w:rFonts w:hint="eastAsia" w:ascii="仿宋_GB2312" w:eastAsia="仿宋_GB2312"/>
          <w:sz w:val="32"/>
          <w:szCs w:val="32"/>
        </w:rPr>
        <w:t>万元，比上年</w:t>
      </w:r>
      <w:r>
        <w:rPr>
          <w:rFonts w:ascii="仿宋_GB2312" w:eastAsia="仿宋_GB2312"/>
          <w:sz w:val="32"/>
          <w:szCs w:val="32"/>
        </w:rPr>
        <w:t>减少1.75</w:t>
      </w:r>
      <w:r>
        <w:rPr>
          <w:rFonts w:hint="eastAsia" w:ascii="仿宋_GB2312" w:eastAsia="仿宋_GB2312"/>
          <w:sz w:val="32"/>
          <w:szCs w:val="32"/>
        </w:rPr>
        <w:t>万元，</w:t>
      </w:r>
      <w:r>
        <w:rPr>
          <w:rFonts w:ascii="仿宋_GB2312" w:eastAsia="仿宋_GB2312"/>
          <w:sz w:val="32"/>
          <w:szCs w:val="32"/>
        </w:rPr>
        <w:t>下降41.18</w:t>
      </w:r>
      <w:r>
        <w:rPr>
          <w:rFonts w:hint="eastAsia" w:ascii="仿宋_GB2312" w:eastAsia="仿宋_GB2312"/>
          <w:sz w:val="32"/>
          <w:szCs w:val="32"/>
        </w:rPr>
        <w:t>%，主要原因是：</w:t>
      </w:r>
      <w:r>
        <w:rPr>
          <w:rFonts w:ascii="仿宋_GB2312" w:eastAsia="仿宋_GB2312"/>
          <w:sz w:val="32"/>
          <w:szCs w:val="32"/>
        </w:rPr>
        <w:t>本单位厉行节约，“三公”</w:t>
      </w:r>
      <w:r>
        <w:rPr>
          <w:rFonts w:hint="eastAsia" w:ascii="仿宋_GB2312" w:eastAsia="仿宋_GB2312"/>
          <w:sz w:val="32"/>
          <w:szCs w:val="32"/>
          <w:lang w:eastAsia="zh-CN"/>
        </w:rPr>
        <w:t>经费</w:t>
      </w:r>
      <w:r>
        <w:rPr>
          <w:rFonts w:ascii="仿宋_GB2312" w:eastAsia="仿宋_GB2312"/>
          <w:sz w:val="32"/>
          <w:szCs w:val="32"/>
        </w:rPr>
        <w:t>减少</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2.50</w:t>
      </w:r>
      <w:r>
        <w:rPr>
          <w:rFonts w:hint="eastAsia" w:ascii="仿宋_GB2312" w:eastAsia="仿宋_GB2312"/>
          <w:sz w:val="32"/>
          <w:szCs w:val="32"/>
        </w:rPr>
        <w:t>万元，占</w:t>
      </w:r>
      <w:r>
        <w:rPr>
          <w:rFonts w:ascii="仿宋_GB2312" w:eastAsia="仿宋_GB2312"/>
          <w:sz w:val="32"/>
          <w:szCs w:val="32"/>
        </w:rPr>
        <w:t>100.00</w:t>
      </w:r>
      <w:r>
        <w:rPr>
          <w:rFonts w:hint="eastAsia" w:ascii="仿宋_GB2312" w:eastAsia="仿宋_GB2312"/>
          <w:sz w:val="32"/>
          <w:szCs w:val="32"/>
        </w:rPr>
        <w:t>%，比上年</w:t>
      </w:r>
      <w:r>
        <w:rPr>
          <w:rFonts w:ascii="仿宋_GB2312" w:eastAsia="仿宋_GB2312"/>
          <w:sz w:val="32"/>
          <w:szCs w:val="32"/>
        </w:rPr>
        <w:t>减少1.75</w:t>
      </w:r>
      <w:r>
        <w:rPr>
          <w:rFonts w:hint="eastAsia" w:ascii="仿宋_GB2312" w:eastAsia="仿宋_GB2312"/>
          <w:sz w:val="32"/>
          <w:szCs w:val="32"/>
        </w:rPr>
        <w:t>万元，</w:t>
      </w:r>
      <w:r>
        <w:rPr>
          <w:rFonts w:ascii="仿宋_GB2312" w:eastAsia="仿宋_GB2312"/>
          <w:sz w:val="32"/>
          <w:szCs w:val="32"/>
        </w:rPr>
        <w:t>下降41.18</w:t>
      </w:r>
      <w:r>
        <w:rPr>
          <w:rFonts w:hint="eastAsia" w:ascii="仿宋_GB2312" w:eastAsia="仿宋_GB2312"/>
          <w:sz w:val="32"/>
          <w:szCs w:val="32"/>
        </w:rPr>
        <w:t>%，主要原因是：</w:t>
      </w:r>
      <w:r>
        <w:rPr>
          <w:rFonts w:ascii="仿宋_GB2312" w:eastAsia="仿宋_GB2312"/>
          <w:sz w:val="32"/>
          <w:szCs w:val="32"/>
        </w:rPr>
        <w:t>本单位公务用车维修费减少</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2.50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2.50</w:t>
      </w:r>
      <w:r>
        <w:rPr>
          <w:rFonts w:hint="eastAsia" w:ascii="仿宋_GB2312" w:eastAsia="仿宋_GB2312"/>
          <w:sz w:val="32"/>
          <w:szCs w:val="32"/>
        </w:rPr>
        <w:t>万元。公务用车运行维护费开支内容包括燃油费、保险费、维修费。公务用车购置数</w:t>
      </w:r>
      <w:r>
        <w:rPr>
          <w:rFonts w:ascii="仿宋_GB2312" w:eastAsia="仿宋_GB2312"/>
          <w:sz w:val="32"/>
          <w:szCs w:val="32"/>
        </w:rPr>
        <w:t>0</w:t>
      </w:r>
      <w:r>
        <w:rPr>
          <w:rFonts w:hint="eastAsia" w:ascii="仿宋_GB2312" w:eastAsia="仿宋_GB2312"/>
          <w:sz w:val="32"/>
          <w:szCs w:val="32"/>
        </w:rPr>
        <w:t>辆，公务用车保有量6辆。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w:t>
      </w:r>
      <w:bookmarkStart w:id="48" w:name="_GoBack"/>
      <w:bookmarkEnd w:id="48"/>
      <w:r>
        <w:rPr>
          <w:rFonts w:hint="eastAsia" w:ascii="仿宋_GB2312" w:eastAsia="仿宋_GB2312"/>
          <w:sz w:val="32"/>
          <w:szCs w:val="32"/>
        </w:rPr>
        <w:t>三公”经费支出全年预算数2.50万元，决算数</w:t>
      </w:r>
      <w:r>
        <w:rPr>
          <w:rFonts w:ascii="仿宋_GB2312" w:eastAsia="仿宋_GB2312"/>
          <w:sz w:val="32"/>
          <w:szCs w:val="32"/>
        </w:rPr>
        <w:t>2.50</w:t>
      </w:r>
      <w:r>
        <w:rPr>
          <w:rFonts w:hint="eastAsia" w:ascii="仿宋_GB2312" w:eastAsia="仿宋_GB2312"/>
          <w:sz w:val="32"/>
          <w:szCs w:val="32"/>
        </w:rPr>
        <w:t>万元，预决算差异率0.00%，主要原因是：严格按照全年预算数执行，无差异。</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预算数2.50万元，决算数2.50万元，预决算差异率0.00%，主要原因是：严格按照全年预算数执行，无差异；</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rPr>
          <w:rFonts w:ascii="仿宋_GB2312" w:eastAsia="仿宋_GB2312"/>
          <w:sz w:val="32"/>
          <w:szCs w:val="32"/>
        </w:rPr>
      </w:pPr>
      <w:r>
        <w:rPr>
          <w:rFonts w:hint="eastAsia" w:ascii="黑体" w:hAnsi="黑体" w:eastAsia="黑体" w:cs="宋体"/>
          <w:bCs/>
          <w:kern w:val="0"/>
          <w:sz w:val="32"/>
          <w:szCs w:val="32"/>
        </w:rPr>
        <w:t>十、其他重要事项的情况说明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outlineLvl w:val="2"/>
        <w:rPr>
          <w:rFonts w:ascii="黑体" w:hAnsi="黑体" w:eastAsia="黑体"/>
          <w:sz w:val="32"/>
          <w:szCs w:val="32"/>
        </w:rPr>
      </w:pPr>
      <w:r>
        <w:rPr>
          <w:rFonts w:hint="eastAsia" w:ascii="仿宋_GB2312" w:eastAsia="仿宋_GB2312"/>
          <w:sz w:val="32"/>
          <w:szCs w:val="32"/>
        </w:rPr>
        <w:t>2022年度新疆喀什地区叶城县依力克其乡人民政府（行政单位和参照公务员法管理事业单位）机关运行经费支出</w:t>
      </w:r>
      <w:r>
        <w:rPr>
          <w:rFonts w:ascii="仿宋_GB2312" w:eastAsia="仿宋_GB2312"/>
          <w:sz w:val="32"/>
          <w:szCs w:val="32"/>
        </w:rPr>
        <w:t>38.58</w:t>
      </w:r>
      <w:r>
        <w:rPr>
          <w:rFonts w:hint="eastAsia" w:ascii="仿宋_GB2312" w:eastAsia="仿宋_GB2312"/>
          <w:sz w:val="32"/>
          <w:szCs w:val="32"/>
        </w:rPr>
        <w:t>万元，比上年增加5.74万元，增长17.48%，主要原因是：我单位工作任务加重，日常办公耗材增加，相应机关运行经费有所增加。</w:t>
      </w:r>
    </w:p>
    <w:p>
      <w:pPr>
        <w:ind w:firstLine="640" w:firstLineChars="200"/>
        <w:rPr>
          <w:rFonts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2022年度政府采购支出总额</w:t>
      </w:r>
      <w:r>
        <w:rPr>
          <w:rFonts w:ascii="仿宋_GB2312" w:eastAsia="仿宋_GB2312"/>
          <w:sz w:val="32"/>
          <w:szCs w:val="32"/>
        </w:rPr>
        <w:t>115.78</w:t>
      </w:r>
      <w:r>
        <w:rPr>
          <w:rFonts w:hint="eastAsia" w:ascii="仿宋_GB2312" w:eastAsia="仿宋_GB2312"/>
          <w:sz w:val="32"/>
          <w:szCs w:val="32"/>
        </w:rPr>
        <w:t>万元，其中：政府采购货物支出</w:t>
      </w:r>
      <w:r>
        <w:rPr>
          <w:rFonts w:ascii="仿宋_GB2312" w:eastAsia="仿宋_GB2312"/>
          <w:sz w:val="32"/>
          <w:szCs w:val="32"/>
        </w:rPr>
        <w:t>54.43</w:t>
      </w:r>
      <w:r>
        <w:rPr>
          <w:rFonts w:hint="eastAsia" w:ascii="仿宋_GB2312" w:eastAsia="仿宋_GB2312"/>
          <w:sz w:val="32"/>
          <w:szCs w:val="32"/>
        </w:rPr>
        <w:t>万元、政府采购工程支出</w:t>
      </w:r>
      <w:r>
        <w:rPr>
          <w:rFonts w:ascii="仿宋_GB2312" w:eastAsia="仿宋_GB2312"/>
          <w:sz w:val="32"/>
          <w:szCs w:val="32"/>
        </w:rPr>
        <w:t>1.00</w:t>
      </w:r>
      <w:r>
        <w:rPr>
          <w:rFonts w:hint="eastAsia" w:ascii="仿宋_GB2312" w:eastAsia="仿宋_GB2312"/>
          <w:sz w:val="32"/>
          <w:szCs w:val="32"/>
        </w:rPr>
        <w:t>万元、政府采购服务支出</w:t>
      </w:r>
      <w:r>
        <w:rPr>
          <w:rFonts w:ascii="仿宋_GB2312" w:eastAsia="仿宋_GB2312"/>
          <w:sz w:val="32"/>
          <w:szCs w:val="32"/>
        </w:rPr>
        <w:t>60.35</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115.78</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56.73</w:t>
      </w:r>
      <w:r>
        <w:rPr>
          <w:rFonts w:hint="eastAsia" w:ascii="仿宋_GB2312" w:eastAsia="仿宋_GB2312"/>
          <w:sz w:val="32"/>
          <w:szCs w:val="32"/>
        </w:rPr>
        <w:t>万元，占政府采购支出总额的</w:t>
      </w:r>
      <w:r>
        <w:rPr>
          <w:rFonts w:ascii="仿宋_GB2312" w:eastAsia="仿宋_GB2312"/>
          <w:sz w:val="32"/>
          <w:szCs w:val="32"/>
        </w:rPr>
        <w:t>49.00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24" w:name="_Toc4591"/>
      <w:bookmarkStart w:id="25" w:name="_Toc8391"/>
      <w:r>
        <w:rPr>
          <w:rFonts w:hint="eastAsia" w:ascii="黑体" w:hAnsi="黑体" w:eastAsia="黑体"/>
          <w:sz w:val="32"/>
          <w:szCs w:val="32"/>
        </w:rPr>
        <w:t>（三）国有资产占用情况说明</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lang w:eastAsia="zh-CN"/>
        </w:rPr>
        <w:t>截至</w:t>
      </w:r>
      <w:r>
        <w:rPr>
          <w:rFonts w:hint="eastAsia" w:ascii="仿宋_GB2312" w:eastAsia="仿宋_GB2312"/>
          <w:sz w:val="32"/>
          <w:szCs w:val="32"/>
        </w:rPr>
        <w:t>2022年12月31日，固定资产原值520.09万元，房屋</w:t>
      </w:r>
      <w:r>
        <w:rPr>
          <w:rFonts w:ascii="仿宋_GB2312" w:eastAsia="仿宋_GB2312"/>
          <w:sz w:val="32"/>
          <w:szCs w:val="32"/>
        </w:rPr>
        <w:t>3,779.89</w:t>
      </w:r>
      <w:r>
        <w:rPr>
          <w:rFonts w:hint="eastAsia" w:ascii="仿宋_GB2312" w:eastAsia="仿宋_GB2312"/>
          <w:sz w:val="32"/>
          <w:szCs w:val="32"/>
        </w:rPr>
        <w:t>平方米，价值</w:t>
      </w:r>
      <w:r>
        <w:rPr>
          <w:rFonts w:ascii="仿宋_GB2312" w:eastAsia="仿宋_GB2312"/>
          <w:sz w:val="32"/>
          <w:szCs w:val="32"/>
        </w:rPr>
        <w:t>354.28</w:t>
      </w:r>
      <w:r>
        <w:rPr>
          <w:rFonts w:hint="eastAsia" w:ascii="仿宋_GB2312" w:eastAsia="仿宋_GB2312"/>
          <w:sz w:val="32"/>
          <w:szCs w:val="32"/>
        </w:rPr>
        <w:t>万元。车辆</w:t>
      </w:r>
      <w:r>
        <w:rPr>
          <w:rFonts w:ascii="仿宋_GB2312" w:eastAsia="仿宋_GB2312"/>
          <w:sz w:val="32"/>
          <w:szCs w:val="32"/>
        </w:rPr>
        <w:t>6</w:t>
      </w:r>
      <w:r>
        <w:rPr>
          <w:rFonts w:hint="eastAsia" w:ascii="仿宋_GB2312" w:eastAsia="仿宋_GB2312"/>
          <w:sz w:val="32"/>
          <w:szCs w:val="32"/>
        </w:rPr>
        <w:t>辆，价值</w:t>
      </w:r>
      <w:r>
        <w:rPr>
          <w:rFonts w:ascii="仿宋_GB2312" w:eastAsia="仿宋_GB2312"/>
          <w:sz w:val="32"/>
          <w:szCs w:val="32"/>
        </w:rPr>
        <w:t>49.50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6</w:t>
      </w:r>
      <w:r>
        <w:rPr>
          <w:rFonts w:hint="eastAsia" w:ascii="仿宋_GB2312" w:eastAsia="仿宋_GB2312"/>
          <w:sz w:val="32"/>
          <w:szCs w:val="32"/>
        </w:rPr>
        <w:t>辆，其他用车主要是：一般公务用车；单价100万元（含）以上设备（不含车辆）</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26" w:name="_Toc11283"/>
      <w:bookmarkStart w:id="27" w:name="_Toc435"/>
      <w:r>
        <w:rPr>
          <w:rFonts w:hint="eastAsia" w:ascii="黑体" w:hAnsi="黑体" w:eastAsia="黑体" w:cs="宋体"/>
          <w:bCs/>
          <w:kern w:val="0"/>
          <w:sz w:val="32"/>
          <w:szCs w:val="32"/>
        </w:rPr>
        <w:t>十一、预算绩效的情况说明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2</w:t>
      </w:r>
      <w:r>
        <w:rPr>
          <w:rFonts w:hint="eastAsia" w:ascii="仿宋_GB2312" w:eastAsia="仿宋_GB2312"/>
          <w:sz w:val="32"/>
          <w:szCs w:val="32"/>
        </w:rPr>
        <w:t>个，全年预算数15.00万元，全年执行数15.00万元。预算绩效管理取得的成效：</w:t>
      </w:r>
      <w:r>
        <w:rPr>
          <w:rFonts w:ascii="仿宋_GB2312" w:eastAsia="仿宋_GB2312"/>
          <w:sz w:val="32"/>
          <w:szCs w:val="32"/>
        </w:rPr>
        <w:t>一是确保资金的高效使用，切实发挥财政资金的使用效果。二是严格按照工作职责和相关文件依据，确保专款专用。三是严格控制资金的流出方向，确保资金的合规性</w:t>
      </w:r>
      <w:r>
        <w:rPr>
          <w:rFonts w:hint="eastAsia" w:ascii="仿宋_GB2312" w:eastAsia="仿宋_GB2312"/>
          <w:sz w:val="32"/>
          <w:szCs w:val="32"/>
        </w:rPr>
        <w:t>。发现的问题及原因：</w:t>
      </w:r>
      <w:r>
        <w:rPr>
          <w:rFonts w:ascii="仿宋_GB2312" w:eastAsia="仿宋_GB2312"/>
          <w:sz w:val="32"/>
          <w:szCs w:val="32"/>
        </w:rPr>
        <w:t>一是项目的前期准备工作不严谨，项目缺乏立项相关资料，对项目实施未进行深入分析，没有合理的项目管理计划或方案；二是项目预算绩效管理工作不健全，管理意识薄弱，预算管理意识不强，管理较混乱，没有建立专门的制度。在项目进行过程中，影响项目实施的效率及效益</w:t>
      </w:r>
      <w:r>
        <w:rPr>
          <w:rFonts w:hint="eastAsia" w:ascii="仿宋_GB2312" w:eastAsia="仿宋_GB2312"/>
          <w:sz w:val="32"/>
          <w:szCs w:val="32"/>
        </w:rPr>
        <w:t>。下一步改进措施：</w:t>
      </w:r>
      <w:r>
        <w:rPr>
          <w:rFonts w:ascii="仿宋_GB2312" w:eastAsia="仿宋_GB2312"/>
          <w:sz w:val="32"/>
          <w:szCs w:val="32"/>
        </w:rPr>
        <w:t>一是强化前期准备，加强项目管理力度。项目前期做好可行性研究报告，更加细化实施方案，严格执行资金管理办法和财政资金管理制度，严格按照项目实施方案稳步推进工作；项目启动时同步做好档案的归档与整理，及时整理、收集、汇总、健全档案资料；通过绩效管理，发现项目实施中存在漏洞，及时掌握与之相关的各类信息，减少成本，使资金效益</w:t>
      </w:r>
      <w:r>
        <w:rPr>
          <w:rFonts w:hint="eastAsia" w:ascii="仿宋_GB2312" w:eastAsia="仿宋_GB2312"/>
          <w:sz w:val="32"/>
          <w:szCs w:val="32"/>
          <w:lang w:eastAsia="zh-CN"/>
        </w:rPr>
        <w:t>最大化</w:t>
      </w:r>
      <w:r>
        <w:rPr>
          <w:rFonts w:ascii="仿宋_GB2312" w:eastAsia="仿宋_GB2312"/>
          <w:sz w:val="32"/>
          <w:szCs w:val="32"/>
        </w:rPr>
        <w:t>。二是健全项目管理机制，加强管理意识，按照预算支出内容，以结果为导向，设置合理的绩效目标，加强项目实施效果的管理。三是完善资金管理制度，树立监督管理责任意识，加强资金监管力度，完善资金监管制度，建立“预算编制有目标，预算完成有评价，评价结果有反馈，反馈结果有应用”的预算绩效管理机制</w:t>
      </w:r>
      <w:r>
        <w:rPr>
          <w:rFonts w:hint="eastAsia" w:ascii="仿宋_GB2312" w:eastAsia="仿宋_GB2312"/>
          <w:sz w:val="32"/>
          <w:szCs w:val="32"/>
        </w:rPr>
        <w:t>。具体项目自评情况附项目支出绩效自评表。</w:t>
      </w:r>
    </w:p>
    <w:p>
      <w:pPr>
        <w:widowControl/>
        <w:jc w:val="left"/>
        <w:rPr>
          <w:rFonts w:ascii="黑体" w:hAnsi="黑体" w:eastAsia="黑体"/>
          <w:sz w:val="32"/>
          <w:szCs w:val="32"/>
        </w:rPr>
      </w:pPr>
      <w:bookmarkStart w:id="28" w:name="_Toc24143"/>
      <w:bookmarkStart w:id="29" w:name="_Toc3250"/>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976"/>
        <w:gridCol w:w="994"/>
      </w:tblGrid>
      <w:tr>
        <w:tblPrEx>
          <w:tblCellMar>
            <w:top w:w="0" w:type="dxa"/>
            <w:left w:w="108" w:type="dxa"/>
            <w:bottom w:w="0" w:type="dxa"/>
            <w:right w:w="108" w:type="dxa"/>
          </w:tblCellMar>
        </w:tblPrEx>
        <w:trPr>
          <w:cantSplit/>
          <w:jc w:val="center"/>
        </w:trPr>
        <w:tc>
          <w:tcPr>
            <w:tcW w:w="10051" w:type="dxa"/>
            <w:gridSpan w:val="9"/>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项  目  支  出  绩  效  自  评  表</w:t>
            </w:r>
          </w:p>
        </w:tc>
      </w:tr>
      <w:tr>
        <w:tblPrEx>
          <w:tblCellMar>
            <w:top w:w="0" w:type="dxa"/>
            <w:left w:w="108" w:type="dxa"/>
            <w:bottom w:w="0" w:type="dxa"/>
            <w:right w:w="108" w:type="dxa"/>
          </w:tblCellMar>
        </w:tblPrEx>
        <w:trPr>
          <w:cantSplit/>
          <w:jc w:val="center"/>
        </w:trPr>
        <w:tc>
          <w:tcPr>
            <w:tcW w:w="10051" w:type="dxa"/>
            <w:gridSpan w:val="9"/>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(2022年度)</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846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关于申请武工队阵地提升改造经费项目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叶城县依力可其乡人民政府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叶城县依力克其乡人民政府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年初预算数</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10.00分</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319"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项目10万元，按照自治区地区县委的安排武工队进驻叶城县依力克其乡，我乡统筹现有资源对闲着房屋进行改造，其中铺设</w:t>
            </w:r>
            <w:r>
              <w:rPr>
                <w:rFonts w:hint="eastAsia" w:ascii="宋体" w:hAnsi="宋体" w:cs="宋体"/>
                <w:color w:val="000000"/>
                <w:kern w:val="0"/>
                <w:sz w:val="20"/>
                <w:szCs w:val="20"/>
                <w:lang w:eastAsia="zh-CN"/>
              </w:rPr>
              <w:t>低压电缆</w:t>
            </w:r>
            <w:r>
              <w:rPr>
                <w:rFonts w:hint="eastAsia" w:ascii="宋体" w:hAnsi="宋体" w:cs="宋体"/>
                <w:color w:val="000000"/>
                <w:kern w:val="0"/>
                <w:sz w:val="20"/>
                <w:szCs w:val="20"/>
              </w:rPr>
              <w:t>，电路改造及附属配套实施总金额6.43元，房屋内部改造及其他附属设备3.57元。电路改造及附属配套实施达到全乡人民安全感，幸福感参与感。</w:t>
            </w:r>
          </w:p>
        </w:tc>
        <w:tc>
          <w:tcPr>
            <w:tcW w:w="421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2022年12月31日，项目预算金额为10万元，资金到位10万元，已支付10万元，资金执行率100%，项目按照自治区地区县委的安排武工队进驻叶城县依力克其乡，我乡统筹现有资源对闲着房屋进行改造，其中铺设</w:t>
            </w:r>
            <w:r>
              <w:rPr>
                <w:rFonts w:hint="eastAsia" w:ascii="宋体" w:hAnsi="宋体" w:cs="宋体"/>
                <w:color w:val="000000"/>
                <w:kern w:val="0"/>
                <w:sz w:val="20"/>
                <w:szCs w:val="20"/>
                <w:lang w:eastAsia="zh-CN"/>
              </w:rPr>
              <w:t>低压电缆</w:t>
            </w:r>
            <w:r>
              <w:rPr>
                <w:rFonts w:hint="eastAsia" w:ascii="宋体" w:hAnsi="宋体" w:cs="宋体"/>
                <w:color w:val="000000"/>
                <w:kern w:val="0"/>
                <w:sz w:val="20"/>
                <w:szCs w:val="20"/>
              </w:rPr>
              <w:t>，电路改造及附属配套实施总金额6.43元，房屋内部改造及其他附属设备3.57元。电路改造及附属配套实施达到全乡人民安全感，幸福感参与感</w:t>
            </w:r>
            <w:r>
              <w:rPr>
                <w:rFonts w:hint="eastAsia" w:ascii="宋体" w:hAnsi="宋体" w:cs="宋体"/>
                <w:color w:val="000000"/>
                <w:kern w:val="0"/>
                <w:sz w:val="20"/>
                <w:szCs w:val="20"/>
                <w:lang w:eastAsia="zh-CN"/>
              </w:rPr>
              <w:t>。</w:t>
            </w:r>
          </w:p>
        </w:tc>
      </w:tr>
      <w:tr>
        <w:tblPrEx>
          <w:tblCellMar>
            <w:top w:w="0" w:type="dxa"/>
            <w:left w:w="108" w:type="dxa"/>
            <w:bottom w:w="0" w:type="dxa"/>
            <w:right w:w="108" w:type="dxa"/>
          </w:tblCellMar>
        </w:tblPrEx>
        <w:trPr>
          <w:cantSplit/>
          <w:trHeight w:val="312"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　</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一级指标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二级指标</w:t>
            </w:r>
          </w:p>
        </w:tc>
        <w:tc>
          <w:tcPr>
            <w:tcW w:w="121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分值</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得分</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312"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57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99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年度绩效指标完成情况</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电路改造及附属配套设施数量（套）</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=1套</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1套</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房屋内部改造及配套设施数量（批）</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=1批</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1批</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资金足额保障率（%）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项目完成及时率（%）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电路改造及附属配套设施成本（万元）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&lt;=6.43万元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6.43万元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房屋内部改造及配套设施成本（万元）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&lt;=3.57万元</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3.57万元</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有效保障人民群众生命安全和身体健康</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电路改造及附属设施使用年限（年）</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&gt;=5年</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5年</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受益武工队人员满意度（%）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该指标实际完成值为100%，年初绩效目标设置不合理，导致项目实施产生正偏差。改进措施：以后年度根据项目实际情况设置绩效目标值。</w:t>
            </w:r>
          </w:p>
        </w:tc>
      </w:tr>
      <w:tr>
        <w:tblPrEx>
          <w:tblCellMar>
            <w:top w:w="0" w:type="dxa"/>
            <w:left w:w="108" w:type="dxa"/>
            <w:bottom w:w="0" w:type="dxa"/>
            <w:right w:w="108" w:type="dxa"/>
          </w:tblCellMar>
        </w:tblPrEx>
        <w:trPr>
          <w:cantSplit/>
          <w:jc w:val="center"/>
        </w:trPr>
        <w:tc>
          <w:tcPr>
            <w:tcW w:w="711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总分</w:t>
            </w:r>
          </w:p>
        </w:tc>
        <w:tc>
          <w:tcPr>
            <w:tcW w:w="9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100.00分</w:t>
            </w:r>
          </w:p>
        </w:tc>
        <w:tc>
          <w:tcPr>
            <w:tcW w:w="9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r>
    </w:tbl>
    <w:p>
      <w:pPr>
        <w:widowControl/>
        <w:jc w:val="left"/>
        <w:rPr>
          <w:rFonts w:ascii="黑体" w:hAnsi="黑体" w:eastAsia="黑体"/>
          <w:sz w:val="32"/>
          <w:szCs w:val="32"/>
        </w:rPr>
      </w:pPr>
      <w:r>
        <w:rPr>
          <w:rFonts w:hint="eastAsia" w:ascii="黑体" w:hAnsi="黑体" w:eastAsia="黑体"/>
          <w:sz w:val="32"/>
          <w:szCs w:val="32"/>
        </w:rPr>
        <w:br w:type="page"/>
      </w:r>
    </w:p>
    <w:tbl>
      <w:tblPr>
        <w:tblStyle w:val="9"/>
        <w:tblW w:w="10051" w:type="dxa"/>
        <w:jc w:val="center"/>
        <w:tblLayout w:type="fixed"/>
        <w:tblCellMar>
          <w:top w:w="0" w:type="dxa"/>
          <w:left w:w="108" w:type="dxa"/>
          <w:bottom w:w="0" w:type="dxa"/>
          <w:right w:w="108" w:type="dxa"/>
        </w:tblCellMar>
      </w:tblPr>
      <w:tblGrid>
        <w:gridCol w:w="731"/>
        <w:gridCol w:w="851"/>
        <w:gridCol w:w="1465"/>
        <w:gridCol w:w="1210"/>
        <w:gridCol w:w="1578"/>
        <w:gridCol w:w="1275"/>
        <w:gridCol w:w="971"/>
        <w:gridCol w:w="1970"/>
      </w:tblGrid>
      <w:tr>
        <w:tblPrEx>
          <w:tblCellMar>
            <w:top w:w="0" w:type="dxa"/>
            <w:left w:w="108" w:type="dxa"/>
            <w:bottom w:w="0" w:type="dxa"/>
            <w:right w:w="108" w:type="dxa"/>
          </w:tblCellMar>
        </w:tblPrEx>
        <w:trPr>
          <w:cantSplit/>
          <w:jc w:val="center"/>
        </w:trPr>
        <w:tc>
          <w:tcPr>
            <w:tcW w:w="10051" w:type="dxa"/>
            <w:gridSpan w:val="8"/>
            <w:tcBorders>
              <w:top w:val="nil"/>
              <w:left w:val="nil"/>
              <w:bottom w:val="nil"/>
              <w:right w:val="nil"/>
            </w:tcBorders>
            <w:shd w:val="clear" w:color="auto" w:fill="auto"/>
            <w:vAlign w:val="center"/>
          </w:tcPr>
          <w:p>
            <w:pPr>
              <w:widowControl/>
              <w:jc w:val="center"/>
              <w:rPr>
                <w:rFonts w:ascii="宋体" w:hAnsi="宋体" w:cs="宋体"/>
                <w:b/>
                <w:bCs/>
                <w:color w:val="000000"/>
                <w:kern w:val="0"/>
                <w:sz w:val="32"/>
                <w:szCs w:val="32"/>
              </w:rPr>
            </w:pPr>
            <w:r>
              <w:rPr>
                <w:rFonts w:hint="eastAsia" w:ascii="仿宋_GB2312" w:hAnsi="宋体" w:eastAsia="仿宋_GB2312" w:cs="仿宋_GB2312"/>
                <w:b/>
                <w:color w:val="000000"/>
                <w:kern w:val="0"/>
                <w:sz w:val="24"/>
                <w:lang w:bidi="ar"/>
              </w:rPr>
              <w:t>中 央 对 地 方 专 项 转 移 支 付 绩 效 自 评 表</w:t>
            </w:r>
          </w:p>
        </w:tc>
      </w:tr>
      <w:tr>
        <w:tblPrEx>
          <w:tblCellMar>
            <w:top w:w="0" w:type="dxa"/>
            <w:left w:w="108" w:type="dxa"/>
            <w:bottom w:w="0" w:type="dxa"/>
            <w:right w:w="108" w:type="dxa"/>
          </w:tblCellMar>
        </w:tblPrEx>
        <w:trPr>
          <w:cantSplit/>
          <w:jc w:val="center"/>
        </w:trPr>
        <w:tc>
          <w:tcPr>
            <w:tcW w:w="10051" w:type="dxa"/>
            <w:gridSpan w:val="8"/>
            <w:tcBorders>
              <w:top w:val="nil"/>
              <w:left w:val="nil"/>
              <w:bottom w:val="single" w:color="auto" w:sz="4" w:space="0"/>
              <w:right w:val="nil"/>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专项名称</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叶城县防控工作经费项目</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中央主管部门</w:t>
            </w:r>
          </w:p>
        </w:tc>
        <w:tc>
          <w:tcPr>
            <w:tcW w:w="8469"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国务院</w:t>
            </w:r>
          </w:p>
        </w:tc>
      </w:tr>
      <w:tr>
        <w:tblPrEx>
          <w:tblCellMar>
            <w:top w:w="0" w:type="dxa"/>
            <w:left w:w="108" w:type="dxa"/>
            <w:bottom w:w="0" w:type="dxa"/>
            <w:right w:w="108" w:type="dxa"/>
          </w:tblCellMar>
        </w:tblPrEx>
        <w:trPr>
          <w:cantSplit/>
          <w:jc w:val="center"/>
        </w:trPr>
        <w:tc>
          <w:tcPr>
            <w:tcW w:w="15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地方主管部门</w:t>
            </w:r>
          </w:p>
        </w:tc>
        <w:tc>
          <w:tcPr>
            <w:tcW w:w="2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喀什地区人民政府</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实施单位</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叶城县依力克其乡人民政府</w:t>
            </w:r>
          </w:p>
        </w:tc>
      </w:tr>
      <w:tr>
        <w:tblPrEx>
          <w:tblCellMar>
            <w:top w:w="0" w:type="dxa"/>
            <w:left w:w="108" w:type="dxa"/>
            <w:bottom w:w="0" w:type="dxa"/>
            <w:right w:w="108" w:type="dxa"/>
          </w:tblCellMar>
        </w:tblPrEx>
        <w:trPr>
          <w:cantSplit/>
          <w:jc w:val="center"/>
        </w:trPr>
        <w:tc>
          <w:tcPr>
            <w:tcW w:w="15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全年预算数（A,含结余结转）</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全年执行数（B）</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执行率（B/A)</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年度资金总额：</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其中：中央补助</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地方资金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100.00%</w:t>
            </w:r>
          </w:p>
        </w:tc>
      </w:tr>
      <w:tr>
        <w:tblPrEx>
          <w:tblCellMar>
            <w:top w:w="0" w:type="dxa"/>
            <w:left w:w="108" w:type="dxa"/>
            <w:bottom w:w="0" w:type="dxa"/>
            <w:right w:w="108" w:type="dxa"/>
          </w:tblCellMar>
        </w:tblPrEx>
        <w:trPr>
          <w:cantSplit/>
          <w:trHeight w:val="305" w:hRule="atLeast"/>
          <w:jc w:val="center"/>
        </w:trPr>
        <w:tc>
          <w:tcPr>
            <w:tcW w:w="15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46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27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22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c>
          <w:tcPr>
            <w:tcW w:w="19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0.00%</w:t>
            </w:r>
          </w:p>
        </w:tc>
      </w:tr>
      <w:tr>
        <w:tblPrEx>
          <w:tblCellMar>
            <w:top w:w="0" w:type="dxa"/>
            <w:left w:w="108" w:type="dxa"/>
            <w:bottom w:w="0" w:type="dxa"/>
            <w:right w:w="108" w:type="dxa"/>
          </w:tblCellMar>
        </w:tblPrEx>
        <w:trPr>
          <w:cantSpli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年度总体目标</w:t>
            </w:r>
          </w:p>
        </w:tc>
        <w:tc>
          <w:tcPr>
            <w:tcW w:w="510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421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cantSpli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51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项目资金5万元，用于保障防控，防止扩散，群众生命安全得到保障。</w:t>
            </w:r>
          </w:p>
        </w:tc>
        <w:tc>
          <w:tcPr>
            <w:tcW w:w="421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eastAsia="zh-CN"/>
              </w:rPr>
              <w:t>截至</w:t>
            </w:r>
            <w:r>
              <w:rPr>
                <w:rFonts w:hint="eastAsia" w:ascii="宋体" w:hAnsi="宋体" w:cs="宋体"/>
                <w:color w:val="000000"/>
                <w:kern w:val="0"/>
                <w:sz w:val="20"/>
                <w:szCs w:val="20"/>
              </w:rPr>
              <w:t>2022年12月31日，项目预算金额为5万元，资金到位5万元，已支付5万元，资金执行率100%，用于保障防控，防止扩散，进一步加强新冠肺炎医疗防控及救治各项措施实施，提高应急处置和医疗救治能力，发现疑似病例及时处置，防止医务人员感染，切实保障人民群众及医护人员生命安全和身体健康。</w:t>
            </w:r>
          </w:p>
        </w:tc>
      </w:tr>
      <w:tr>
        <w:tblPrEx>
          <w:tblCellMar>
            <w:top w:w="0" w:type="dxa"/>
            <w:left w:w="108" w:type="dxa"/>
            <w:bottom w:w="0" w:type="dxa"/>
            <w:right w:w="108" w:type="dxa"/>
          </w:tblCellMar>
        </w:tblPrEx>
        <w:trPr>
          <w:cantSplit/>
          <w:trHeight w:val="1248"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实际完成值</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cantSplit/>
          <w:trHeight w:val="823"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绩效目标</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产出指标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保障防控乡镇个数（个）</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资金保障率（%）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资金拨付及时率（%）</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保障乡镇防控支出成本（万元）</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sz w:val="20"/>
              </w:rPr>
              <w:t>效益指标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保障人民群众和医护人员生命安全和身体健康</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有效保障</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保持社区防控常态化得到稳定</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有效完善</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有效完善</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满意度指标 </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受益辖区居民满意度（%）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&gt;=96%</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823" w:hRule="atLeast"/>
          <w:jc w:val="center"/>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绩效目标</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14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满意度指标 </w:t>
            </w:r>
          </w:p>
        </w:tc>
        <w:tc>
          <w:tcPr>
            <w:tcW w:w="121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受益医护人员满意度（%）</w:t>
            </w:r>
          </w:p>
        </w:tc>
        <w:tc>
          <w:tcPr>
            <w:tcW w:w="15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&gt;=96%</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294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p>
        </w:tc>
      </w:tr>
    </w:tbl>
    <w:p>
      <w:pPr>
        <w:widowControl/>
        <w:jc w:val="left"/>
        <w:rPr>
          <w:rFonts w:ascii="黑体" w:hAnsi="黑体" w:eastAsia="黑体"/>
          <w:sz w:val="32"/>
          <w:szCs w:val="32"/>
        </w:rPr>
      </w:pPr>
      <w:r>
        <w:rPr>
          <w:rFonts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28"/>
      <w:bookmarkEnd w:id="29"/>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bookmarkStart w:id="30" w:name="_Toc22784"/>
      <w:bookmarkStart w:id="31" w:name="_Toc28903"/>
      <w:r>
        <w:rPr>
          <w:rFonts w:hint="eastAsia" w:ascii="黑体" w:hAnsi="黑体" w:eastAsia="黑体"/>
          <w:sz w:val="32"/>
          <w:szCs w:val="32"/>
        </w:rPr>
        <w:br w:type="page"/>
      </w:r>
      <w:r>
        <w:rPr>
          <w:rFonts w:hint="eastAsia" w:ascii="黑体" w:hAnsi="黑体" w:eastAsia="黑体"/>
          <w:sz w:val="32"/>
          <w:szCs w:val="32"/>
        </w:rPr>
        <w:t>第四部分 部门决算报表（见附表）</w:t>
      </w:r>
      <w:bookmarkEnd w:id="30"/>
      <w:bookmarkEnd w:id="31"/>
    </w:p>
    <w:p>
      <w:pPr>
        <w:ind w:firstLine="640" w:firstLineChars="200"/>
        <w:outlineLvl w:val="1"/>
        <w:rPr>
          <w:rFonts w:ascii="黑体" w:hAnsi="黑体" w:eastAsia="黑体" w:cs="宋体"/>
          <w:bCs/>
          <w:kern w:val="0"/>
          <w:sz w:val="32"/>
          <w:szCs w:val="32"/>
        </w:rPr>
      </w:pPr>
      <w:bookmarkStart w:id="32" w:name="_Toc2183"/>
      <w:bookmarkStart w:id="33" w:name="_Toc6062"/>
      <w:r>
        <w:rPr>
          <w:rFonts w:hint="eastAsia" w:ascii="黑体" w:hAnsi="黑体" w:eastAsia="黑体" w:cs="宋体"/>
          <w:bCs/>
          <w:kern w:val="0"/>
          <w:sz w:val="32"/>
          <w:szCs w:val="32"/>
        </w:rPr>
        <w:t>一、《收入支出决算总表》</w:t>
      </w:r>
      <w:bookmarkEnd w:id="32"/>
      <w:bookmarkEnd w:id="33"/>
    </w:p>
    <w:p>
      <w:pPr>
        <w:ind w:firstLine="640" w:firstLineChars="200"/>
        <w:outlineLvl w:val="1"/>
        <w:rPr>
          <w:rFonts w:ascii="黑体" w:hAnsi="黑体" w:eastAsia="黑体" w:cs="宋体"/>
          <w:bCs/>
          <w:kern w:val="0"/>
          <w:sz w:val="32"/>
          <w:szCs w:val="32"/>
        </w:rPr>
      </w:pPr>
      <w:bookmarkStart w:id="34" w:name="_Toc30364"/>
      <w:bookmarkStart w:id="35" w:name="_Toc24532"/>
      <w:r>
        <w:rPr>
          <w:rFonts w:hint="eastAsia" w:ascii="黑体" w:hAnsi="黑体" w:eastAsia="黑体" w:cs="宋体"/>
          <w:bCs/>
          <w:kern w:val="0"/>
          <w:sz w:val="32"/>
          <w:szCs w:val="32"/>
        </w:rPr>
        <w:t>二、《收入决算表》</w:t>
      </w:r>
      <w:bookmarkEnd w:id="34"/>
      <w:bookmarkEnd w:id="35"/>
    </w:p>
    <w:p>
      <w:pPr>
        <w:ind w:firstLine="640" w:firstLineChars="200"/>
        <w:outlineLvl w:val="1"/>
        <w:rPr>
          <w:rFonts w:ascii="黑体" w:hAnsi="黑体" w:eastAsia="黑体" w:cs="宋体"/>
          <w:bCs/>
          <w:kern w:val="0"/>
          <w:sz w:val="32"/>
          <w:szCs w:val="32"/>
        </w:rPr>
      </w:pPr>
      <w:bookmarkStart w:id="36" w:name="_Toc21304"/>
      <w:bookmarkStart w:id="37" w:name="_Toc32434"/>
      <w:r>
        <w:rPr>
          <w:rFonts w:hint="eastAsia" w:ascii="黑体" w:hAnsi="黑体" w:eastAsia="黑体" w:cs="宋体"/>
          <w:bCs/>
          <w:kern w:val="0"/>
          <w:sz w:val="32"/>
          <w:szCs w:val="32"/>
        </w:rPr>
        <w:t>三、《支出决算表》</w:t>
      </w:r>
      <w:bookmarkEnd w:id="36"/>
      <w:bookmarkEnd w:id="37"/>
    </w:p>
    <w:p>
      <w:pPr>
        <w:ind w:firstLine="640" w:firstLineChars="200"/>
        <w:outlineLvl w:val="1"/>
        <w:rPr>
          <w:rFonts w:ascii="黑体" w:hAnsi="黑体" w:eastAsia="黑体" w:cs="宋体"/>
          <w:bCs/>
          <w:kern w:val="0"/>
          <w:sz w:val="32"/>
          <w:szCs w:val="32"/>
        </w:rPr>
      </w:pPr>
      <w:bookmarkStart w:id="38" w:name="_Toc14238"/>
      <w:bookmarkStart w:id="39" w:name="_Toc28786"/>
      <w:r>
        <w:rPr>
          <w:rFonts w:hint="eastAsia" w:ascii="黑体" w:hAnsi="黑体" w:eastAsia="黑体" w:cs="宋体"/>
          <w:bCs/>
          <w:kern w:val="0"/>
          <w:sz w:val="32"/>
          <w:szCs w:val="32"/>
        </w:rPr>
        <w:t>四、《财政拨款收入支出决算总表》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14869"/>
      <w:bookmarkStart w:id="41" w:name="_Toc10347"/>
      <w:r>
        <w:rPr>
          <w:rFonts w:hint="eastAsia" w:ascii="黑体" w:hAnsi="黑体" w:eastAsia="黑体" w:cs="宋体"/>
          <w:bCs/>
          <w:kern w:val="0"/>
          <w:sz w:val="32"/>
          <w:szCs w:val="32"/>
        </w:rPr>
        <w:t>五、《一般公共预算财政拨款支出决算表》</w:t>
      </w:r>
      <w:bookmarkEnd w:id="40"/>
      <w:bookmarkEnd w:id="41"/>
    </w:p>
    <w:p>
      <w:pPr>
        <w:ind w:firstLine="640" w:firstLineChars="200"/>
        <w:outlineLvl w:val="1"/>
        <w:rPr>
          <w:rFonts w:ascii="黑体" w:hAnsi="黑体" w:eastAsia="黑体" w:cs="宋体"/>
          <w:bCs/>
          <w:kern w:val="0"/>
          <w:sz w:val="32"/>
          <w:szCs w:val="32"/>
        </w:rPr>
      </w:pPr>
      <w:bookmarkStart w:id="42" w:name="_Toc5626"/>
      <w:bookmarkStart w:id="43" w:name="_Toc8884"/>
      <w:r>
        <w:rPr>
          <w:rFonts w:hint="eastAsia" w:ascii="黑体" w:hAnsi="黑体" w:eastAsia="黑体" w:cs="宋体"/>
          <w:bCs/>
          <w:kern w:val="0"/>
          <w:sz w:val="32"/>
          <w:szCs w:val="32"/>
        </w:rPr>
        <w:t>六、《一般公共预算财政拨款基本支出决算表》</w:t>
      </w:r>
      <w:bookmarkEnd w:id="42"/>
      <w:bookmarkEnd w:id="4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w:t>
      </w:r>
      <w:bookmarkStart w:id="44" w:name="_Toc32663"/>
      <w:bookmarkStart w:id="45" w:name="_Toc29106"/>
      <w:r>
        <w:rPr>
          <w:rFonts w:hint="eastAsia" w:ascii="黑体" w:hAnsi="黑体" w:eastAsia="黑体" w:cs="宋体"/>
          <w:bCs/>
          <w:kern w:val="0"/>
          <w:sz w:val="32"/>
          <w:szCs w:val="32"/>
        </w:rPr>
        <w:t>《财政拨款“三公”经费支出决算表》</w:t>
      </w:r>
      <w:bookmarkEnd w:id="44"/>
      <w:bookmarkEnd w:id="45"/>
    </w:p>
    <w:p>
      <w:pPr>
        <w:ind w:firstLine="640" w:firstLineChars="200"/>
        <w:outlineLvl w:val="1"/>
        <w:rPr>
          <w:rFonts w:ascii="黑体" w:hAnsi="黑体" w:eastAsia="黑体" w:cs="宋体"/>
          <w:bCs/>
          <w:kern w:val="0"/>
          <w:sz w:val="32"/>
          <w:szCs w:val="32"/>
        </w:rPr>
      </w:pPr>
      <w:bookmarkStart w:id="46" w:name="_Toc5453"/>
      <w:bookmarkStart w:id="47" w:name="_Toc7643"/>
      <w:r>
        <w:rPr>
          <w:rFonts w:hint="eastAsia" w:ascii="黑体" w:hAnsi="黑体" w:eastAsia="黑体" w:cs="宋体"/>
          <w:bCs/>
          <w:kern w:val="0"/>
          <w:sz w:val="32"/>
          <w:szCs w:val="32"/>
        </w:rPr>
        <w:t>八、《政府性基金预算财政拨款收入支出决算表》</w:t>
      </w:r>
      <w:bookmarkEnd w:id="46"/>
      <w:bookmarkEnd w:id="47"/>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M2M5NzM4ZTIzZDEyNGM2OTU5Zjc1OWZkNTRiMzQifQ=="/>
  </w:docVars>
  <w:rsids>
    <w:rsidRoot w:val="00312C27"/>
    <w:rsid w:val="00012F23"/>
    <w:rsid w:val="00021E76"/>
    <w:rsid w:val="000229DC"/>
    <w:rsid w:val="0002765D"/>
    <w:rsid w:val="0003297B"/>
    <w:rsid w:val="000379B3"/>
    <w:rsid w:val="0005626F"/>
    <w:rsid w:val="000724E7"/>
    <w:rsid w:val="00073996"/>
    <w:rsid w:val="0008509D"/>
    <w:rsid w:val="00090520"/>
    <w:rsid w:val="000A0B31"/>
    <w:rsid w:val="000D2344"/>
    <w:rsid w:val="000D267C"/>
    <w:rsid w:val="000E75B2"/>
    <w:rsid w:val="000E7B17"/>
    <w:rsid w:val="00135BB7"/>
    <w:rsid w:val="0016194B"/>
    <w:rsid w:val="001762A3"/>
    <w:rsid w:val="00185C9C"/>
    <w:rsid w:val="001B0BD1"/>
    <w:rsid w:val="001B147B"/>
    <w:rsid w:val="001C3354"/>
    <w:rsid w:val="00215836"/>
    <w:rsid w:val="00221441"/>
    <w:rsid w:val="00224B57"/>
    <w:rsid w:val="002259E8"/>
    <w:rsid w:val="00235C0B"/>
    <w:rsid w:val="00240AA1"/>
    <w:rsid w:val="00263A81"/>
    <w:rsid w:val="00271C68"/>
    <w:rsid w:val="00294495"/>
    <w:rsid w:val="0029483B"/>
    <w:rsid w:val="002A2698"/>
    <w:rsid w:val="002B179F"/>
    <w:rsid w:val="002B6C9C"/>
    <w:rsid w:val="002D1584"/>
    <w:rsid w:val="00312C27"/>
    <w:rsid w:val="00352E78"/>
    <w:rsid w:val="00366326"/>
    <w:rsid w:val="003A21C7"/>
    <w:rsid w:val="003B1B1F"/>
    <w:rsid w:val="003C2E0F"/>
    <w:rsid w:val="003D686F"/>
    <w:rsid w:val="003F04B0"/>
    <w:rsid w:val="003F1325"/>
    <w:rsid w:val="003F3219"/>
    <w:rsid w:val="00411B2D"/>
    <w:rsid w:val="00435C19"/>
    <w:rsid w:val="00436039"/>
    <w:rsid w:val="00460D47"/>
    <w:rsid w:val="00484954"/>
    <w:rsid w:val="004A0689"/>
    <w:rsid w:val="004C2483"/>
    <w:rsid w:val="004C3288"/>
    <w:rsid w:val="004C4A14"/>
    <w:rsid w:val="004C6A74"/>
    <w:rsid w:val="004D41E0"/>
    <w:rsid w:val="0050663B"/>
    <w:rsid w:val="00517943"/>
    <w:rsid w:val="00531043"/>
    <w:rsid w:val="00531F92"/>
    <w:rsid w:val="00556D35"/>
    <w:rsid w:val="00557718"/>
    <w:rsid w:val="00561710"/>
    <w:rsid w:val="00571ACE"/>
    <w:rsid w:val="00572CBD"/>
    <w:rsid w:val="005A07B6"/>
    <w:rsid w:val="005A161C"/>
    <w:rsid w:val="005B643B"/>
    <w:rsid w:val="005C3DEB"/>
    <w:rsid w:val="005D0AD9"/>
    <w:rsid w:val="005D1C2D"/>
    <w:rsid w:val="005E3B4A"/>
    <w:rsid w:val="0060159A"/>
    <w:rsid w:val="00626A93"/>
    <w:rsid w:val="00656E06"/>
    <w:rsid w:val="00665BE8"/>
    <w:rsid w:val="00680772"/>
    <w:rsid w:val="006B52D5"/>
    <w:rsid w:val="006C27D5"/>
    <w:rsid w:val="006C2D78"/>
    <w:rsid w:val="006D1EE8"/>
    <w:rsid w:val="006E797E"/>
    <w:rsid w:val="006F4050"/>
    <w:rsid w:val="006F66CC"/>
    <w:rsid w:val="0071348F"/>
    <w:rsid w:val="00752DF5"/>
    <w:rsid w:val="00753B65"/>
    <w:rsid w:val="00760DE7"/>
    <w:rsid w:val="00761E0D"/>
    <w:rsid w:val="007649BA"/>
    <w:rsid w:val="007A247A"/>
    <w:rsid w:val="007A31DF"/>
    <w:rsid w:val="007B559C"/>
    <w:rsid w:val="007D31C5"/>
    <w:rsid w:val="007E0AAA"/>
    <w:rsid w:val="007E2227"/>
    <w:rsid w:val="007F2258"/>
    <w:rsid w:val="0081064F"/>
    <w:rsid w:val="0084474D"/>
    <w:rsid w:val="0089722A"/>
    <w:rsid w:val="008A0B2C"/>
    <w:rsid w:val="008A44AF"/>
    <w:rsid w:val="008B33C8"/>
    <w:rsid w:val="008D0631"/>
    <w:rsid w:val="00905908"/>
    <w:rsid w:val="00914C96"/>
    <w:rsid w:val="00926C84"/>
    <w:rsid w:val="00927CCC"/>
    <w:rsid w:val="00955F5A"/>
    <w:rsid w:val="00986787"/>
    <w:rsid w:val="009C08BE"/>
    <w:rsid w:val="00A22AE4"/>
    <w:rsid w:val="00A347A6"/>
    <w:rsid w:val="00A3556A"/>
    <w:rsid w:val="00A636E4"/>
    <w:rsid w:val="00A87103"/>
    <w:rsid w:val="00AB776D"/>
    <w:rsid w:val="00AC1E96"/>
    <w:rsid w:val="00AE1570"/>
    <w:rsid w:val="00B03B50"/>
    <w:rsid w:val="00B33BF0"/>
    <w:rsid w:val="00B35A42"/>
    <w:rsid w:val="00B4517D"/>
    <w:rsid w:val="00B53821"/>
    <w:rsid w:val="00B92C80"/>
    <w:rsid w:val="00BA3B30"/>
    <w:rsid w:val="00BC6347"/>
    <w:rsid w:val="00BC69BD"/>
    <w:rsid w:val="00BD3218"/>
    <w:rsid w:val="00BD5200"/>
    <w:rsid w:val="00BE4763"/>
    <w:rsid w:val="00BF7AA6"/>
    <w:rsid w:val="00C0408D"/>
    <w:rsid w:val="00C23286"/>
    <w:rsid w:val="00C25C01"/>
    <w:rsid w:val="00C37871"/>
    <w:rsid w:val="00C65103"/>
    <w:rsid w:val="00C66483"/>
    <w:rsid w:val="00C7153E"/>
    <w:rsid w:val="00C72285"/>
    <w:rsid w:val="00C77B7E"/>
    <w:rsid w:val="00C90C12"/>
    <w:rsid w:val="00CA6634"/>
    <w:rsid w:val="00CB036E"/>
    <w:rsid w:val="00CD3225"/>
    <w:rsid w:val="00CF5B51"/>
    <w:rsid w:val="00CF7E34"/>
    <w:rsid w:val="00D020FB"/>
    <w:rsid w:val="00D25150"/>
    <w:rsid w:val="00D41FF8"/>
    <w:rsid w:val="00D45561"/>
    <w:rsid w:val="00D6005A"/>
    <w:rsid w:val="00D6267B"/>
    <w:rsid w:val="00D64C5E"/>
    <w:rsid w:val="00D66A40"/>
    <w:rsid w:val="00D76208"/>
    <w:rsid w:val="00D8609B"/>
    <w:rsid w:val="00DA3B1B"/>
    <w:rsid w:val="00DF2FD8"/>
    <w:rsid w:val="00E04D53"/>
    <w:rsid w:val="00E2268A"/>
    <w:rsid w:val="00E25E17"/>
    <w:rsid w:val="00E3623A"/>
    <w:rsid w:val="00E45222"/>
    <w:rsid w:val="00EB34D7"/>
    <w:rsid w:val="00EC60C6"/>
    <w:rsid w:val="00EE4EA5"/>
    <w:rsid w:val="00EE6071"/>
    <w:rsid w:val="00F0691A"/>
    <w:rsid w:val="00F20986"/>
    <w:rsid w:val="00F20EB6"/>
    <w:rsid w:val="00F216E3"/>
    <w:rsid w:val="00F26856"/>
    <w:rsid w:val="00F30DDE"/>
    <w:rsid w:val="00F53C2D"/>
    <w:rsid w:val="00F66B7F"/>
    <w:rsid w:val="00F7210D"/>
    <w:rsid w:val="00F8314A"/>
    <w:rsid w:val="00F876D7"/>
    <w:rsid w:val="00F91E81"/>
    <w:rsid w:val="00F95054"/>
    <w:rsid w:val="00FF6A37"/>
    <w:rsid w:val="034D4FEF"/>
    <w:rsid w:val="043E5B56"/>
    <w:rsid w:val="06792773"/>
    <w:rsid w:val="0A7B4867"/>
    <w:rsid w:val="0AE83DE6"/>
    <w:rsid w:val="0B8C3ECC"/>
    <w:rsid w:val="0BBA0A81"/>
    <w:rsid w:val="0C7227A7"/>
    <w:rsid w:val="0DA014E7"/>
    <w:rsid w:val="0F3317C1"/>
    <w:rsid w:val="12386E6F"/>
    <w:rsid w:val="14155180"/>
    <w:rsid w:val="15F06E99"/>
    <w:rsid w:val="1C7A04C1"/>
    <w:rsid w:val="1DAF458D"/>
    <w:rsid w:val="20DD6197"/>
    <w:rsid w:val="21A91B81"/>
    <w:rsid w:val="222A65E3"/>
    <w:rsid w:val="23BC04D2"/>
    <w:rsid w:val="23FB0802"/>
    <w:rsid w:val="277F0ACA"/>
    <w:rsid w:val="279B3DC0"/>
    <w:rsid w:val="27CF2642"/>
    <w:rsid w:val="2A053397"/>
    <w:rsid w:val="2D1136DF"/>
    <w:rsid w:val="2DD47676"/>
    <w:rsid w:val="2E743C6A"/>
    <w:rsid w:val="2F916B46"/>
    <w:rsid w:val="2FD27414"/>
    <w:rsid w:val="2FD45ADE"/>
    <w:rsid w:val="31C63837"/>
    <w:rsid w:val="356E1E3D"/>
    <w:rsid w:val="35FB19DD"/>
    <w:rsid w:val="3914510A"/>
    <w:rsid w:val="3B12207E"/>
    <w:rsid w:val="3B3C07D5"/>
    <w:rsid w:val="3D2A665C"/>
    <w:rsid w:val="3D5275AC"/>
    <w:rsid w:val="3F12721B"/>
    <w:rsid w:val="40834692"/>
    <w:rsid w:val="41A84A67"/>
    <w:rsid w:val="448437A4"/>
    <w:rsid w:val="44F4368F"/>
    <w:rsid w:val="454126C2"/>
    <w:rsid w:val="45E16709"/>
    <w:rsid w:val="46901EEE"/>
    <w:rsid w:val="469C74D2"/>
    <w:rsid w:val="47A53BB1"/>
    <w:rsid w:val="49B933AA"/>
    <w:rsid w:val="4A6B0F8B"/>
    <w:rsid w:val="4B4C0111"/>
    <w:rsid w:val="4E7E0922"/>
    <w:rsid w:val="50DB5F45"/>
    <w:rsid w:val="52040DD3"/>
    <w:rsid w:val="52F92565"/>
    <w:rsid w:val="55CE6BE9"/>
    <w:rsid w:val="57E43B01"/>
    <w:rsid w:val="583059FA"/>
    <w:rsid w:val="5ABB586A"/>
    <w:rsid w:val="5FA17648"/>
    <w:rsid w:val="60196410"/>
    <w:rsid w:val="61A46A97"/>
    <w:rsid w:val="62DD7D21"/>
    <w:rsid w:val="65D97752"/>
    <w:rsid w:val="68DB0208"/>
    <w:rsid w:val="69AD798C"/>
    <w:rsid w:val="6B68175F"/>
    <w:rsid w:val="6E0F7A08"/>
    <w:rsid w:val="71473612"/>
    <w:rsid w:val="718F7F65"/>
    <w:rsid w:val="73F7554E"/>
    <w:rsid w:val="73FB6630"/>
    <w:rsid w:val="74E76DCD"/>
    <w:rsid w:val="77ED6F44"/>
    <w:rsid w:val="7CB854B4"/>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annotation reference"/>
    <w:basedOn w:val="10"/>
    <w:qFormat/>
    <w:uiPriority w:val="0"/>
    <w:rPr>
      <w:sz w:val="21"/>
      <w:szCs w:val="21"/>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ug-CN"/>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character" w:customStyle="1" w:styleId="15">
    <w:name w:val="批注框文本 字符"/>
    <w:basedOn w:val="10"/>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86D7B-2C19-4270-9E89-7B35BDE3D0FD}">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19</Pages>
  <Words>1677</Words>
  <Characters>9560</Characters>
  <Lines>79</Lines>
  <Paragraphs>22</Paragraphs>
  <TotalTime>0</TotalTime>
  <ScaleCrop>false</ScaleCrop>
  <LinksUpToDate>false</LinksUpToDate>
  <CharactersWithSpaces>11215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2025-02-13T10:53:00Z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450F969ACD1B426EA23123C3601580AE_13</vt:lpwstr>
  </property>
</Properties>
</file>