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overflowPunct/>
        <w:topLinePunct w:val="0"/>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p>
    <w:p>
      <w:pPr>
        <w:pageBreakBefore w:val="0"/>
        <w:widowControl w:val="0"/>
        <w:kinsoku/>
        <w:wordWrap/>
        <w:overflowPunct/>
        <w:topLinePunct w:val="0"/>
        <w:bidi w:val="0"/>
        <w:snapToGrid/>
        <w:spacing w:line="560" w:lineRule="exact"/>
        <w:ind w:firstLine="0" w:firstLineChars="0"/>
        <w:jc w:val="center"/>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kinsoku/>
        <w:wordWrap/>
        <w:overflowPunct/>
        <w:topLinePunct w:val="0"/>
        <w:bidi w:val="0"/>
        <w:snapToGrid/>
        <w:spacing w:line="560" w:lineRule="exact"/>
        <w:ind w:firstLine="0" w:firstLineChars="0"/>
        <w:jc w:val="center"/>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kinsoku/>
        <w:wordWrap/>
        <w:overflowPunct/>
        <w:topLinePunct w:val="0"/>
        <w:bidi w:val="0"/>
        <w:snapToGrid/>
        <w:spacing w:line="560" w:lineRule="exact"/>
        <w:ind w:firstLine="0" w:firstLineChars="0"/>
        <w:jc w:val="center"/>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kinsoku/>
        <w:wordWrap/>
        <w:topLinePunct w:val="0"/>
        <w:autoSpaceDE/>
        <w:autoSpaceDN/>
        <w:bidi w:val="0"/>
        <w:snapToGrid/>
        <w:spacing w:line="560" w:lineRule="exact"/>
        <w:ind w:firstLine="0" w:firstLineChars="0"/>
        <w:jc w:val="center"/>
        <w:textAlignment w:val="auto"/>
        <w:rPr>
          <w:rFonts w:hint="eastAsia" w:ascii="黑体" w:hAnsi="黑体" w:eastAsia="黑体" w:cs="黑体"/>
          <w:b/>
          <w:color w:val="auto"/>
          <w:kern w:val="0"/>
          <w:sz w:val="36"/>
          <w:szCs w:val="36"/>
          <w:highlight w:val="none"/>
          <w:lang w:bidi="en-US"/>
        </w:rPr>
      </w:pPr>
      <w:r>
        <w:rPr>
          <w:rFonts w:hint="eastAsia" w:ascii="黑体" w:hAnsi="黑体" w:eastAsia="黑体" w:cs="黑体"/>
          <w:b/>
          <w:bCs/>
          <w:color w:val="auto"/>
          <w:sz w:val="36"/>
          <w:szCs w:val="36"/>
          <w:highlight w:val="none"/>
          <w:lang w:eastAsia="zh-CN"/>
        </w:rPr>
        <w:t>叶城县依提木孔镇26村基础设施建设项目支出自评总结报告</w:t>
      </w:r>
    </w:p>
    <w:p>
      <w:pPr>
        <w:pageBreakBefore w:val="0"/>
        <w:widowControl w:val="0"/>
        <w:kinsoku/>
        <w:wordWrap/>
        <w:topLinePunct w:val="0"/>
        <w:autoSpaceDE/>
        <w:autoSpaceDN/>
        <w:bidi w:val="0"/>
        <w:snapToGrid/>
        <w:spacing w:line="560" w:lineRule="exact"/>
        <w:ind w:firstLine="0" w:firstLineChars="0"/>
        <w:jc w:val="center"/>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tabs>
          <w:tab w:val="left" w:pos="1680"/>
        </w:tabs>
        <w:kinsoku/>
        <w:wordWrap/>
        <w:overflowPunct/>
        <w:topLinePunct w:val="0"/>
        <w:bidi w:val="0"/>
        <w:snapToGrid/>
        <w:spacing w:before="120" w:after="120" w:line="560" w:lineRule="exact"/>
        <w:ind w:firstLine="803"/>
        <w:jc w:val="center"/>
        <w:textAlignment w:val="auto"/>
        <w:outlineLvl w:val="0"/>
        <w:rPr>
          <w:rFonts w:hint="eastAsia" w:ascii="仿宋_GB2312" w:hAnsi="仿宋_GB2312" w:eastAsia="仿宋_GB2312" w:cs="仿宋_GB2312"/>
          <w:b/>
          <w:color w:val="auto"/>
          <w:sz w:val="32"/>
          <w:szCs w:val="32"/>
          <w:highlight w:val="none"/>
          <w:shd w:val="clear" w:color="FFFFFF" w:fill="D9D9D9"/>
        </w:rPr>
      </w:pPr>
    </w:p>
    <w:p>
      <w:pPr>
        <w:pageBreakBefore w:val="0"/>
        <w:widowControl w:val="0"/>
        <w:kinsoku/>
        <w:wordWrap/>
        <w:overflowPunct/>
        <w:topLinePunct w:val="0"/>
        <w:bidi w:val="0"/>
        <w:snapToGrid/>
        <w:spacing w:line="560" w:lineRule="exact"/>
        <w:ind w:firstLine="0" w:firstLineChars="0"/>
        <w:jc w:val="center"/>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kinsoku/>
        <w:wordWrap/>
        <w:overflowPunct/>
        <w:topLinePunct w:val="0"/>
        <w:autoSpaceDE w:val="0"/>
        <w:autoSpaceDN w:val="0"/>
        <w:bidi w:val="0"/>
        <w:snapToGrid/>
        <w:spacing w:line="560" w:lineRule="exact"/>
        <w:ind w:firstLine="643" w:firstLineChars="200"/>
        <w:jc w:val="both"/>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kinsoku/>
        <w:wordWrap/>
        <w:overflowPunct/>
        <w:topLinePunct w:val="0"/>
        <w:bidi w:val="0"/>
        <w:snapToGrid/>
        <w:spacing w:line="560" w:lineRule="exact"/>
        <w:ind w:firstLine="0" w:firstLineChars="0"/>
        <w:jc w:val="center"/>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kinsoku/>
        <w:wordWrap/>
        <w:overflowPunct/>
        <w:topLinePunct w:val="0"/>
        <w:bidi w:val="0"/>
        <w:snapToGrid/>
        <w:spacing w:line="560" w:lineRule="exact"/>
        <w:ind w:firstLine="0" w:firstLineChars="0"/>
        <w:jc w:val="center"/>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kinsoku/>
        <w:wordWrap/>
        <w:overflowPunct/>
        <w:topLinePunct w:val="0"/>
        <w:bidi w:val="0"/>
        <w:snapToGrid/>
        <w:spacing w:line="560" w:lineRule="exact"/>
        <w:ind w:firstLine="0" w:firstLineChars="0"/>
        <w:jc w:val="center"/>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kinsoku/>
        <w:wordWrap/>
        <w:overflowPunct/>
        <w:topLinePunct w:val="0"/>
        <w:bidi w:val="0"/>
        <w:snapToGrid/>
        <w:spacing w:line="560" w:lineRule="exact"/>
        <w:ind w:firstLine="0" w:firstLineChars="0"/>
        <w:jc w:val="center"/>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kinsoku/>
        <w:wordWrap/>
        <w:topLinePunct w:val="0"/>
        <w:autoSpaceDE/>
        <w:autoSpaceDN/>
        <w:bidi w:val="0"/>
        <w:snapToGrid/>
        <w:spacing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bidi="en-US"/>
        </w:rPr>
      </w:pPr>
      <w:r>
        <w:rPr>
          <w:rFonts w:hint="eastAsia" w:ascii="仿宋_GB2312" w:hAnsi="仿宋_GB2312" w:eastAsia="仿宋_GB2312" w:cs="仿宋_GB2312"/>
          <w:color w:val="auto"/>
          <w:kern w:val="0"/>
          <w:sz w:val="32"/>
          <w:szCs w:val="32"/>
          <w:highlight w:val="none"/>
          <w:lang w:bidi="en-US"/>
        </w:rPr>
        <w:t>项目名称</w:t>
      </w:r>
      <w:r>
        <w:rPr>
          <w:rFonts w:hint="eastAsia" w:ascii="仿宋_GB2312" w:hAnsi="仿宋_GB2312" w:eastAsia="仿宋_GB2312" w:cs="仿宋_GB2312"/>
          <w:color w:val="auto"/>
          <w:kern w:val="0"/>
          <w:sz w:val="32"/>
          <w:szCs w:val="32"/>
          <w:highlight w:val="none"/>
          <w:lang w:eastAsia="zh-CN" w:bidi="en-US"/>
        </w:rPr>
        <w:t>：叶城县依提木孔镇26村基础设施建设项目</w:t>
      </w:r>
    </w:p>
    <w:p>
      <w:pPr>
        <w:pageBreakBefore w:val="0"/>
        <w:widowControl w:val="0"/>
        <w:kinsoku/>
        <w:wordWrap/>
        <w:topLinePunct w:val="0"/>
        <w:autoSpaceDE/>
        <w:autoSpaceDN/>
        <w:bidi w:val="0"/>
        <w:snapToGrid/>
        <w:spacing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eastAsia="zh-CN" w:bidi="en-US"/>
        </w:rPr>
      </w:pPr>
      <w:r>
        <w:rPr>
          <w:rFonts w:hint="eastAsia" w:ascii="仿宋_GB2312" w:hAnsi="仿宋_GB2312" w:eastAsia="仿宋_GB2312" w:cs="仿宋_GB2312"/>
          <w:color w:val="auto"/>
          <w:kern w:val="0"/>
          <w:sz w:val="32"/>
          <w:szCs w:val="32"/>
          <w:highlight w:val="none"/>
          <w:lang w:bidi="en-US"/>
        </w:rPr>
        <w:t>项目单位：</w:t>
      </w:r>
      <w:r>
        <w:rPr>
          <w:rFonts w:hint="eastAsia" w:ascii="仿宋_GB2312" w:hAnsi="仿宋_GB2312" w:eastAsia="仿宋_GB2312" w:cs="仿宋_GB2312"/>
          <w:color w:val="auto"/>
          <w:kern w:val="0"/>
          <w:sz w:val="32"/>
          <w:szCs w:val="32"/>
          <w:highlight w:val="none"/>
          <w:lang w:eastAsia="zh-CN" w:bidi="en-US"/>
        </w:rPr>
        <w:t>叶城县依提木孔镇人民政府</w:t>
      </w:r>
    </w:p>
    <w:p>
      <w:pPr>
        <w:pageBreakBefore w:val="0"/>
        <w:widowControl w:val="0"/>
        <w:kinsoku/>
        <w:wordWrap/>
        <w:topLinePunct w:val="0"/>
        <w:autoSpaceDE/>
        <w:autoSpaceDN/>
        <w:bidi w:val="0"/>
        <w:snapToGrid/>
        <w:spacing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eastAsia="zh-CN" w:bidi="en-US"/>
        </w:rPr>
      </w:pPr>
      <w:r>
        <w:rPr>
          <w:rFonts w:hint="eastAsia" w:ascii="仿宋_GB2312" w:hAnsi="仿宋_GB2312" w:eastAsia="仿宋_GB2312" w:cs="仿宋_GB2312"/>
          <w:color w:val="auto"/>
          <w:kern w:val="0"/>
          <w:sz w:val="32"/>
          <w:szCs w:val="32"/>
          <w:highlight w:val="none"/>
          <w:lang w:eastAsia="zh-CN" w:bidi="en-US"/>
        </w:rPr>
        <w:t>主管部门：叶城县依提木孔镇人民政府</w:t>
      </w:r>
    </w:p>
    <w:p>
      <w:pPr>
        <w:pageBreakBefore w:val="0"/>
        <w:widowControl w:val="0"/>
        <w:kinsoku/>
        <w:wordWrap/>
        <w:topLinePunct w:val="0"/>
        <w:autoSpaceDE/>
        <w:autoSpaceDN/>
        <w:bidi w:val="0"/>
        <w:snapToGrid/>
        <w:spacing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eastAsia="zh-CN" w:bidi="en-US"/>
        </w:rPr>
      </w:pPr>
      <w:r>
        <w:rPr>
          <w:rFonts w:hint="eastAsia" w:ascii="仿宋_GB2312" w:hAnsi="仿宋_GB2312" w:eastAsia="仿宋_GB2312" w:cs="仿宋_GB2312"/>
          <w:color w:val="auto"/>
          <w:kern w:val="0"/>
          <w:sz w:val="32"/>
          <w:szCs w:val="32"/>
          <w:highlight w:val="none"/>
          <w:lang w:eastAsia="zh-CN" w:bidi="en-US"/>
        </w:rPr>
        <w:t>项目负责人：王新</w:t>
      </w:r>
    </w:p>
    <w:p>
      <w:pPr>
        <w:pageBreakBefore w:val="0"/>
        <w:widowControl w:val="0"/>
        <w:kinsoku/>
        <w:wordWrap/>
        <w:topLinePunct w:val="0"/>
        <w:autoSpaceDE/>
        <w:autoSpaceDN/>
        <w:bidi w:val="0"/>
        <w:snapToGrid/>
        <w:spacing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bidi="en-US"/>
        </w:rPr>
      </w:pPr>
      <w:r>
        <w:rPr>
          <w:rFonts w:hint="eastAsia" w:ascii="仿宋_GB2312" w:hAnsi="仿宋_GB2312" w:eastAsia="仿宋_GB2312" w:cs="仿宋_GB2312"/>
          <w:color w:val="auto"/>
          <w:kern w:val="0"/>
          <w:sz w:val="32"/>
          <w:szCs w:val="32"/>
          <w:highlight w:val="none"/>
          <w:lang w:eastAsia="zh-CN" w:bidi="en-US"/>
        </w:rPr>
        <w:t>填报时间：</w:t>
      </w:r>
      <w:r>
        <w:rPr>
          <w:rFonts w:hint="eastAsia" w:ascii="仿宋_GB2312" w:hAnsi="仿宋_GB2312" w:eastAsia="仿宋_GB2312" w:cs="仿宋_GB2312"/>
          <w:color w:val="auto"/>
          <w:kern w:val="0"/>
          <w:sz w:val="32"/>
          <w:szCs w:val="32"/>
          <w:highlight w:val="none"/>
          <w:lang w:val="en-US" w:eastAsia="zh-CN" w:bidi="en-US"/>
        </w:rPr>
        <w:t>2023</w:t>
      </w:r>
      <w:r>
        <w:rPr>
          <w:rFonts w:hint="eastAsia" w:ascii="仿宋_GB2312" w:hAnsi="仿宋_GB2312" w:eastAsia="仿宋_GB2312" w:cs="仿宋_GB2312"/>
          <w:color w:val="auto"/>
          <w:kern w:val="0"/>
          <w:sz w:val="32"/>
          <w:szCs w:val="32"/>
          <w:highlight w:val="none"/>
          <w:lang w:eastAsia="zh-CN" w:bidi="en-US"/>
        </w:rPr>
        <w:t>年</w:t>
      </w:r>
      <w:r>
        <w:rPr>
          <w:rFonts w:hint="eastAsia" w:ascii="仿宋_GB2312" w:hAnsi="仿宋_GB2312" w:eastAsia="仿宋_GB2312" w:cs="仿宋_GB2312"/>
          <w:color w:val="auto"/>
          <w:kern w:val="0"/>
          <w:sz w:val="32"/>
          <w:szCs w:val="32"/>
          <w:highlight w:val="none"/>
          <w:lang w:val="en-US" w:eastAsia="zh-CN" w:bidi="en-US"/>
        </w:rPr>
        <w:t>1</w:t>
      </w:r>
      <w:r>
        <w:rPr>
          <w:rFonts w:hint="eastAsia" w:ascii="仿宋_GB2312" w:hAnsi="仿宋_GB2312" w:eastAsia="仿宋_GB2312" w:cs="仿宋_GB2312"/>
          <w:color w:val="auto"/>
          <w:kern w:val="0"/>
          <w:sz w:val="32"/>
          <w:szCs w:val="32"/>
          <w:highlight w:val="none"/>
          <w:lang w:eastAsia="zh-CN" w:bidi="en-US"/>
        </w:rPr>
        <w:t>月</w:t>
      </w:r>
      <w:r>
        <w:rPr>
          <w:rFonts w:hint="eastAsia" w:ascii="仿宋_GB2312" w:hAnsi="仿宋_GB2312" w:eastAsia="仿宋_GB2312" w:cs="仿宋_GB2312"/>
          <w:color w:val="auto"/>
          <w:kern w:val="0"/>
          <w:sz w:val="32"/>
          <w:szCs w:val="32"/>
          <w:highlight w:val="none"/>
          <w:lang w:val="en-US" w:eastAsia="zh-CN" w:bidi="en-US"/>
        </w:rPr>
        <w:t>9日</w:t>
      </w:r>
    </w:p>
    <w:p>
      <w:pPr>
        <w:pStyle w:val="15"/>
        <w:pageBreakBefore w:val="0"/>
        <w:widowControl w:val="0"/>
        <w:kinsoku/>
        <w:overflowPunct/>
        <w:topLinePunct w:val="0"/>
        <w:bidi w:val="0"/>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p>
    <w:p>
      <w:pPr>
        <w:pageBreakBefore w:val="0"/>
        <w:widowControl w:val="0"/>
        <w:kinsoku/>
        <w:overflowPunct/>
        <w:topLinePunct w:val="0"/>
        <w:bidi w:val="0"/>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p>
    <w:p>
      <w:pPr>
        <w:pStyle w:val="15"/>
        <w:pageBreakBefore w:val="0"/>
        <w:widowControl w:val="0"/>
        <w:kinsoku/>
        <w:overflowPunct/>
        <w:topLinePunct w:val="0"/>
        <w:bidi w:val="0"/>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p>
    <w:p>
      <w:pPr>
        <w:pageBreakBefore w:val="0"/>
        <w:widowControl w:val="0"/>
        <w:kinsoku/>
        <w:overflowPunct/>
        <w:topLinePunct w:val="0"/>
        <w:bidi w:val="0"/>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p>
    <w:p>
      <w:pPr>
        <w:pStyle w:val="15"/>
        <w:pageBreakBefore w:val="0"/>
        <w:widowControl w:val="0"/>
        <w:kinsoku/>
        <w:overflowPunct/>
        <w:topLinePunct w:val="0"/>
        <w:bidi w:val="0"/>
        <w:snapToGrid/>
        <w:spacing w:line="560" w:lineRule="exact"/>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overflowPunct/>
        <w:topLinePunct w:val="0"/>
        <w:autoSpaceDN/>
        <w:bidi w:val="0"/>
        <w:adjustRightInd/>
        <w:snapToGrid/>
        <w:spacing w:line="560" w:lineRule="exact"/>
        <w:ind w:firstLine="643" w:firstLineChars="200"/>
        <w:jc w:val="center"/>
        <w:textAlignment w:val="auto"/>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叶城县依提木孔镇人民政府2022</w:t>
      </w:r>
      <w:r>
        <w:rPr>
          <w:rFonts w:hint="eastAsia" w:ascii="黑体" w:hAnsi="黑体" w:eastAsia="黑体" w:cs="黑体"/>
          <w:b/>
          <w:bCs/>
          <w:color w:val="auto"/>
          <w:sz w:val="32"/>
          <w:szCs w:val="32"/>
          <w:highlight w:val="none"/>
        </w:rPr>
        <w:t>年</w:t>
      </w:r>
      <w:r>
        <w:rPr>
          <w:rFonts w:hint="eastAsia" w:ascii="黑体" w:hAnsi="黑体" w:eastAsia="黑体" w:cs="黑体"/>
          <w:b/>
          <w:bCs/>
          <w:color w:val="auto"/>
          <w:sz w:val="32"/>
          <w:szCs w:val="32"/>
          <w:highlight w:val="none"/>
          <w:lang w:eastAsia="zh-CN"/>
        </w:rPr>
        <w:t>财政衔接推进乡村振兴补助资金</w:t>
      </w:r>
      <w:r>
        <w:rPr>
          <w:rFonts w:hint="eastAsia" w:ascii="黑体" w:hAnsi="黑体" w:eastAsia="黑体" w:cs="黑体"/>
          <w:b/>
          <w:bCs/>
          <w:color w:val="auto"/>
          <w:sz w:val="32"/>
          <w:szCs w:val="32"/>
          <w:highlight w:val="none"/>
        </w:rPr>
        <w:t>绩效自评总结报告</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color w:val="auto"/>
          <w:sz w:val="32"/>
          <w:szCs w:val="32"/>
          <w:highlight w:val="none"/>
        </w:rPr>
      </w:pP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一、绩效目标分解下达情况</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w:t>
      </w:r>
      <w:r>
        <w:rPr>
          <w:rFonts w:hint="eastAsia" w:ascii="仿宋_GB2312" w:hAnsi="仿宋_GB2312" w:eastAsia="仿宋_GB2312" w:cs="仿宋_GB2312"/>
          <w:b/>
          <w:bCs/>
          <w:color w:val="auto"/>
          <w:sz w:val="32"/>
          <w:szCs w:val="32"/>
          <w:highlight w:val="none"/>
          <w:lang w:eastAsia="zh-CN"/>
        </w:rPr>
        <w:t>财政衔接推进乡村振兴补助资金</w:t>
      </w:r>
      <w:r>
        <w:rPr>
          <w:rFonts w:hint="eastAsia" w:ascii="仿宋_GB2312" w:hAnsi="仿宋_GB2312" w:eastAsia="仿宋_GB2312" w:cs="仿宋_GB2312"/>
          <w:b/>
          <w:bCs/>
          <w:color w:val="auto"/>
          <w:sz w:val="32"/>
          <w:szCs w:val="32"/>
          <w:highlight w:val="none"/>
        </w:rPr>
        <w:t>下达预算及项目情况。</w:t>
      </w:r>
    </w:p>
    <w:p>
      <w:pPr>
        <w:pStyle w:val="16"/>
        <w:pageBreakBefore w:val="0"/>
        <w:widowControl w:val="0"/>
        <w:kinsoku/>
        <w:wordWrap/>
        <w:overflowPunct/>
        <w:topLinePunct w:val="0"/>
        <w:bidi w:val="0"/>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根据《关于下达2022年自治区财政衔接推进乡村振兴补助资金预算的通知》（新财振〔2022〕18号），下达2022年自治区财政衔接推进乡村振兴补助资金，</w:t>
      </w:r>
      <w:r>
        <w:rPr>
          <w:rFonts w:hint="eastAsia" w:ascii="仿宋_GB2312" w:hAnsi="仿宋_GB2312" w:eastAsia="仿宋_GB2312" w:cs="仿宋_GB2312"/>
          <w:b w:val="0"/>
          <w:bCs w:val="0"/>
          <w:color w:val="auto"/>
          <w:kern w:val="0"/>
          <w:sz w:val="32"/>
          <w:szCs w:val="32"/>
          <w:highlight w:val="none"/>
          <w:lang w:eastAsia="zh-CN" w:bidi="en-US"/>
        </w:rPr>
        <w:t>叶城县依提木孔镇26村基础设施建设项目</w:t>
      </w:r>
      <w:r>
        <w:rPr>
          <w:rFonts w:hint="eastAsia" w:ascii="仿宋_GB2312" w:hAnsi="仿宋_GB2312" w:eastAsia="仿宋_GB2312" w:cs="仿宋_GB2312"/>
          <w:color w:val="auto"/>
          <w:kern w:val="0"/>
          <w:sz w:val="32"/>
          <w:szCs w:val="32"/>
          <w:highlight w:val="none"/>
          <w:lang w:eastAsia="zh-CN" w:bidi="en-US"/>
        </w:rPr>
        <w:t>，</w:t>
      </w:r>
      <w:r>
        <w:rPr>
          <w:rFonts w:hint="eastAsia" w:ascii="仿宋_GB2312" w:hAnsi="仿宋_GB2312" w:eastAsia="仿宋_GB2312" w:cs="仿宋_GB2312"/>
          <w:color w:val="auto"/>
          <w:kern w:val="0"/>
          <w:sz w:val="32"/>
          <w:szCs w:val="32"/>
          <w:highlight w:val="none"/>
          <w:lang w:val="en-US" w:eastAsia="zh-CN" w:bidi="ar-SA"/>
        </w:rPr>
        <w:t>项目预算资金1000万元，</w:t>
      </w:r>
      <w:r>
        <w:rPr>
          <w:rFonts w:hint="eastAsia" w:ascii="仿宋_GB2312" w:hAnsi="仿宋_GB2312" w:eastAsia="仿宋_GB2312" w:cs="仿宋_GB2312"/>
          <w:color w:val="auto"/>
          <w:kern w:val="2"/>
          <w:sz w:val="32"/>
          <w:szCs w:val="32"/>
          <w:highlight w:val="none"/>
          <w:lang w:val="en-US" w:eastAsia="zh-CN" w:bidi="ar-SA"/>
        </w:rPr>
        <w:t>项目的实施</w:t>
      </w:r>
      <w:r>
        <w:rPr>
          <w:rFonts w:hint="eastAsia" w:ascii="仿宋_GB2312" w:hAnsi="仿宋_GB2312" w:eastAsia="仿宋_GB2312" w:cs="仿宋_GB2312"/>
          <w:color w:val="auto"/>
          <w:kern w:val="0"/>
          <w:sz w:val="32"/>
          <w:szCs w:val="32"/>
          <w:highlight w:val="none"/>
          <w:lang w:val="en-US" w:eastAsia="zh-CN" w:bidi="ar-SA"/>
        </w:rPr>
        <w:t>后可促进乡村振兴事业的发展，加快城镇化建设，改善叶城县居民的居住环境，间接促进居民就业，促进叶城县实现乡村振兴的愿景。</w:t>
      </w:r>
    </w:p>
    <w:p>
      <w:pPr>
        <w:keepNext w:val="0"/>
        <w:keepLines w:val="0"/>
        <w:pageBreakBefore w:val="0"/>
        <w:widowControl w:val="0"/>
        <w:numPr>
          <w:ilvl w:val="0"/>
          <w:numId w:val="0"/>
        </w:numPr>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财政衔接推进乡村振兴补助资金</w:t>
      </w:r>
      <w:r>
        <w:rPr>
          <w:rFonts w:hint="eastAsia" w:ascii="仿宋_GB2312" w:hAnsi="仿宋_GB2312" w:eastAsia="仿宋_GB2312" w:cs="仿宋_GB2312"/>
          <w:b/>
          <w:bCs/>
          <w:color w:val="auto"/>
          <w:sz w:val="32"/>
          <w:szCs w:val="32"/>
          <w:highlight w:val="none"/>
        </w:rPr>
        <w:t>项目绩效目标设定情况。</w:t>
      </w:r>
    </w:p>
    <w:p>
      <w:pPr>
        <w:pageBreakBefore w:val="0"/>
        <w:widowControl w:val="0"/>
        <w:kinsoku/>
        <w:wordWrap/>
        <w:topLinePunct w:val="0"/>
        <w:autoSpaceDE/>
        <w:autoSpaceDN/>
        <w:bidi w:val="0"/>
        <w:snapToGrid/>
        <w:spacing w:line="560" w:lineRule="exact"/>
        <w:ind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叶城县叶城县依提木孔镇26村基础设施建设项目根据喀地财债【2022】17号文件共安排下达资金1000万元，为巩固拓展脱贫攻坚成果同乡村振兴衔接资金，最终确定项目资金总数为1000万元。</w:t>
      </w:r>
    </w:p>
    <w:p>
      <w:pPr>
        <w:pStyle w:val="17"/>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1.项目绩效总目标</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叶城县叶城县依提木孔镇26村基础设施建设项目</w:t>
      </w:r>
      <w:r>
        <w:rPr>
          <w:rFonts w:hint="eastAsia" w:ascii="仿宋_GB2312" w:hAnsi="仿宋_GB2312" w:eastAsia="仿宋_GB2312" w:cs="仿宋_GB2312"/>
          <w:color w:val="auto"/>
          <w:sz w:val="32"/>
          <w:szCs w:val="32"/>
          <w:highlight w:val="none"/>
        </w:rPr>
        <w:t>总投入资金</w:t>
      </w:r>
      <w:r>
        <w:rPr>
          <w:rFonts w:hint="eastAsia" w:ascii="仿宋_GB2312" w:hAnsi="仿宋_GB2312" w:eastAsia="仿宋_GB2312" w:cs="仿宋_GB2312"/>
          <w:color w:val="auto"/>
          <w:sz w:val="32"/>
          <w:szCs w:val="32"/>
          <w:highlight w:val="none"/>
          <w:lang w:eastAsia="zh-CN"/>
        </w:rPr>
        <w:t>1000万元，</w:t>
      </w:r>
      <w:r>
        <w:rPr>
          <w:rFonts w:hint="eastAsia" w:ascii="仿宋_GB2312" w:hAnsi="仿宋_GB2312" w:eastAsia="仿宋_GB2312" w:cs="仿宋_GB2312"/>
          <w:color w:val="auto"/>
          <w:sz w:val="32"/>
          <w:szCs w:val="32"/>
          <w:highlight w:val="none"/>
        </w:rPr>
        <w:t>其中财政资金</w:t>
      </w:r>
      <w:r>
        <w:rPr>
          <w:rFonts w:hint="eastAsia" w:ascii="仿宋_GB2312" w:hAnsi="仿宋_GB2312" w:eastAsia="仿宋_GB2312" w:cs="仿宋_GB2312"/>
          <w:color w:val="auto"/>
          <w:sz w:val="32"/>
          <w:szCs w:val="32"/>
          <w:highlight w:val="none"/>
          <w:lang w:eastAsia="zh-CN"/>
        </w:rPr>
        <w:t>1000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，已完成拨付资金</w:t>
      </w:r>
      <w:r>
        <w:rPr>
          <w:rFonts w:hint="eastAsia" w:ascii="仿宋_GB2312" w:hAnsi="仿宋_GB2312" w:eastAsia="仿宋_GB2312" w:cs="仿宋_GB2312"/>
          <w:color w:val="auto"/>
          <w:sz w:val="32"/>
          <w:szCs w:val="32"/>
          <w:highlight w:val="none"/>
          <w:lang w:val="en-US" w:eastAsia="zh-CN"/>
        </w:rPr>
        <w:t>1000万元。资金</w:t>
      </w:r>
      <w:r>
        <w:rPr>
          <w:rFonts w:hint="eastAsia" w:ascii="仿宋_GB2312" w:hAnsi="仿宋_GB2312" w:eastAsia="仿宋_GB2312" w:cs="仿宋_GB2312"/>
          <w:color w:val="auto"/>
          <w:sz w:val="32"/>
          <w:szCs w:val="32"/>
          <w:highlight w:val="none"/>
        </w:rPr>
        <w:t>主要用于</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rPr>
        <w:t>依提木孔镇</w:t>
      </w:r>
      <w:r>
        <w:rPr>
          <w:rFonts w:hint="eastAsia" w:ascii="仿宋_GB2312" w:hAnsi="仿宋_GB2312" w:eastAsia="仿宋_GB2312" w:cs="仿宋_GB2312"/>
          <w:color w:val="auto"/>
          <w:sz w:val="32"/>
          <w:szCs w:val="32"/>
          <w:highlight w:val="none"/>
          <w:lang w:val="en-US" w:eastAsia="zh-CN"/>
        </w:rPr>
        <w:t xml:space="preserve">  26 村新建污水管网10公里，其中包含管网污水主管网4.5公里，支管网5.5公里，配套实施化粪池11个，配套检查井、污水处理设施及其他基础设施配套建设；新建0.2m3/s-0.8m3/s防渗渠4.5公里及配套设施建设。</w:t>
      </w:r>
      <w:r>
        <w:rPr>
          <w:rFonts w:hint="eastAsia" w:ascii="仿宋_GB2312" w:hAnsi="仿宋_GB2312" w:eastAsia="仿宋_GB2312" w:cs="仿宋_GB2312"/>
          <w:color w:val="auto"/>
          <w:kern w:val="0"/>
          <w:sz w:val="32"/>
          <w:szCs w:val="32"/>
          <w:highlight w:val="none"/>
          <w:lang w:val="en-US" w:eastAsia="zh-CN" w:bidi="ar-SA"/>
        </w:rPr>
        <w:t>项目建成后可促进乡村振兴事业的发展，加快城镇化建设，改善叶城县居民的居住环境，间接促进居民就业，促进叶城县实现乡村振兴的愿景。</w:t>
      </w:r>
    </w:p>
    <w:p>
      <w:pPr>
        <w:pStyle w:val="16"/>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2.阶段性目标</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26村污水管网</w:t>
      </w:r>
      <w:r>
        <w:rPr>
          <w:rFonts w:hint="eastAsia" w:ascii="仿宋_GB2312" w:hAnsi="仿宋_GB2312" w:eastAsia="仿宋_GB2312" w:cs="仿宋_GB2312"/>
          <w:color w:val="auto"/>
          <w:kern w:val="0"/>
          <w:sz w:val="32"/>
          <w:szCs w:val="32"/>
          <w:highlight w:val="none"/>
          <w:lang w:eastAsia="zh-CN" w:bidi="en-US"/>
        </w:rPr>
        <w:t>项目在</w:t>
      </w:r>
      <w:r>
        <w:rPr>
          <w:rFonts w:hint="eastAsia" w:ascii="仿宋_GB2312" w:hAnsi="仿宋_GB2312" w:eastAsia="仿宋_GB2312" w:cs="仿宋_GB2312"/>
          <w:color w:val="auto"/>
          <w:kern w:val="0"/>
          <w:sz w:val="32"/>
          <w:szCs w:val="32"/>
          <w:highlight w:val="none"/>
          <w:lang w:val="en-US" w:eastAsia="zh-CN" w:bidi="en-US"/>
        </w:rPr>
        <w:t>5月16日完成招投标工作，5月开始动工，7月支付工程相关费用502.84704万元，8月支付工程相关费用62.85588万元，9月竣工，9月支付工程相关费用434.29708万元，</w:t>
      </w:r>
      <w:r>
        <w:rPr>
          <w:rFonts w:hint="eastAsia" w:ascii="仿宋_GB2312" w:hAnsi="仿宋_GB2312" w:eastAsia="仿宋_GB2312" w:cs="仿宋_GB2312"/>
          <w:color w:val="auto"/>
          <w:sz w:val="32"/>
          <w:szCs w:val="32"/>
          <w:highlight w:val="none"/>
          <w:lang w:val="en-US" w:eastAsia="zh-CN"/>
        </w:rPr>
        <w:t>包含管网污水主管网4.5公里，支管网5.5公里，配套实施化粪池11个，配套检查井、污水处理设施及其他基础设施配套建设</w:t>
      </w:r>
      <w:r>
        <w:rPr>
          <w:rFonts w:hint="eastAsia" w:ascii="仿宋_GB2312" w:hAnsi="仿宋_GB2312" w:eastAsia="仿宋_GB2312" w:cs="仿宋_GB2312"/>
          <w:color w:val="auto"/>
          <w:kern w:val="0"/>
          <w:sz w:val="32"/>
          <w:szCs w:val="32"/>
          <w:highlight w:val="none"/>
          <w:lang w:val="en-US" w:eastAsia="zh-CN" w:bidi="en-US"/>
        </w:rPr>
        <w:t>；26村防渗渠项目在8月完成招投标工作，9月底完成</w:t>
      </w:r>
      <w:r>
        <w:rPr>
          <w:rFonts w:hint="eastAsia" w:ascii="仿宋_GB2312" w:hAnsi="仿宋_GB2312" w:eastAsia="仿宋_GB2312" w:cs="仿宋_GB2312"/>
          <w:color w:val="auto"/>
          <w:sz w:val="32"/>
          <w:szCs w:val="32"/>
          <w:highlight w:val="none"/>
          <w:lang w:val="en-US" w:eastAsia="zh-CN"/>
        </w:rPr>
        <w:t>新建0.2m3/s-0.8m3/s防渗渠4.5公里及配套设施建设。项目在9月底完成所有资金支付。</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二、绩效自评工作开展情况</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包括自评工作开展范围、对象、时间及方式等。</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1. 绩效评价范围</w:t>
      </w:r>
    </w:p>
    <w:p>
      <w:pPr>
        <w:pageBreakBefore w:val="0"/>
        <w:widowControl w:val="0"/>
        <w:kinsoku/>
        <w:wordWrap/>
        <w:overflowPunct/>
        <w:topLinePunct w:val="0"/>
        <w:autoSpaceDE w:val="0"/>
        <w:autoSpaceDN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本次评价范围涵盖项目总体绩效目标、各项绩效指标完成情况以及预算执行情况。覆盖项目预算资金支出的所有内容进行评价。包括项目决策、项目实施和项目成果验收流程等。</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 绩效评价对象</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3.绩效评价时间</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2023年1月3日-2023年1月30日</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4. 绩效评价方法</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本次绩效评价方法的选用坚持简便有效的原则采用综合分析法。</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 绩效评价标准</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0" w:name="_Toc68364663"/>
      <w:r>
        <w:rPr>
          <w:rFonts w:hint="eastAsia" w:ascii="仿宋_GB2312" w:hAnsi="仿宋_GB2312" w:eastAsia="仿宋_GB2312" w:cs="仿宋_GB2312"/>
          <w:color w:val="auto"/>
          <w:sz w:val="32"/>
          <w:szCs w:val="32"/>
          <w:highlight w:val="none"/>
          <w:lang w:val="en-US" w:eastAsia="zh-CN"/>
        </w:rPr>
        <w:t>绩效评价标准通常包括计划标准、行业标准、历史标准等，用于对绩效指标完成情况进行比较、分析、评价。本次评价主要采用了计划标准。</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 w:name="_Toc17882"/>
      <w:bookmarkStart w:id="2" w:name="_Toc31464"/>
      <w:r>
        <w:rPr>
          <w:rFonts w:hint="eastAsia" w:ascii="仿宋_GB2312" w:hAnsi="仿宋_GB2312" w:eastAsia="仿宋_GB2312" w:cs="仿宋_GB2312"/>
          <w:color w:val="auto"/>
          <w:sz w:val="32"/>
          <w:szCs w:val="32"/>
          <w:highlight w:val="none"/>
          <w:lang w:val="en-US" w:eastAsia="zh-CN"/>
        </w:rPr>
        <w:t>计划标准：指以预先制定的目标、计划、预算、定额等作为评价标准。</w:t>
      </w:r>
      <w:bookmarkEnd w:id="1"/>
      <w:bookmarkEnd w:id="2"/>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3" w:name="_Toc2318"/>
      <w:bookmarkStart w:id="4" w:name="_Toc5633"/>
      <w:r>
        <w:rPr>
          <w:rFonts w:hint="eastAsia" w:ascii="仿宋_GB2312" w:hAnsi="仿宋_GB2312" w:eastAsia="仿宋_GB2312" w:cs="仿宋_GB2312"/>
          <w:color w:val="auto"/>
          <w:sz w:val="32"/>
          <w:szCs w:val="32"/>
          <w:highlight w:val="none"/>
          <w:lang w:val="en-US" w:eastAsia="zh-CN"/>
        </w:rPr>
        <w:t>行业标准：指参照国家公布的行业指标数据制定的评价标准。</w:t>
      </w:r>
      <w:bookmarkEnd w:id="3"/>
      <w:bookmarkEnd w:id="4"/>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5" w:name="_Toc430"/>
      <w:bookmarkStart w:id="6" w:name="_Toc16028"/>
      <w:r>
        <w:rPr>
          <w:rFonts w:hint="eastAsia" w:ascii="仿宋_GB2312" w:hAnsi="仿宋_GB2312" w:eastAsia="仿宋_GB2312" w:cs="仿宋_GB2312"/>
          <w:color w:val="auto"/>
          <w:sz w:val="32"/>
          <w:szCs w:val="32"/>
          <w:highlight w:val="none"/>
          <w:lang w:val="en-US" w:eastAsia="zh-CN"/>
        </w:rPr>
        <w:t>历史标准：指参照历史数据制定的评价标准，为体现绩效改进的原则，在可实现的条件下应当确定相对较高的评价标准。</w:t>
      </w:r>
      <w:bookmarkEnd w:id="0"/>
      <w:bookmarkEnd w:id="5"/>
      <w:bookmarkEnd w:id="6"/>
    </w:p>
    <w:p>
      <w:pPr>
        <w:pStyle w:val="16"/>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（三）绩效评价工作过程</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本次评价成立了评价工作组，</w:t>
      </w:r>
      <w:r>
        <w:rPr>
          <w:rFonts w:hint="eastAsia" w:ascii="仿宋_GB2312" w:hAnsi="仿宋_GB2312" w:eastAsia="仿宋_GB2312" w:cs="仿宋_GB2312"/>
          <w:color w:val="auto"/>
          <w:sz w:val="32"/>
          <w:szCs w:val="32"/>
          <w:highlight w:val="none"/>
        </w:rPr>
        <w:t>成员如下：</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本次评价设计了评价方案、评价指标体系，通过资料分析、调研、访谈满意度调查等方式形成评价结论，在与项目单位沟通后确定评价意见，并出具评价报告。</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第一阶段：前期准备。认真学习相关要求与规定，成立绩效评价工作组，作为绩效评价工作具体实施机构。成员构成如下：</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镇书记</w:t>
      </w:r>
      <w:r>
        <w:rPr>
          <w:rFonts w:hint="eastAsia" w:ascii="仿宋_GB2312" w:hAnsi="仿宋_GB2312" w:eastAsia="仿宋_GB2312" w:cs="仿宋_GB2312"/>
          <w:color w:val="auto"/>
          <w:sz w:val="32"/>
          <w:szCs w:val="32"/>
          <w:highlight w:val="none"/>
        </w:rPr>
        <w:t>任评价组组长，绩效评价工作职责为负责全盘工作。</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镇长</w:t>
      </w:r>
      <w:r>
        <w:rPr>
          <w:rFonts w:hint="eastAsia" w:ascii="仿宋_GB2312" w:hAnsi="仿宋_GB2312" w:eastAsia="仿宋_GB2312" w:cs="仿宋_GB2312"/>
          <w:color w:val="auto"/>
          <w:sz w:val="32"/>
          <w:szCs w:val="32"/>
          <w:highlight w:val="none"/>
        </w:rPr>
        <w:t>任评价组副组长，绩效评价工作职责为为对项目实施情况进行实地调查。</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项目办成员</w:t>
      </w:r>
      <w:r>
        <w:rPr>
          <w:rFonts w:hint="eastAsia" w:ascii="仿宋_GB2312" w:hAnsi="仿宋_GB2312" w:eastAsia="仿宋_GB2312" w:cs="仿宋_GB2312"/>
          <w:color w:val="auto"/>
          <w:sz w:val="32"/>
          <w:szCs w:val="32"/>
          <w:highlight w:val="none"/>
          <w:lang w:val="en-US" w:eastAsia="zh-CN"/>
        </w:rPr>
        <w:t>赵远洋、吴相庆、汪丽</w:t>
      </w:r>
      <w:r>
        <w:rPr>
          <w:rFonts w:hint="eastAsia" w:ascii="仿宋_GB2312" w:hAnsi="仿宋_GB2312" w:eastAsia="仿宋_GB2312" w:cs="仿宋_GB2312"/>
          <w:color w:val="auto"/>
          <w:sz w:val="32"/>
          <w:szCs w:val="32"/>
          <w:highlight w:val="none"/>
        </w:rPr>
        <w:t>任评价组成员，绩效评价工作职责为负责资料审核等工作。</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第二阶段：组织实施。经评价组通过实地调研</w:t>
      </w:r>
      <w:r>
        <w:rPr>
          <w:rFonts w:hint="eastAsia" w:ascii="仿宋_GB2312" w:hAnsi="仿宋_GB2312" w:eastAsia="仿宋_GB2312" w:cs="仿宋_GB2312"/>
          <w:color w:val="auto"/>
          <w:sz w:val="32"/>
          <w:szCs w:val="32"/>
          <w:highlight w:val="none"/>
          <w:lang w:eastAsia="zh-CN"/>
        </w:rPr>
        <w:t>、查阅资料</w:t>
      </w:r>
      <w:r>
        <w:rPr>
          <w:rFonts w:hint="eastAsia" w:ascii="仿宋_GB2312" w:hAnsi="仿宋_GB2312" w:eastAsia="仿宋_GB2312" w:cs="仿宋_GB2312"/>
          <w:color w:val="auto"/>
          <w:sz w:val="32"/>
          <w:szCs w:val="32"/>
          <w:highlight w:val="none"/>
        </w:rPr>
        <w:t>等方式，采用综合分析法对项目的决策、管理、绩效进行的综合评价分析。</w:t>
      </w:r>
    </w:p>
    <w:p>
      <w:pPr>
        <w:pStyle w:val="16"/>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第三阶段：分析评价。首先按照指标体系进行定量、定性分析。其次开展量化打分、综合评价工作，形成初步评价结论。最后归纳整体项目情况与存在问题，撰写部门绩效评价报告。</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三、绩效目标自评完成情况分析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(一）资金投入情况分析。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1.项目资金到位情况分析。</w:t>
      </w:r>
    </w:p>
    <w:p>
      <w:pPr>
        <w:pageBreakBefore w:val="0"/>
        <w:widowControl w:val="0"/>
        <w:kinsoku/>
        <w:wordWrap/>
        <w:topLinePunct w:val="0"/>
        <w:autoSpaceDE/>
        <w:autoSpaceDN/>
        <w:bidi w:val="0"/>
        <w:snapToGrid/>
        <w:spacing w:line="560" w:lineRule="exact"/>
        <w:ind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叶城县叶城县依提木孔镇26村基础设施建设项目根据喀地财债【2022】17号文件共安排下达资金1000万元，为巩固拓展脱贫攻坚成果同乡村振兴衔接资金，最终确定项目资金总数为1000万元。</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2.项目资金执行情况分析。</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叶城县叶城县依提木孔镇26村基础设施建设项目，</w:t>
      </w:r>
      <w:r>
        <w:rPr>
          <w:rFonts w:hint="eastAsia" w:ascii="仿宋_GB2312" w:hAnsi="仿宋_GB2312" w:eastAsia="仿宋_GB2312" w:cs="仿宋_GB2312"/>
          <w:color w:val="auto"/>
          <w:kern w:val="0"/>
          <w:sz w:val="32"/>
          <w:szCs w:val="32"/>
          <w:highlight w:val="none"/>
          <w:lang w:eastAsia="zh-CN" w:bidi="en-US"/>
        </w:rPr>
        <w:t>项目</w:t>
      </w:r>
      <w:r>
        <w:rPr>
          <w:rFonts w:hint="eastAsia" w:ascii="仿宋_GB2312" w:hAnsi="仿宋_GB2312" w:eastAsia="仿宋_GB2312" w:cs="仿宋_GB2312"/>
          <w:color w:val="auto"/>
          <w:sz w:val="32"/>
          <w:szCs w:val="32"/>
          <w:highlight w:val="none"/>
        </w:rPr>
        <w:t>预算</w:t>
      </w:r>
      <w:r>
        <w:rPr>
          <w:rFonts w:hint="eastAsia" w:ascii="仿宋_GB2312" w:hAnsi="仿宋_GB2312" w:eastAsia="仿宋_GB2312" w:cs="仿宋_GB2312"/>
          <w:color w:val="auto"/>
          <w:kern w:val="0"/>
          <w:sz w:val="32"/>
          <w:szCs w:val="32"/>
          <w:highlight w:val="none"/>
          <w:lang w:val="en-US" w:eastAsia="zh-CN" w:bidi="ar-SA"/>
        </w:rPr>
        <w:t>1000</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，到位</w:t>
      </w:r>
      <w:r>
        <w:rPr>
          <w:rFonts w:hint="eastAsia" w:ascii="仿宋_GB2312" w:hAnsi="仿宋_GB2312" w:eastAsia="仿宋_GB2312" w:cs="仿宋_GB2312"/>
          <w:color w:val="auto"/>
          <w:kern w:val="0"/>
          <w:sz w:val="32"/>
          <w:szCs w:val="32"/>
          <w:highlight w:val="none"/>
          <w:lang w:val="en-US" w:eastAsia="zh-CN" w:bidi="ar-SA"/>
        </w:rPr>
        <w:t>1000</w:t>
      </w:r>
      <w:r>
        <w:rPr>
          <w:rFonts w:hint="eastAsia" w:ascii="仿宋_GB2312" w:hAnsi="仿宋_GB2312" w:eastAsia="仿宋_GB2312" w:cs="仿宋_GB2312"/>
          <w:color w:val="auto"/>
          <w:kern w:val="0"/>
          <w:sz w:val="32"/>
          <w:szCs w:val="32"/>
          <w:highlight w:val="none"/>
          <w:lang w:eastAsia="zh-CN" w:bidi="en-US"/>
        </w:rPr>
        <w:t>万元，实际支出</w:t>
      </w:r>
      <w:r>
        <w:rPr>
          <w:rFonts w:hint="eastAsia" w:ascii="仿宋_GB2312" w:hAnsi="仿宋_GB2312" w:eastAsia="仿宋_GB2312" w:cs="仿宋_GB2312"/>
          <w:color w:val="auto"/>
          <w:kern w:val="0"/>
          <w:sz w:val="32"/>
          <w:szCs w:val="32"/>
          <w:highlight w:val="none"/>
          <w:lang w:val="en-US" w:eastAsia="zh-CN" w:bidi="en-US"/>
        </w:rPr>
        <w:t>1000</w:t>
      </w:r>
      <w:r>
        <w:rPr>
          <w:rFonts w:hint="eastAsia" w:ascii="仿宋_GB2312" w:hAnsi="仿宋_GB2312" w:eastAsia="仿宋_GB2312" w:cs="仿宋_GB2312"/>
          <w:color w:val="auto"/>
          <w:kern w:val="0"/>
          <w:sz w:val="32"/>
          <w:szCs w:val="32"/>
          <w:highlight w:val="none"/>
          <w:lang w:eastAsia="zh-CN" w:bidi="en-US"/>
        </w:rPr>
        <w:t>万元，预算执行率为</w:t>
      </w:r>
      <w:r>
        <w:rPr>
          <w:rFonts w:hint="eastAsia" w:ascii="仿宋_GB2312" w:hAnsi="仿宋_GB2312" w:eastAsia="仿宋_GB2312" w:cs="仿宋_GB2312"/>
          <w:color w:val="auto"/>
          <w:kern w:val="0"/>
          <w:sz w:val="32"/>
          <w:szCs w:val="32"/>
          <w:highlight w:val="none"/>
          <w:lang w:val="en-US" w:eastAsia="zh-CN" w:bidi="en-US"/>
        </w:rPr>
        <w:t>100</w:t>
      </w:r>
      <w:r>
        <w:rPr>
          <w:rFonts w:hint="eastAsia" w:ascii="仿宋_GB2312" w:hAnsi="仿宋_GB2312" w:eastAsia="仿宋_GB2312" w:cs="仿宋_GB2312"/>
          <w:color w:val="auto"/>
          <w:kern w:val="0"/>
          <w:sz w:val="32"/>
          <w:szCs w:val="32"/>
          <w:highlight w:val="none"/>
          <w:lang w:eastAsia="zh-CN" w:bidi="en-US"/>
        </w:rPr>
        <w:t>%，</w:t>
      </w:r>
      <w:r>
        <w:rPr>
          <w:rFonts w:hint="eastAsia" w:ascii="仿宋_GB2312" w:hAnsi="仿宋_GB2312" w:eastAsia="仿宋_GB2312" w:cs="仿宋_GB2312"/>
          <w:color w:val="auto"/>
          <w:sz w:val="32"/>
          <w:szCs w:val="32"/>
          <w:highlight w:val="none"/>
          <w:lang w:val="en-US" w:eastAsia="zh-CN"/>
        </w:rPr>
        <w:t>本项目能够严格按照《项目实施方案》执行，项目执行情况较好。本项目绩效评价工作，有乡镇主要领导亲自挂帅，分管县领导具体负责，从项目到资金，均能后很好的执行。我单位及时向县领导汇报项目建设进度，加强与施工单位的沟通，确保项目按期完工。</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3.项目资金管理情况分析。</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本项目支出符合《喀什地区财政巩固拓展脱贫攻坚成果同乡村振兴有效衔接资金管理办法（试行）》</w:t>
      </w:r>
      <w:bookmarkStart w:id="7" w:name="_GoBack"/>
      <w:bookmarkEnd w:id="7"/>
      <w:r>
        <w:rPr>
          <w:rFonts w:hint="eastAsia" w:ascii="仿宋_GB2312" w:hAnsi="仿宋_GB2312" w:eastAsia="仿宋_GB2312" w:cs="仿宋_GB2312"/>
          <w:color w:val="auto"/>
          <w:kern w:val="2"/>
          <w:sz w:val="32"/>
          <w:szCs w:val="32"/>
          <w:highlight w:val="none"/>
          <w:lang w:val="en-US" w:eastAsia="zh-CN" w:bidi="ar-SA"/>
        </w:rPr>
        <w:t>以及本单位根据国家财经法规和财务管理制度制定的相关财务管理制度，其中包括《会计人员集中核算工作管理制度》、《财务收支审批制度》、《财务稽核制度》、《财务牵制制度》、《会计主管岗位职责》等制度规定，严格执行国库集中支付制度直接支付，资金的拨付过程有完整的审批程序和手续，不存在截留、挤占、挪用等情况。</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(二）绩效目标完成情况分析。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1.产出指标完成情况分析。</w:t>
      </w:r>
    </w:p>
    <w:p>
      <w:pPr>
        <w:pageBreakBefore w:val="0"/>
        <w:widowControl w:val="0"/>
        <w:numPr>
          <w:ilvl w:val="0"/>
          <w:numId w:val="1"/>
        </w:numPr>
        <w:kinsoku/>
        <w:wordWrap/>
        <w:topLinePunct w:val="0"/>
        <w:autoSpaceDE/>
        <w:autoSpaceDN/>
        <w:bidi w:val="0"/>
        <w:snapToGrid/>
        <w:spacing w:line="560" w:lineRule="exact"/>
        <w:ind w:firstLine="643"/>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对于“产出数量”</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防渗渠建设公里数</w:t>
      </w:r>
      <w:r>
        <w:rPr>
          <w:rFonts w:hint="eastAsia" w:ascii="仿宋_GB2312" w:hAnsi="仿宋_GB2312" w:eastAsia="仿宋_GB2312" w:cs="仿宋_GB2312"/>
          <w:color w:val="auto"/>
          <w:sz w:val="32"/>
          <w:szCs w:val="32"/>
          <w:highlight w:val="none"/>
          <w:lang w:val="en-US" w:eastAsia="zh-CN"/>
        </w:rPr>
        <w:t>4.5公里</w:t>
      </w:r>
      <w:r>
        <w:rPr>
          <w:rFonts w:hint="eastAsia" w:ascii="仿宋_GB2312" w:hAnsi="仿宋_GB2312" w:eastAsia="仿宋_GB2312" w:cs="仿宋_GB2312"/>
          <w:color w:val="auto"/>
          <w:sz w:val="32"/>
          <w:szCs w:val="32"/>
          <w:highlight w:val="none"/>
        </w:rPr>
        <w:t>，与预期目标一致，</w:t>
      </w:r>
      <w:r>
        <w:rPr>
          <w:rFonts w:hint="eastAsia" w:ascii="仿宋_GB2312" w:hAnsi="仿宋_GB2312" w:eastAsia="仿宋_GB2312" w:cs="仿宋_GB2312"/>
          <w:color w:val="auto"/>
          <w:kern w:val="2"/>
          <w:sz w:val="32"/>
          <w:szCs w:val="32"/>
          <w:highlight w:val="none"/>
          <w:lang w:val="en-US" w:eastAsia="zh-CN" w:bidi="ar"/>
        </w:rPr>
        <w:t>指标标杆分值为6.25分，根据评分标准，该指标不扣分。得6.25分。</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污水管网建设公里数</w:t>
      </w:r>
      <w:r>
        <w:rPr>
          <w:rFonts w:hint="eastAsia" w:ascii="仿宋_GB2312" w:hAnsi="仿宋_GB2312" w:eastAsia="仿宋_GB2312" w:cs="仿宋_GB2312"/>
          <w:color w:val="auto"/>
          <w:sz w:val="32"/>
          <w:szCs w:val="32"/>
          <w:highlight w:val="none"/>
          <w:lang w:val="en-US" w:eastAsia="zh-CN"/>
        </w:rPr>
        <w:t>10公里，</w:t>
      </w:r>
      <w:r>
        <w:rPr>
          <w:rFonts w:hint="eastAsia" w:ascii="仿宋_GB2312" w:hAnsi="仿宋_GB2312" w:eastAsia="仿宋_GB2312" w:cs="仿宋_GB2312"/>
          <w:color w:val="auto"/>
          <w:sz w:val="32"/>
          <w:szCs w:val="32"/>
          <w:highlight w:val="none"/>
        </w:rPr>
        <w:t>与预期目标一致，</w:t>
      </w:r>
      <w:r>
        <w:rPr>
          <w:rFonts w:hint="eastAsia" w:ascii="仿宋_GB2312" w:hAnsi="仿宋_GB2312" w:eastAsia="仿宋_GB2312" w:cs="仿宋_GB2312"/>
          <w:color w:val="auto"/>
          <w:kern w:val="2"/>
          <w:sz w:val="32"/>
          <w:szCs w:val="32"/>
          <w:highlight w:val="none"/>
          <w:lang w:val="en-US" w:eastAsia="zh-CN" w:bidi="ar"/>
        </w:rPr>
        <w:t>指标标杆分值为6.25分，根据评分标准，该指标不扣分。得6.25分。</w:t>
      </w:r>
    </w:p>
    <w:p>
      <w:pPr>
        <w:pageBreakBefore w:val="0"/>
        <w:widowControl w:val="0"/>
        <w:numPr>
          <w:ilvl w:val="0"/>
          <w:numId w:val="1"/>
        </w:numPr>
        <w:kinsoku/>
        <w:wordWrap/>
        <w:topLinePunct w:val="0"/>
        <w:autoSpaceDE/>
        <w:autoSpaceDN/>
        <w:bidi w:val="0"/>
        <w:snapToGrid/>
        <w:spacing w:line="560" w:lineRule="exact"/>
        <w:ind w:firstLine="643"/>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对于“产出质量”：</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工程验收合格率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，与预期目标一致，</w:t>
      </w:r>
      <w:r>
        <w:rPr>
          <w:rFonts w:hint="eastAsia" w:ascii="仿宋_GB2312" w:hAnsi="仿宋_GB2312" w:eastAsia="仿宋_GB2312" w:cs="仿宋_GB2312"/>
          <w:color w:val="auto"/>
          <w:kern w:val="2"/>
          <w:sz w:val="32"/>
          <w:szCs w:val="32"/>
          <w:highlight w:val="none"/>
          <w:lang w:val="en-US" w:eastAsia="zh-CN" w:bidi="ar"/>
        </w:rPr>
        <w:t>指标标杆分值为6.25分，根据评分标准，该指标不扣分。得6.25分。</w:t>
      </w:r>
    </w:p>
    <w:p>
      <w:pPr>
        <w:pStyle w:val="8"/>
        <w:pageBreakBefore w:val="0"/>
        <w:widowControl w:val="0"/>
        <w:numPr>
          <w:ilvl w:val="0"/>
          <w:numId w:val="1"/>
        </w:numPr>
        <w:kinsoku/>
        <w:wordWrap/>
        <w:topLinePunct w:val="0"/>
        <w:autoSpaceDE/>
        <w:autoSpaceDN/>
        <w:bidi w:val="0"/>
        <w:snapToGrid/>
        <w:spacing w:before="0" w:after="0" w:line="560" w:lineRule="exact"/>
        <w:ind w:firstLine="643"/>
        <w:jc w:val="both"/>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对于“产出时效”：</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color w:val="auto"/>
          <w:kern w:val="2"/>
          <w:sz w:val="32"/>
          <w:szCs w:val="32"/>
          <w:highlight w:val="none"/>
          <w:lang w:val="en-US" w:eastAsia="zh-CN" w:bidi="ar-SA"/>
        </w:rPr>
        <w:t>项目开工时间2022年7月。与预期目标一致，</w:t>
      </w:r>
      <w:r>
        <w:rPr>
          <w:rFonts w:hint="eastAsia" w:ascii="仿宋_GB2312" w:hAnsi="仿宋_GB2312" w:eastAsia="仿宋_GB2312" w:cs="仿宋_GB2312"/>
          <w:color w:val="auto"/>
          <w:kern w:val="2"/>
          <w:sz w:val="32"/>
          <w:szCs w:val="32"/>
          <w:highlight w:val="none"/>
          <w:lang w:val="en-US" w:eastAsia="zh-CN" w:bidi="ar"/>
        </w:rPr>
        <w:t>指标标杆分值为6.25分，根据评分标准，该指标不扣分。得6.25分。</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b w:val="0"/>
          <w:color w:val="auto"/>
          <w:sz w:val="32"/>
          <w:szCs w:val="32"/>
          <w:highlight w:val="none"/>
        </w:rPr>
      </w:pPr>
      <w:r>
        <w:rPr>
          <w:rFonts w:hint="eastAsia" w:ascii="仿宋_GB2312" w:hAnsi="仿宋_GB2312" w:eastAsia="仿宋_GB2312" w:cs="仿宋_GB2312"/>
          <w:b w:val="0"/>
          <w:color w:val="auto"/>
          <w:kern w:val="2"/>
          <w:sz w:val="32"/>
          <w:szCs w:val="32"/>
          <w:highlight w:val="none"/>
          <w:lang w:val="en-US" w:eastAsia="zh-CN" w:bidi="ar-SA"/>
        </w:rPr>
        <w:t>项目完工时间2022年12月。</w:t>
      </w:r>
      <w:r>
        <w:rPr>
          <w:rFonts w:hint="eastAsia" w:ascii="仿宋_GB2312" w:hAnsi="仿宋_GB2312" w:eastAsia="仿宋_GB2312" w:cs="仿宋_GB2312"/>
          <w:b w:val="0"/>
          <w:color w:val="auto"/>
          <w:sz w:val="32"/>
          <w:szCs w:val="32"/>
          <w:highlight w:val="none"/>
        </w:rPr>
        <w:t>与预期目标指标一</w:t>
      </w:r>
      <w:r>
        <w:rPr>
          <w:rFonts w:hint="eastAsia" w:ascii="仿宋_GB2312" w:hAnsi="仿宋_GB2312" w:eastAsia="仿宋_GB2312" w:cs="仿宋_GB2312"/>
          <w:b w:val="0"/>
          <w:bCs/>
          <w:color w:val="auto"/>
          <w:sz w:val="32"/>
          <w:szCs w:val="32"/>
          <w:highlight w:val="none"/>
        </w:rPr>
        <w:t>致</w:t>
      </w:r>
      <w:r>
        <w:rPr>
          <w:rFonts w:hint="eastAsia" w:ascii="仿宋_GB2312" w:hAnsi="仿宋_GB2312" w:eastAsia="仿宋_GB2312" w:cs="仿宋_GB2312"/>
          <w:b w:val="0"/>
          <w:color w:val="auto"/>
          <w:sz w:val="32"/>
          <w:szCs w:val="32"/>
          <w:highlight w:val="none"/>
        </w:rPr>
        <w:t>，</w:t>
      </w:r>
      <w:r>
        <w:rPr>
          <w:rFonts w:hint="eastAsia" w:ascii="仿宋_GB2312" w:hAnsi="仿宋_GB2312" w:eastAsia="仿宋_GB2312" w:cs="仿宋_GB2312"/>
          <w:color w:val="auto"/>
          <w:kern w:val="2"/>
          <w:sz w:val="32"/>
          <w:szCs w:val="32"/>
          <w:highlight w:val="none"/>
          <w:lang w:val="en-US" w:eastAsia="zh-CN" w:bidi="ar"/>
        </w:rPr>
        <w:t>指标标杆分值为6.25分，根据评分标准，该指标不扣分。得6.25分。</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color w:val="auto"/>
          <w:kern w:val="2"/>
          <w:sz w:val="32"/>
          <w:szCs w:val="32"/>
          <w:highlight w:val="none"/>
          <w:lang w:val="en-US" w:eastAsia="zh-CN" w:bidi="ar-SA"/>
        </w:rPr>
        <w:t>工程完成及时率100%，</w:t>
      </w:r>
      <w:r>
        <w:rPr>
          <w:rFonts w:hint="eastAsia" w:ascii="仿宋_GB2312" w:hAnsi="仿宋_GB2312" w:eastAsia="仿宋_GB2312" w:cs="仿宋_GB2312"/>
          <w:color w:val="auto"/>
          <w:sz w:val="32"/>
          <w:szCs w:val="32"/>
          <w:highlight w:val="none"/>
        </w:rPr>
        <w:t>与预期目标一致，</w:t>
      </w:r>
      <w:r>
        <w:rPr>
          <w:rFonts w:hint="eastAsia" w:ascii="仿宋_GB2312" w:hAnsi="仿宋_GB2312" w:eastAsia="仿宋_GB2312" w:cs="仿宋_GB2312"/>
          <w:color w:val="auto"/>
          <w:kern w:val="2"/>
          <w:sz w:val="32"/>
          <w:szCs w:val="32"/>
          <w:highlight w:val="none"/>
          <w:lang w:val="en-US" w:eastAsia="zh-CN" w:bidi="ar"/>
        </w:rPr>
        <w:t>指标标杆分值为6.25分，根据评分标准，该指标不扣分。得6.25分。</w:t>
      </w:r>
    </w:p>
    <w:p>
      <w:pPr>
        <w:pageBreakBefore w:val="0"/>
        <w:widowControl w:val="0"/>
        <w:kinsoku/>
        <w:wordWrap/>
        <w:topLinePunct w:val="0"/>
        <w:autoSpaceDE/>
        <w:autoSpaceDN/>
        <w:bidi w:val="0"/>
        <w:snapToGrid/>
        <w:spacing w:line="560" w:lineRule="exact"/>
        <w:ind w:firstLine="643"/>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（4）对于“产出成本”：</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color w:val="auto"/>
          <w:kern w:val="0"/>
          <w:sz w:val="32"/>
          <w:szCs w:val="32"/>
          <w:highlight w:val="none"/>
          <w:lang w:val="en-US" w:eastAsia="zh-CN" w:bidi="ar-SA"/>
        </w:rPr>
        <w:t>污水管网建设每公里建设成本（万元），预期指标值为≦68.4万元。</w:t>
      </w:r>
      <w:r>
        <w:rPr>
          <w:rFonts w:hint="eastAsia" w:ascii="仿宋_GB2312" w:hAnsi="仿宋_GB2312" w:eastAsia="仿宋_GB2312" w:cs="仿宋_GB2312"/>
          <w:b w:val="0"/>
          <w:bCs/>
          <w:color w:val="auto"/>
          <w:sz w:val="32"/>
          <w:szCs w:val="32"/>
          <w:highlight w:val="none"/>
        </w:rPr>
        <w:t>本年支付工程余款金额</w:t>
      </w:r>
      <w:r>
        <w:rPr>
          <w:rFonts w:hint="eastAsia" w:ascii="仿宋_GB2312" w:hAnsi="仿宋_GB2312" w:eastAsia="仿宋_GB2312" w:cs="仿宋_GB2312"/>
          <w:b w:val="0"/>
          <w:bCs/>
          <w:color w:val="auto"/>
          <w:sz w:val="32"/>
          <w:szCs w:val="32"/>
          <w:highlight w:val="none"/>
          <w:lang w:val="en-US" w:eastAsia="zh-CN"/>
        </w:rPr>
        <w:t>1000</w:t>
      </w:r>
      <w:r>
        <w:rPr>
          <w:rFonts w:hint="eastAsia" w:ascii="仿宋_GB2312" w:hAnsi="仿宋_GB2312" w:eastAsia="仿宋_GB2312" w:cs="仿宋_GB2312"/>
          <w:b w:val="0"/>
          <w:bCs/>
          <w:color w:val="auto"/>
          <w:sz w:val="32"/>
          <w:szCs w:val="32"/>
          <w:highlight w:val="none"/>
        </w:rPr>
        <w:t>万元，项目经费都能控制绩效目标范围内，</w:t>
      </w:r>
      <w:r>
        <w:rPr>
          <w:rFonts w:hint="eastAsia" w:ascii="仿宋_GB2312" w:hAnsi="仿宋_GB2312" w:eastAsia="仿宋_GB2312" w:cs="仿宋_GB2312"/>
          <w:color w:val="auto"/>
          <w:kern w:val="2"/>
          <w:sz w:val="32"/>
          <w:szCs w:val="32"/>
          <w:highlight w:val="none"/>
          <w:lang w:val="en-US" w:eastAsia="zh-CN" w:bidi="ar"/>
        </w:rPr>
        <w:t>指标标杆分值为6.25分，根据评分标准，该指标不扣分。得6.25分。</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color w:val="auto"/>
          <w:kern w:val="0"/>
          <w:sz w:val="32"/>
          <w:szCs w:val="32"/>
          <w:highlight w:val="none"/>
          <w:lang w:val="en-US" w:eastAsia="zh-CN" w:bidi="ar-SA"/>
        </w:rPr>
        <w:t>防渗渠每公里建设成本（万元），预期指标值为≦70.16万元。</w:t>
      </w:r>
      <w:r>
        <w:rPr>
          <w:rFonts w:hint="eastAsia" w:ascii="仿宋_GB2312" w:hAnsi="仿宋_GB2312" w:eastAsia="仿宋_GB2312" w:cs="仿宋_GB2312"/>
          <w:b w:val="0"/>
          <w:bCs/>
          <w:color w:val="auto"/>
          <w:sz w:val="32"/>
          <w:szCs w:val="32"/>
          <w:highlight w:val="none"/>
        </w:rPr>
        <w:t>本年支付工程余款金额</w:t>
      </w:r>
      <w:r>
        <w:rPr>
          <w:rFonts w:hint="eastAsia" w:ascii="仿宋_GB2312" w:hAnsi="仿宋_GB2312" w:eastAsia="仿宋_GB2312" w:cs="仿宋_GB2312"/>
          <w:b w:val="0"/>
          <w:bCs/>
          <w:color w:val="auto"/>
          <w:sz w:val="32"/>
          <w:szCs w:val="32"/>
          <w:highlight w:val="none"/>
          <w:lang w:val="en-US" w:eastAsia="zh-CN"/>
        </w:rPr>
        <w:t>1000</w:t>
      </w:r>
      <w:r>
        <w:rPr>
          <w:rFonts w:hint="eastAsia" w:ascii="仿宋_GB2312" w:hAnsi="仿宋_GB2312" w:eastAsia="仿宋_GB2312" w:cs="仿宋_GB2312"/>
          <w:b w:val="0"/>
          <w:bCs/>
          <w:color w:val="auto"/>
          <w:sz w:val="32"/>
          <w:szCs w:val="32"/>
          <w:highlight w:val="none"/>
        </w:rPr>
        <w:t>万元，项目经费都能控制绩效目标范围内，</w:t>
      </w:r>
      <w:r>
        <w:rPr>
          <w:rFonts w:hint="eastAsia" w:ascii="仿宋_GB2312" w:hAnsi="仿宋_GB2312" w:eastAsia="仿宋_GB2312" w:cs="仿宋_GB2312"/>
          <w:color w:val="auto"/>
          <w:kern w:val="2"/>
          <w:sz w:val="32"/>
          <w:szCs w:val="32"/>
          <w:highlight w:val="none"/>
          <w:lang w:val="en-US" w:eastAsia="zh-CN" w:bidi="ar"/>
        </w:rPr>
        <w:t>指标标杆分值为6.25分，根据评分标准，该指标不扣分。得6.25分。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2.效益指标完成情况分析。</w:t>
      </w:r>
    </w:p>
    <w:p>
      <w:pPr>
        <w:pageBreakBefore w:val="0"/>
        <w:widowControl w:val="0"/>
        <w:kinsoku/>
        <w:wordWrap/>
        <w:overflowPunct w:val="0"/>
        <w:topLinePunct w:val="0"/>
        <w:autoSpaceDE/>
        <w:autoSpaceDN/>
        <w:bidi w:val="0"/>
        <w:snapToGrid/>
        <w:spacing w:line="560" w:lineRule="exact"/>
        <w:ind w:firstLine="643"/>
        <w:contextualSpacing/>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rPr>
        <w:t>实施效益指标：</w:t>
      </w:r>
    </w:p>
    <w:p>
      <w:pPr>
        <w:pageBreakBefore w:val="0"/>
        <w:widowControl w:val="0"/>
        <w:kinsoku/>
        <w:wordWrap/>
        <w:topLinePunct w:val="0"/>
        <w:autoSpaceDE/>
        <w:autoSpaceDN/>
        <w:bidi w:val="0"/>
        <w:snapToGrid/>
        <w:spacing w:line="560" w:lineRule="exact"/>
        <w:ind w:firstLine="643"/>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rPr>
        <w:t>对于“</w:t>
      </w:r>
      <w:r>
        <w:rPr>
          <w:rFonts w:hint="eastAsia" w:ascii="仿宋_GB2312" w:hAnsi="仿宋_GB2312" w:eastAsia="仿宋_GB2312" w:cs="仿宋_GB2312"/>
          <w:b/>
          <w:bCs/>
          <w:color w:val="auto"/>
          <w:sz w:val="32"/>
          <w:szCs w:val="32"/>
          <w:highlight w:val="none"/>
          <w:lang w:eastAsia="zh-CN"/>
        </w:rPr>
        <w:t>经济</w:t>
      </w:r>
      <w:r>
        <w:rPr>
          <w:rFonts w:hint="eastAsia" w:ascii="仿宋_GB2312" w:hAnsi="仿宋_GB2312" w:eastAsia="仿宋_GB2312" w:cs="仿宋_GB2312"/>
          <w:b/>
          <w:bCs/>
          <w:color w:val="auto"/>
          <w:sz w:val="32"/>
          <w:szCs w:val="32"/>
          <w:highlight w:val="none"/>
        </w:rPr>
        <w:t>效益指标”：</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bidi="ar-SA"/>
        </w:rPr>
        <w:t>带动增加农户全年总收入85万元。</w:t>
      </w:r>
      <w:r>
        <w:rPr>
          <w:rFonts w:hint="eastAsia" w:ascii="仿宋_GB2312" w:hAnsi="仿宋_GB2312" w:eastAsia="仿宋_GB2312" w:cs="仿宋_GB2312"/>
          <w:color w:val="auto"/>
          <w:sz w:val="32"/>
          <w:szCs w:val="32"/>
          <w:highlight w:val="none"/>
        </w:rPr>
        <w:t>与预期指标一致</w:t>
      </w:r>
      <w:r>
        <w:rPr>
          <w:rFonts w:hint="eastAsia" w:ascii="仿宋_GB2312" w:hAnsi="仿宋_GB2312" w:eastAsia="仿宋_GB2312" w:cs="仿宋_GB2312"/>
          <w:color w:val="auto"/>
          <w:kern w:val="0"/>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CN" w:bidi="ar"/>
        </w:rPr>
        <w:t>指标标杆分值为7.5分，根据评分标准，该指标不扣分。得7.5分。</w:t>
      </w:r>
    </w:p>
    <w:p>
      <w:pPr>
        <w:pageBreakBefore w:val="0"/>
        <w:widowControl w:val="0"/>
        <w:kinsoku/>
        <w:wordWrap/>
        <w:topLinePunct w:val="0"/>
        <w:autoSpaceDE/>
        <w:autoSpaceDN/>
        <w:bidi w:val="0"/>
        <w:snapToGrid/>
        <w:spacing w:line="560" w:lineRule="exact"/>
        <w:ind w:firstLine="643"/>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rPr>
        <w:t>对于“社会效益指标”：</w:t>
      </w:r>
    </w:p>
    <w:p>
      <w:pPr>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带动农户就业人数73人。</w:t>
      </w:r>
      <w:r>
        <w:rPr>
          <w:rFonts w:hint="eastAsia" w:ascii="仿宋_GB2312" w:hAnsi="仿宋_GB2312" w:eastAsia="仿宋_GB2312" w:cs="仿宋_GB2312"/>
          <w:color w:val="auto"/>
          <w:sz w:val="32"/>
          <w:szCs w:val="32"/>
          <w:highlight w:val="none"/>
        </w:rPr>
        <w:t>与预期指标一致</w:t>
      </w:r>
      <w:r>
        <w:rPr>
          <w:rFonts w:hint="eastAsia" w:ascii="仿宋_GB2312" w:hAnsi="仿宋_GB2312" w:eastAsia="仿宋_GB2312" w:cs="仿宋_GB2312"/>
          <w:color w:val="auto"/>
          <w:kern w:val="0"/>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CN" w:bidi="ar"/>
        </w:rPr>
        <w:t>指标标杆分值为7.5分，根据评分标准，该指标不扣分。得7.5分。</w:t>
      </w:r>
      <w:r>
        <w:rPr>
          <w:rFonts w:hint="eastAsia" w:ascii="仿宋_GB2312" w:hAnsi="仿宋_GB2312" w:eastAsia="仿宋_GB2312" w:cs="仿宋_GB2312"/>
          <w:color w:val="auto"/>
          <w:kern w:val="0"/>
          <w:sz w:val="32"/>
          <w:szCs w:val="32"/>
          <w:highlight w:val="none"/>
          <w:lang w:val="en-US" w:eastAsia="zh-CN" w:bidi="ar-SA"/>
        </w:rPr>
        <w:t>提高项目区农村基础设施条件有效提升。</w:t>
      </w:r>
      <w:r>
        <w:rPr>
          <w:rFonts w:hint="eastAsia" w:ascii="仿宋_GB2312" w:hAnsi="仿宋_GB2312" w:eastAsia="仿宋_GB2312" w:cs="仿宋_GB2312"/>
          <w:color w:val="auto"/>
          <w:sz w:val="32"/>
          <w:szCs w:val="32"/>
          <w:highlight w:val="none"/>
        </w:rPr>
        <w:t>与预期指标一致</w:t>
      </w:r>
      <w:r>
        <w:rPr>
          <w:rFonts w:hint="eastAsia" w:ascii="仿宋_GB2312" w:hAnsi="仿宋_GB2312" w:eastAsia="仿宋_GB2312" w:cs="仿宋_GB2312"/>
          <w:color w:val="auto"/>
          <w:kern w:val="0"/>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CN" w:bidi="ar"/>
        </w:rPr>
        <w:t>指标标杆分值为7.5分，根据评分标准，该指标不扣分。得7.5分。</w:t>
      </w:r>
    </w:p>
    <w:p>
      <w:pPr>
        <w:pageBreakBefore w:val="0"/>
        <w:widowControl w:val="0"/>
        <w:numPr>
          <w:ilvl w:val="0"/>
          <w:numId w:val="0"/>
        </w:numPr>
        <w:kinsoku/>
        <w:wordWrap/>
        <w:topLinePunct w:val="0"/>
        <w:autoSpaceDE/>
        <w:autoSpaceDN/>
        <w:bidi w:val="0"/>
        <w:snapToGrid/>
        <w:spacing w:line="560" w:lineRule="exact"/>
        <w:ind w:leftChars="200"/>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lang w:eastAsia="zh-CN"/>
        </w:rPr>
        <w:t>）对于“可持续影响指标”：</w:t>
      </w:r>
    </w:p>
    <w:p>
      <w:pPr>
        <w:pageBreakBefore w:val="0"/>
        <w:widowControl w:val="0"/>
        <w:kinsoku/>
        <w:wordWrap/>
        <w:topLinePunct w:val="0"/>
        <w:autoSpaceDE/>
        <w:autoSpaceDN/>
        <w:bidi w:val="0"/>
        <w:snapToGrid/>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项目工程设计使用年限</w:t>
      </w:r>
      <w:r>
        <w:rPr>
          <w:rFonts w:hint="eastAsia" w:ascii="仿宋_GB2312" w:hAnsi="仿宋_GB2312" w:eastAsia="仿宋_GB2312" w:cs="仿宋_GB2312"/>
          <w:color w:val="auto"/>
          <w:kern w:val="0"/>
          <w:sz w:val="32"/>
          <w:szCs w:val="32"/>
          <w:highlight w:val="none"/>
          <w:lang w:val="en-US" w:eastAsia="zh-CN" w:bidi="ar-SA"/>
        </w:rPr>
        <w:t>20年，</w:t>
      </w:r>
      <w:r>
        <w:rPr>
          <w:rFonts w:hint="eastAsia" w:ascii="仿宋_GB2312" w:hAnsi="仿宋_GB2312" w:eastAsia="仿宋_GB2312" w:cs="仿宋_GB2312"/>
          <w:color w:val="auto"/>
          <w:sz w:val="32"/>
          <w:szCs w:val="32"/>
          <w:highlight w:val="none"/>
        </w:rPr>
        <w:t>与预期指标一致，</w:t>
      </w:r>
      <w:r>
        <w:rPr>
          <w:rFonts w:hint="eastAsia" w:ascii="仿宋_GB2312" w:hAnsi="仿宋_GB2312" w:eastAsia="仿宋_GB2312" w:cs="仿宋_GB2312"/>
          <w:color w:val="auto"/>
          <w:kern w:val="2"/>
          <w:sz w:val="32"/>
          <w:szCs w:val="32"/>
          <w:highlight w:val="none"/>
          <w:lang w:val="en-US" w:eastAsia="zh-CN" w:bidi="ar"/>
        </w:rPr>
        <w:t>指标标杆分值为7.5分，根据评分标准，该指标不扣分。得7.5分。</w:t>
      </w:r>
    </w:p>
    <w:p>
      <w:pPr>
        <w:pageBreakBefore w:val="0"/>
        <w:widowControl w:val="0"/>
        <w:kinsoku/>
        <w:wordWrap/>
        <w:overflowPunct w:val="0"/>
        <w:topLinePunct w:val="0"/>
        <w:autoSpaceDE/>
        <w:autoSpaceDN/>
        <w:bidi w:val="0"/>
        <w:snapToGrid/>
        <w:spacing w:line="560" w:lineRule="exact"/>
        <w:ind w:firstLine="643"/>
        <w:contextualSpacing/>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（4）满意度指标:</w:t>
      </w:r>
    </w:p>
    <w:p>
      <w:pPr>
        <w:pageBreakBefore w:val="0"/>
        <w:widowControl w:val="0"/>
        <w:kinsoku/>
        <w:wordWrap/>
        <w:topLinePunct w:val="0"/>
        <w:autoSpaceDE/>
        <w:autoSpaceDN/>
        <w:bidi w:val="0"/>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bidi="ar-SA"/>
        </w:rPr>
        <w:t>受益乡镇居民满意率，预期指标值为≥95%，</w:t>
      </w:r>
      <w:r>
        <w:rPr>
          <w:rFonts w:hint="eastAsia" w:ascii="仿宋_GB2312" w:hAnsi="仿宋_GB2312" w:eastAsia="仿宋_GB2312" w:cs="仿宋_GB2312"/>
          <w:color w:val="auto"/>
          <w:sz w:val="32"/>
          <w:szCs w:val="32"/>
          <w:highlight w:val="none"/>
        </w:rPr>
        <w:t>与预期目标一致，</w:t>
      </w:r>
      <w:r>
        <w:rPr>
          <w:rFonts w:hint="eastAsia" w:ascii="仿宋_GB2312" w:hAnsi="仿宋_GB2312" w:eastAsia="仿宋_GB2312" w:cs="仿宋_GB2312"/>
          <w:color w:val="auto"/>
          <w:kern w:val="2"/>
          <w:sz w:val="32"/>
          <w:szCs w:val="32"/>
          <w:highlight w:val="none"/>
          <w:lang w:val="en-US" w:eastAsia="zh-CN" w:bidi="ar"/>
        </w:rPr>
        <w:t>指标标杆分值为10分，根据评分标准，该指标不扣分。得10分。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四、偏离绩效目标的原因和下一步改进措施</w:t>
      </w:r>
    </w:p>
    <w:p>
      <w:pPr>
        <w:pStyle w:val="16"/>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仿宋_GB2312" w:hAnsi="仿宋_GB2312" w:eastAsia="仿宋_GB2312" w:cs="仿宋_GB2312"/>
          <w:color w:val="auto"/>
          <w:kern w:val="0"/>
          <w:sz w:val="32"/>
          <w:szCs w:val="32"/>
          <w:highlight w:val="none"/>
          <w:lang w:eastAsia="zh-CN" w:bidi="en-US"/>
        </w:rPr>
      </w:pPr>
      <w:r>
        <w:rPr>
          <w:rFonts w:hint="eastAsia" w:ascii="仿宋_GB2312" w:hAnsi="仿宋_GB2312" w:eastAsia="仿宋_GB2312" w:cs="仿宋_GB2312"/>
          <w:color w:val="auto"/>
          <w:kern w:val="0"/>
          <w:sz w:val="32"/>
          <w:szCs w:val="32"/>
          <w:highlight w:val="none"/>
          <w:lang w:eastAsia="zh-CN" w:bidi="en-US"/>
        </w:rPr>
        <w:t>叶城县依提木孔镇26村基础设施建设项目</w:t>
      </w:r>
      <w:r>
        <w:rPr>
          <w:rFonts w:hint="eastAsia" w:ascii="仿宋_GB2312" w:hAnsi="仿宋_GB2312" w:eastAsia="仿宋_GB2312" w:cs="仿宋_GB2312"/>
          <w:color w:val="auto"/>
          <w:sz w:val="32"/>
          <w:szCs w:val="32"/>
          <w:highlight w:val="none"/>
        </w:rPr>
        <w:t>预算</w:t>
      </w:r>
      <w:r>
        <w:rPr>
          <w:rFonts w:hint="eastAsia" w:ascii="仿宋_GB2312" w:hAnsi="仿宋_GB2312" w:eastAsia="仿宋_GB2312" w:cs="仿宋_GB2312"/>
          <w:color w:val="auto"/>
          <w:kern w:val="0"/>
          <w:sz w:val="32"/>
          <w:szCs w:val="32"/>
          <w:highlight w:val="none"/>
          <w:lang w:val="en-US" w:eastAsia="zh-CN" w:bidi="ar-SA"/>
        </w:rPr>
        <w:t>1000</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，到位</w:t>
      </w:r>
      <w:r>
        <w:rPr>
          <w:rFonts w:hint="eastAsia" w:ascii="仿宋_GB2312" w:hAnsi="仿宋_GB2312" w:eastAsia="仿宋_GB2312" w:cs="仿宋_GB2312"/>
          <w:color w:val="auto"/>
          <w:kern w:val="0"/>
          <w:sz w:val="32"/>
          <w:szCs w:val="32"/>
          <w:highlight w:val="none"/>
          <w:lang w:val="en-US" w:eastAsia="zh-CN" w:bidi="ar-SA"/>
        </w:rPr>
        <w:t>1000</w:t>
      </w:r>
      <w:r>
        <w:rPr>
          <w:rFonts w:hint="eastAsia" w:ascii="仿宋_GB2312" w:hAnsi="仿宋_GB2312" w:eastAsia="仿宋_GB2312" w:cs="仿宋_GB2312"/>
          <w:color w:val="auto"/>
          <w:kern w:val="0"/>
          <w:sz w:val="32"/>
          <w:szCs w:val="32"/>
          <w:highlight w:val="none"/>
          <w:lang w:eastAsia="zh-CN" w:bidi="en-US"/>
        </w:rPr>
        <w:t>万元，实际支出</w:t>
      </w:r>
      <w:r>
        <w:rPr>
          <w:rFonts w:hint="eastAsia" w:ascii="仿宋_GB2312" w:hAnsi="仿宋_GB2312" w:eastAsia="仿宋_GB2312" w:cs="仿宋_GB2312"/>
          <w:color w:val="auto"/>
          <w:kern w:val="0"/>
          <w:sz w:val="32"/>
          <w:szCs w:val="32"/>
          <w:highlight w:val="none"/>
          <w:lang w:val="en-US" w:eastAsia="zh-CN" w:bidi="en-US"/>
        </w:rPr>
        <w:t>1000·</w:t>
      </w:r>
      <w:r>
        <w:rPr>
          <w:rFonts w:hint="eastAsia" w:ascii="仿宋_GB2312" w:hAnsi="仿宋_GB2312" w:eastAsia="仿宋_GB2312" w:cs="仿宋_GB2312"/>
          <w:color w:val="auto"/>
          <w:kern w:val="0"/>
          <w:sz w:val="32"/>
          <w:szCs w:val="32"/>
          <w:highlight w:val="none"/>
          <w:lang w:eastAsia="zh-CN" w:bidi="en-US"/>
        </w:rPr>
        <w:t>万元，预算执行率为</w:t>
      </w:r>
      <w:r>
        <w:rPr>
          <w:rFonts w:hint="eastAsia" w:ascii="仿宋_GB2312" w:hAnsi="仿宋_GB2312" w:eastAsia="仿宋_GB2312" w:cs="仿宋_GB2312"/>
          <w:color w:val="auto"/>
          <w:kern w:val="0"/>
          <w:sz w:val="32"/>
          <w:szCs w:val="32"/>
          <w:highlight w:val="none"/>
          <w:lang w:val="en-US" w:eastAsia="zh-CN" w:bidi="en-US"/>
        </w:rPr>
        <w:t>100</w:t>
      </w:r>
      <w:r>
        <w:rPr>
          <w:rFonts w:hint="eastAsia" w:ascii="仿宋_GB2312" w:hAnsi="仿宋_GB2312" w:eastAsia="仿宋_GB2312" w:cs="仿宋_GB2312"/>
          <w:color w:val="auto"/>
          <w:kern w:val="0"/>
          <w:sz w:val="32"/>
          <w:szCs w:val="32"/>
          <w:highlight w:val="none"/>
          <w:lang w:eastAsia="zh-CN" w:bidi="en-US"/>
        </w:rPr>
        <w:t>%，项目绩效指标总体完成率为</w:t>
      </w:r>
      <w:r>
        <w:rPr>
          <w:rFonts w:hint="eastAsia" w:ascii="仿宋_GB2312" w:hAnsi="仿宋_GB2312" w:eastAsia="仿宋_GB2312" w:cs="仿宋_GB2312"/>
          <w:color w:val="auto"/>
          <w:kern w:val="0"/>
          <w:sz w:val="32"/>
          <w:szCs w:val="32"/>
          <w:highlight w:val="none"/>
          <w:lang w:val="en-US" w:eastAsia="zh-CN" w:bidi="en-US"/>
        </w:rPr>
        <w:t>100</w:t>
      </w:r>
      <w:r>
        <w:rPr>
          <w:rFonts w:hint="eastAsia" w:ascii="仿宋_GB2312" w:hAnsi="仿宋_GB2312" w:eastAsia="仿宋_GB2312" w:cs="仿宋_GB2312"/>
          <w:color w:val="auto"/>
          <w:kern w:val="0"/>
          <w:sz w:val="32"/>
          <w:szCs w:val="32"/>
          <w:highlight w:val="none"/>
          <w:lang w:eastAsia="zh-CN" w:bidi="en-US"/>
        </w:rPr>
        <w:t>%，</w:t>
      </w:r>
      <w:r>
        <w:rPr>
          <w:rFonts w:hint="eastAsia" w:ascii="仿宋_GB2312" w:hAnsi="仿宋_GB2312" w:eastAsia="仿宋_GB2312" w:cs="仿宋_GB2312"/>
          <w:color w:val="auto"/>
          <w:kern w:val="0"/>
          <w:sz w:val="32"/>
          <w:szCs w:val="32"/>
          <w:highlight w:val="none"/>
          <w:lang w:val="en-US" w:eastAsia="zh-CN" w:bidi="en-US"/>
        </w:rPr>
        <w:t>无偏差</w:t>
      </w:r>
      <w:r>
        <w:rPr>
          <w:rFonts w:hint="eastAsia" w:ascii="仿宋_GB2312" w:hAnsi="仿宋_GB2312" w:eastAsia="仿宋_GB2312" w:cs="仿宋_GB2312"/>
          <w:color w:val="auto"/>
          <w:kern w:val="0"/>
          <w:sz w:val="32"/>
          <w:szCs w:val="32"/>
          <w:highlight w:val="none"/>
          <w:lang w:eastAsia="zh-CN" w:bidi="en-US"/>
        </w:rPr>
        <w:t>。</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五、综合评价结论</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bidi="en-US"/>
        </w:rPr>
        <w:t>叶城县依提木孔镇26村基础设施建设项目</w:t>
      </w:r>
      <w:r>
        <w:rPr>
          <w:rFonts w:hint="eastAsia" w:ascii="仿宋_GB2312" w:hAnsi="仿宋_GB2312" w:eastAsia="仿宋_GB2312" w:cs="仿宋_GB2312"/>
          <w:color w:val="auto"/>
          <w:sz w:val="32"/>
          <w:szCs w:val="32"/>
          <w:highlight w:val="none"/>
        </w:rPr>
        <w:t>预算</w:t>
      </w:r>
      <w:r>
        <w:rPr>
          <w:rFonts w:hint="eastAsia" w:ascii="仿宋_GB2312" w:hAnsi="仿宋_GB2312" w:eastAsia="仿宋_GB2312" w:cs="仿宋_GB2312"/>
          <w:color w:val="auto"/>
          <w:kern w:val="0"/>
          <w:sz w:val="32"/>
          <w:szCs w:val="32"/>
          <w:highlight w:val="none"/>
          <w:lang w:val="en-US" w:eastAsia="zh-CN" w:bidi="ar-SA"/>
        </w:rPr>
        <w:t>1000</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，到位</w:t>
      </w:r>
      <w:r>
        <w:rPr>
          <w:rFonts w:hint="eastAsia" w:ascii="仿宋_GB2312" w:hAnsi="仿宋_GB2312" w:eastAsia="仿宋_GB2312" w:cs="仿宋_GB2312"/>
          <w:color w:val="auto"/>
          <w:kern w:val="0"/>
          <w:sz w:val="32"/>
          <w:szCs w:val="32"/>
          <w:highlight w:val="none"/>
          <w:lang w:val="en-US" w:eastAsia="zh-CN" w:bidi="ar-SA"/>
        </w:rPr>
        <w:t>1000</w:t>
      </w:r>
      <w:r>
        <w:rPr>
          <w:rFonts w:hint="eastAsia" w:ascii="仿宋_GB2312" w:hAnsi="仿宋_GB2312" w:eastAsia="仿宋_GB2312" w:cs="仿宋_GB2312"/>
          <w:color w:val="auto"/>
          <w:kern w:val="0"/>
          <w:sz w:val="32"/>
          <w:szCs w:val="32"/>
          <w:highlight w:val="none"/>
          <w:lang w:eastAsia="zh-CN" w:bidi="en-US"/>
        </w:rPr>
        <w:t>万元，实际支出</w:t>
      </w:r>
      <w:r>
        <w:rPr>
          <w:rFonts w:hint="eastAsia" w:ascii="仿宋_GB2312" w:hAnsi="仿宋_GB2312" w:eastAsia="仿宋_GB2312" w:cs="仿宋_GB2312"/>
          <w:color w:val="auto"/>
          <w:kern w:val="0"/>
          <w:sz w:val="32"/>
          <w:szCs w:val="32"/>
          <w:highlight w:val="none"/>
          <w:lang w:val="en-US" w:eastAsia="zh-CN" w:bidi="en-US"/>
        </w:rPr>
        <w:t>1000</w:t>
      </w:r>
      <w:r>
        <w:rPr>
          <w:rFonts w:hint="eastAsia" w:ascii="仿宋_GB2312" w:hAnsi="仿宋_GB2312" w:eastAsia="仿宋_GB2312" w:cs="仿宋_GB2312"/>
          <w:color w:val="auto"/>
          <w:kern w:val="0"/>
          <w:sz w:val="32"/>
          <w:szCs w:val="32"/>
          <w:highlight w:val="none"/>
          <w:lang w:eastAsia="zh-CN" w:bidi="en-US"/>
        </w:rPr>
        <w:t>万元，预算执行率为</w:t>
      </w:r>
      <w:r>
        <w:rPr>
          <w:rFonts w:hint="eastAsia" w:ascii="仿宋_GB2312" w:hAnsi="仿宋_GB2312" w:eastAsia="仿宋_GB2312" w:cs="仿宋_GB2312"/>
          <w:color w:val="auto"/>
          <w:kern w:val="0"/>
          <w:sz w:val="32"/>
          <w:szCs w:val="32"/>
          <w:highlight w:val="none"/>
          <w:lang w:val="en-US" w:eastAsia="zh-CN" w:bidi="en-US"/>
        </w:rPr>
        <w:t>100</w:t>
      </w:r>
      <w:r>
        <w:rPr>
          <w:rFonts w:hint="eastAsia" w:ascii="仿宋_GB2312" w:hAnsi="仿宋_GB2312" w:eastAsia="仿宋_GB2312" w:cs="仿宋_GB2312"/>
          <w:color w:val="auto"/>
          <w:kern w:val="0"/>
          <w:sz w:val="32"/>
          <w:szCs w:val="32"/>
          <w:highlight w:val="none"/>
          <w:lang w:eastAsia="zh-CN" w:bidi="en-US"/>
        </w:rPr>
        <w:t>%，</w:t>
      </w:r>
      <w:r>
        <w:rPr>
          <w:rFonts w:hint="eastAsia" w:ascii="仿宋_GB2312" w:hAnsi="仿宋_GB2312" w:eastAsia="仿宋_GB2312" w:cs="仿宋_GB2312"/>
          <w:color w:val="auto"/>
          <w:sz w:val="32"/>
          <w:szCs w:val="32"/>
          <w:highlight w:val="none"/>
          <w:lang w:val="en-US" w:eastAsia="zh-CN"/>
        </w:rPr>
        <w:t>项目执行</w:t>
      </w:r>
      <w:r>
        <w:rPr>
          <w:rFonts w:hint="eastAsia" w:ascii="仿宋_GB2312" w:hAnsi="仿宋_GB2312" w:eastAsia="仿宋_GB2312" w:cs="仿宋_GB2312"/>
          <w:color w:val="auto"/>
          <w:kern w:val="2"/>
          <w:sz w:val="32"/>
          <w:szCs w:val="32"/>
          <w:highlight w:val="none"/>
          <w:lang w:val="en-US" w:eastAsia="zh-CN" w:bidi="ar"/>
        </w:rPr>
        <w:t>指标标杆分值为10分，根据评分标准，该指标不扣分。得10分。</w:t>
      </w:r>
    </w:p>
    <w:p>
      <w:pPr>
        <w:pStyle w:val="5"/>
        <w:keepNext w:val="0"/>
        <w:keepLines w:val="0"/>
        <w:pageBreakBefore w:val="0"/>
        <w:widowControl w:val="0"/>
        <w:kinsoku/>
        <w:overflowPunct/>
        <w:topLinePunct w:val="0"/>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该项目最终评分100分，绩效评级为“优”。</w:t>
      </w:r>
    </w:p>
    <w:p>
      <w:pPr>
        <w:keepNext w:val="0"/>
        <w:keepLines w:val="0"/>
        <w:pageBreakBefore w:val="0"/>
        <w:widowControl w:val="0"/>
        <w:numPr>
          <w:ilvl w:val="0"/>
          <w:numId w:val="0"/>
        </w:numPr>
        <w:kinsoku/>
        <w:overflowPunct/>
        <w:topLinePunct w:val="0"/>
        <w:autoSpaceDN/>
        <w:bidi w:val="0"/>
        <w:adjustRightInd/>
        <w:snapToGrid/>
        <w:spacing w:line="560" w:lineRule="exact"/>
        <w:ind w:leftChars="200"/>
        <w:jc w:val="left"/>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lang w:val="en-US" w:eastAsia="zh-CN"/>
        </w:rPr>
        <w:t>六、</w:t>
      </w:r>
      <w:r>
        <w:rPr>
          <w:rFonts w:hint="eastAsia" w:ascii="仿宋_GB2312" w:hAnsi="仿宋_GB2312" w:eastAsia="仿宋_GB2312" w:cs="仿宋_GB2312"/>
          <w:b/>
          <w:color w:val="auto"/>
          <w:sz w:val="32"/>
          <w:szCs w:val="32"/>
          <w:highlight w:val="none"/>
        </w:rPr>
        <w:t>绩效自评结果拟应用和公开情况</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（一）对衔接推进乡村振兴补助资金项目、绩效公告公示情况</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按照《国务院办公厅关于印发2017年政务公开工作要点的通知》（国发办【2017】24号）、《新疆维吾尔自治区财政衔接推进乡村振兴补助资金管理办法》（新材规【2021】11号）文件要求：由叶城县财政局扶贫股核对本项目资金及建设内容、由叶城县财政局绩效评价中心于2022年1月19日对项目绩效目标在叶城县人民政府网（http://www.xjyc.gov.cn/ycx/c107308/zwgk.shtml）进行公开，项目实施前在相关乡镇进行了张榜公开，接受社会监督。</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（二）对绩效自评结果拟应用情况进行说明</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绩效自评的结果应用，既是开展绩效评价工作的基本前提，又是加强财政支出管理、增强资金绩效理念、合理配置公共资源、优化财政支出结构、强化资金管理水平、提高资金使用效益的重要手段。为使绩效评价结果得到合理应用，将此次绩效评价结果作为以后年度建设资金分配的重要依据。绩效评价是对效果的评价，评价结果直接反应项目实施的效益。评价结果优秀并绩效突出的：对于实施过程评价的项目，财政部门要在安排该项目后续资金时给予优先保障；对于完成结果评价的项目，财政部门要在安排该部门其他项目资金时给予综合考虑。评价结果为不合格的：对于实施过程评价的项目，财政部门要及时提出整改意见，整改期间暂停已安排资金的拨款或支付，未按要求落实整改的，要会同有关部门向同级人民政府提出暂停该项目实施的建议，由同级人民政府确定该项目是否继续实施；对于完成结果评价的项目，在安排该部门新增项目资金时，应从紧考虑，并加强项目前期论证和综合分析，以确保项目资金使用的安全有效。                                          </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该项目结果应用：一是将自评结果报送县财政局及地区财政局，根据绩效自评结果作为下一年度资金安排参考。二是今后我单位会注重结果导向、强调成本效益、硬化责任约束，不断加强绩效管理队伍建设，提升业务素质，提高预算管理水平和政策实施效果，实现预算和绩效管理一体化，着力提高财政资源配置效率和使用效益，全面提升我单位公共服务水平。</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本项目在本年度实施过程中，严格按照衔接补助资金管理办法，部门实行监督管理制度和项目负责人终生追责制等管理方法，夯实各级部门职责，对被评价项目的绩效情况、完成程度和存在的问题与建议加以综合分析，建立评价结果在部门预算安排中的激励与约束机制，逐步发挥绩效评价工作的应有作用。</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（三）对二级指标权重(分值)分配情况进行说明，赋权的方法或者原则</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绩效评价指标体系中各指标的权重和分值由本项目绩效评价小组根据绩效评价原理和评价需求，在调研基础上，考虑本项目绩效评价的侧重点和关键环节，依据指标的重要性产生，并经充分讨论后，报绩效评价小组进行审查，根据审查意见，对相关指标权重和分值调整后确定。</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p>
    <w:p>
      <w:pPr>
        <w:pStyle w:val="4"/>
        <w:keepNext w:val="0"/>
        <w:keepLines w:val="0"/>
        <w:pageBreakBefore w:val="0"/>
        <w:widowControl w:val="0"/>
        <w:numPr>
          <w:ilvl w:val="0"/>
          <w:numId w:val="0"/>
        </w:numPr>
        <w:kinsoku/>
        <w:overflowPunct/>
        <w:topLinePunct w:val="0"/>
        <w:autoSpaceDN/>
        <w:bidi w:val="0"/>
        <w:adjustRightInd/>
        <w:snapToGrid/>
        <w:spacing w:line="560" w:lineRule="exact"/>
        <w:ind w:leftChars="200"/>
        <w:textAlignment w:val="auto"/>
        <w:rPr>
          <w:rFonts w:hint="eastAsia" w:ascii="仿宋_GB2312" w:hAnsi="仿宋_GB2312" w:eastAsia="仿宋_GB2312" w:cs="仿宋_GB2312"/>
          <w:color w:val="auto"/>
          <w:sz w:val="32"/>
          <w:szCs w:val="32"/>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HYb2gj">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262736"/>
    <w:multiLevelType w:val="singleLevel"/>
    <w:tmpl w:val="A826273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A26"/>
    <w:rsid w:val="003E0379"/>
    <w:rsid w:val="0055176E"/>
    <w:rsid w:val="00F20A26"/>
    <w:rsid w:val="017070AA"/>
    <w:rsid w:val="04997DBE"/>
    <w:rsid w:val="059A592B"/>
    <w:rsid w:val="0A761636"/>
    <w:rsid w:val="0C033D1A"/>
    <w:rsid w:val="0FD84CB5"/>
    <w:rsid w:val="13337EFC"/>
    <w:rsid w:val="183F4AF7"/>
    <w:rsid w:val="187A025D"/>
    <w:rsid w:val="1937751C"/>
    <w:rsid w:val="1ABF7AF2"/>
    <w:rsid w:val="1E4E2C6C"/>
    <w:rsid w:val="1EE92567"/>
    <w:rsid w:val="208A2654"/>
    <w:rsid w:val="23FC081B"/>
    <w:rsid w:val="258E09AB"/>
    <w:rsid w:val="275E1E77"/>
    <w:rsid w:val="2BDE14CF"/>
    <w:rsid w:val="2E51749D"/>
    <w:rsid w:val="30A66A13"/>
    <w:rsid w:val="31AE0AA6"/>
    <w:rsid w:val="405E6C33"/>
    <w:rsid w:val="41871287"/>
    <w:rsid w:val="42C508A7"/>
    <w:rsid w:val="47096FDD"/>
    <w:rsid w:val="4EFD730D"/>
    <w:rsid w:val="5B7E6D47"/>
    <w:rsid w:val="66A55136"/>
    <w:rsid w:val="682E0E4F"/>
    <w:rsid w:val="6D3F3949"/>
    <w:rsid w:val="72CE0967"/>
    <w:rsid w:val="755A7568"/>
    <w:rsid w:val="76270182"/>
    <w:rsid w:val="76954A77"/>
    <w:rsid w:val="797347C1"/>
    <w:rsid w:val="7E3D5B7E"/>
    <w:rsid w:val="7E984E50"/>
    <w:rsid w:val="DDF9C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4"/>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7">
    <w:name w:val="heading 3"/>
    <w:basedOn w:val="1"/>
    <w:next w:val="1"/>
    <w:qFormat/>
    <w:uiPriority w:val="9"/>
    <w:pPr>
      <w:keepNext/>
      <w:keepLines/>
      <w:spacing w:before="260" w:after="260" w:line="416" w:lineRule="auto"/>
      <w:jc w:val="left"/>
      <w:outlineLvl w:val="2"/>
    </w:pPr>
    <w:rPr>
      <w:rFonts w:cs="Times New Roman"/>
      <w:bCs/>
      <w:kern w:val="0"/>
      <w:szCs w:val="32"/>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rPr>
  </w:style>
  <w:style w:type="paragraph" w:styleId="4">
    <w:name w:val="Body Text First Indent 2"/>
    <w:basedOn w:val="5"/>
    <w:unhideWhenUsed/>
    <w:qFormat/>
    <w:uiPriority w:val="0"/>
    <w:pPr>
      <w:ind w:firstLine="420"/>
    </w:pPr>
  </w:style>
  <w:style w:type="paragraph" w:styleId="5">
    <w:name w:val="Body Text Indent"/>
    <w:basedOn w:val="1"/>
    <w:unhideWhenUsed/>
    <w:qFormat/>
    <w:uiPriority w:val="99"/>
    <w:pPr>
      <w:spacing w:after="120"/>
      <w:ind w:left="420" w:leftChars="200"/>
    </w:pPr>
    <w:rPr>
      <w:rFonts w:cs="Times New Roman"/>
      <w:kern w:val="0"/>
      <w:szCs w:val="20"/>
    </w:rPr>
  </w:style>
  <w:style w:type="paragraph" w:styleId="8">
    <w:name w:val="Body Text"/>
    <w:basedOn w:val="1"/>
    <w:qFormat/>
    <w:uiPriority w:val="0"/>
    <w:pPr>
      <w:spacing w:before="240" w:after="240" w:line="360" w:lineRule="auto"/>
      <w:jc w:val="center"/>
    </w:pPr>
    <w:rPr>
      <w:b/>
      <w:sz w:val="44"/>
    </w:rPr>
  </w:style>
  <w:style w:type="paragraph" w:styleId="9">
    <w:name w:val="Body Text Indent 2"/>
    <w:basedOn w:val="1"/>
    <w:qFormat/>
    <w:uiPriority w:val="0"/>
    <w:pPr>
      <w:ind w:firstLine="280"/>
    </w:pPr>
    <w:rPr>
      <w:rFonts w:ascii="仿宋_GB2312" w:hAnsi="仿宋_GB2312" w:eastAsia="仿宋_GB2312"/>
      <w:kern w:val="1"/>
      <w:sz w:val="28"/>
    </w:rPr>
  </w:style>
  <w:style w:type="paragraph" w:styleId="10">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character" w:styleId="14">
    <w:name w:val="Strong"/>
    <w:basedOn w:val="13"/>
    <w:qFormat/>
    <w:uiPriority w:val="0"/>
    <w:rPr>
      <w:b/>
      <w:bCs/>
    </w:rPr>
  </w:style>
  <w:style w:type="paragraph" w:customStyle="1" w:styleId="15">
    <w:name w:val="Default"/>
    <w:next w:val="1"/>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闻政-正文二级标题"/>
    <w:basedOn w:val="6"/>
    <w:next w:val="16"/>
    <w:qFormat/>
    <w:uiPriority w:val="3"/>
    <w:pPr>
      <w:spacing w:before="120" w:after="60" w:line="500" w:lineRule="exact"/>
      <w:ind w:left="200" w:leftChars="200" w:firstLine="0" w:firstLineChars="0"/>
    </w:pPr>
    <w:rPr>
      <w:rFonts w:ascii="Times New Roman" w:hAnsi="Times New Roman"/>
      <w:sz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52</Words>
  <Characters>301</Characters>
  <Lines>2</Lines>
  <Paragraphs>1</Paragraphs>
  <TotalTime>0</TotalTime>
  <ScaleCrop>false</ScaleCrop>
  <LinksUpToDate>false</LinksUpToDate>
  <CharactersWithSpaces>352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2019-10-08T13:02:00Z</dcterms:created>
  <dc:creator>姜波</dc:creator>
  <cp:lastModifiedBy>Administrator</cp:lastModifiedBy>
  <dcterms:modified xsi:type="dcterms:W3CDTF">2025-02-13T10:55:59Z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