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tabs>
          <w:tab w:val="left" w:pos="1680"/>
        </w:tabs>
        <w:kinsoku/>
        <w:wordWrap/>
        <w:topLinePunct w:val="0"/>
        <w:autoSpaceDE/>
        <w:autoSpaceDN/>
        <w:bidi w:val="0"/>
        <w:snapToGrid/>
        <w:spacing w:before="120" w:after="120" w:line="560" w:lineRule="exact"/>
        <w:ind w:firstLine="643"/>
        <w:jc w:val="center"/>
        <w:textAlignment w:val="auto"/>
        <w:outlineLvl w:val="0"/>
        <w:rPr>
          <w:rFonts w:hint="eastAsia" w:ascii="黑体" w:hAnsi="黑体" w:eastAsia="黑体"/>
          <w:b/>
          <w:bCs/>
          <w:color w:val="auto"/>
          <w:sz w:val="36"/>
          <w:szCs w:val="36"/>
          <w:highlight w:val="none"/>
          <w:lang w:eastAsia="zh-CN"/>
        </w:rPr>
      </w:pPr>
      <w:r>
        <w:rPr>
          <w:rFonts w:hint="eastAsia" w:ascii="黑体" w:hAnsi="黑体" w:eastAsia="黑体"/>
          <w:b/>
          <w:bCs/>
          <w:color w:val="auto"/>
          <w:sz w:val="36"/>
          <w:szCs w:val="36"/>
          <w:highlight w:val="none"/>
          <w:lang w:eastAsia="zh-CN"/>
        </w:rPr>
        <w:t>叶城县依提木孔镇27村农业灌溉引水渠建设项目支出自评总结报告</w:t>
      </w:r>
    </w:p>
    <w:p>
      <w:pPr>
        <w:pageBreakBefore w:val="0"/>
        <w:widowControl w:val="0"/>
        <w:kinsoku/>
        <w:wordWrap/>
        <w:topLinePunct w:val="0"/>
        <w:autoSpaceDE/>
        <w:autoSpaceDN/>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topLinePunct w:val="0"/>
        <w:autoSpaceDE/>
        <w:autoSpaceDN/>
        <w:bidi w:val="0"/>
        <w:snapToGrid/>
        <w:spacing w:line="560" w:lineRule="exact"/>
        <w:ind w:firstLine="0" w:firstLineChars="0"/>
        <w:jc w:val="both"/>
        <w:textAlignment w:val="auto"/>
        <w:rPr>
          <w:rFonts w:hint="eastAsia" w:ascii="仿宋_GB2312" w:hAnsi="仿宋_GB2312" w:eastAsia="仿宋_GB2312" w:cs="仿宋_GB2312"/>
          <w:b/>
          <w:color w:val="auto"/>
          <w:kern w:val="0"/>
          <w:sz w:val="32"/>
          <w:szCs w:val="32"/>
          <w:highlight w:val="none"/>
          <w:lang w:bidi="en-US"/>
        </w:rPr>
      </w:pPr>
    </w:p>
    <w:p>
      <w:pPr>
        <w:pStyle w:val="7"/>
        <w:pageBreakBefore w:val="0"/>
        <w:widowControl w:val="0"/>
        <w:kinsoku/>
        <w:wordWrap/>
        <w:topLinePunct w:val="0"/>
        <w:autoSpaceDE/>
        <w:autoSpaceDN/>
        <w:bidi w:val="0"/>
        <w:snapToGrid/>
        <w:spacing w:line="560" w:lineRule="exact"/>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topLinePunct w:val="0"/>
        <w:autoSpaceDE/>
        <w:autoSpaceDN/>
        <w:bidi w:val="0"/>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widowControl w:val="0"/>
        <w:kinsoku/>
        <w:wordWrap/>
        <w:topLinePunct w:val="0"/>
        <w:autoSpaceDE/>
        <w:autoSpaceDN/>
        <w:bidi w:val="0"/>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widowControl w:val="0"/>
        <w:kinsoku/>
        <w:wordWrap/>
        <w:topLinePunct w:val="0"/>
        <w:autoSpaceDE/>
        <w:autoSpaceDN/>
        <w:bidi w:val="0"/>
        <w:snapToGrid/>
        <w:spacing w:line="560" w:lineRule="exact"/>
        <w:ind w:firstLine="0" w:firstLineChars="0"/>
        <w:jc w:val="both"/>
        <w:textAlignment w:val="auto"/>
        <w:rPr>
          <w:rFonts w:hint="eastAsia" w:ascii="仿宋_GB2312" w:hAnsi="仿宋_GB2312" w:eastAsia="仿宋_GB2312" w:cs="仿宋_GB2312"/>
          <w:color w:val="auto"/>
          <w:kern w:val="0"/>
          <w:sz w:val="32"/>
          <w:szCs w:val="32"/>
          <w:highlight w:val="none"/>
          <w:lang w:bidi="en-US"/>
        </w:rPr>
      </w:pPr>
    </w:p>
    <w:p>
      <w:pPr>
        <w:pageBreakBefore w:val="0"/>
        <w:widowControl w:val="0"/>
        <w:kinsoku/>
        <w:wordWrap/>
        <w:topLinePunct w:val="0"/>
        <w:autoSpaceDE/>
        <w:autoSpaceDN/>
        <w:bidi w:val="0"/>
        <w:snapToGrid/>
        <w:spacing w:line="560" w:lineRule="exact"/>
        <w:ind w:left="1277" w:leftChars="608" w:firstLine="0" w:firstLineChars="0"/>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bidi="en-US"/>
        </w:rPr>
        <w:t>项目名称：</w:t>
      </w:r>
      <w:r>
        <w:rPr>
          <w:rFonts w:hint="eastAsia" w:ascii="仿宋_GB2312" w:hAnsi="仿宋_GB2312" w:eastAsia="仿宋_GB2312" w:cs="仿宋_GB2312"/>
          <w:color w:val="auto"/>
          <w:kern w:val="0"/>
          <w:sz w:val="32"/>
          <w:szCs w:val="32"/>
          <w:highlight w:val="none"/>
          <w:lang w:eastAsia="zh-CN" w:bidi="en-US"/>
        </w:rPr>
        <w:t>叶城县依提木孔镇27村农业灌溉引水渠建设项目</w:t>
      </w:r>
    </w:p>
    <w:p>
      <w:pPr>
        <w:pageBreakBefore w:val="0"/>
        <w:widowControl w:val="0"/>
        <w:kinsoku/>
        <w:wordWrap/>
        <w:topLinePunct w:val="0"/>
        <w:autoSpaceDE/>
        <w:autoSpaceDN/>
        <w:bidi w:val="0"/>
        <w:snapToGrid/>
        <w:spacing w:line="560" w:lineRule="exact"/>
        <w:ind w:firstLine="1411" w:firstLineChars="441"/>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bidi="en-US"/>
        </w:rPr>
        <w:t>项目单位：</w:t>
      </w:r>
      <w:r>
        <w:rPr>
          <w:rFonts w:hint="eastAsia" w:ascii="仿宋_GB2312" w:hAnsi="仿宋_GB2312" w:eastAsia="仿宋_GB2312" w:cs="仿宋_GB2312"/>
          <w:color w:val="auto"/>
          <w:kern w:val="0"/>
          <w:sz w:val="32"/>
          <w:szCs w:val="32"/>
          <w:highlight w:val="none"/>
          <w:lang w:eastAsia="zh-CN" w:bidi="en-US"/>
        </w:rPr>
        <w:t>叶城县依提木孔镇人民政府</w:t>
      </w:r>
    </w:p>
    <w:p>
      <w:pPr>
        <w:pageBreakBefore w:val="0"/>
        <w:widowControl w:val="0"/>
        <w:kinsoku/>
        <w:wordWrap/>
        <w:topLinePunct w:val="0"/>
        <w:autoSpaceDE/>
        <w:autoSpaceDN/>
        <w:bidi w:val="0"/>
        <w:snapToGrid/>
        <w:spacing w:line="560" w:lineRule="exact"/>
        <w:ind w:firstLine="1411" w:firstLineChars="441"/>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eastAsia="zh-CN" w:bidi="en-US"/>
        </w:rPr>
        <w:t>主管部门：叶城县依提木孔镇人民政府</w:t>
      </w:r>
    </w:p>
    <w:p>
      <w:pPr>
        <w:pageBreakBefore w:val="0"/>
        <w:widowControl w:val="0"/>
        <w:kinsoku/>
        <w:wordWrap/>
        <w:topLinePunct w:val="0"/>
        <w:autoSpaceDE/>
        <w:autoSpaceDN/>
        <w:bidi w:val="0"/>
        <w:snapToGrid/>
        <w:spacing w:line="560" w:lineRule="exact"/>
        <w:ind w:firstLine="1411" w:firstLineChars="441"/>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eastAsia="zh-CN" w:bidi="en-US"/>
        </w:rPr>
        <w:t>项目负责人：王新</w:t>
      </w:r>
    </w:p>
    <w:p>
      <w:pPr>
        <w:pageBreakBefore w:val="0"/>
        <w:widowControl w:val="0"/>
        <w:kinsoku/>
        <w:wordWrap/>
        <w:topLinePunct w:val="0"/>
        <w:autoSpaceDE/>
        <w:autoSpaceDN/>
        <w:bidi w:val="0"/>
        <w:snapToGrid/>
        <w:spacing w:line="560" w:lineRule="exact"/>
        <w:ind w:firstLine="1411" w:firstLineChars="441"/>
        <w:jc w:val="left"/>
        <w:textAlignment w:val="auto"/>
        <w:rPr>
          <w:rFonts w:hint="eastAsia" w:ascii="仿宋_GB2312" w:hAnsi="仿宋_GB2312" w:eastAsia="仿宋_GB2312" w:cs="仿宋_GB2312"/>
          <w:color w:val="auto"/>
          <w:kern w:val="0"/>
          <w:sz w:val="32"/>
          <w:szCs w:val="32"/>
          <w:highlight w:val="none"/>
          <w:lang w:val="en-US" w:eastAsia="zh-CN" w:bidi="en-US"/>
        </w:rPr>
      </w:pPr>
      <w:r>
        <w:rPr>
          <w:rFonts w:hint="eastAsia" w:ascii="仿宋_GB2312" w:hAnsi="仿宋_GB2312" w:eastAsia="仿宋_GB2312" w:cs="仿宋_GB2312"/>
          <w:color w:val="auto"/>
          <w:kern w:val="0"/>
          <w:sz w:val="32"/>
          <w:szCs w:val="32"/>
          <w:highlight w:val="none"/>
          <w:lang w:eastAsia="zh-CN" w:bidi="en-US"/>
        </w:rPr>
        <w:t>填报时间：</w:t>
      </w:r>
      <w:r>
        <w:rPr>
          <w:rFonts w:hint="eastAsia" w:ascii="仿宋_GB2312" w:hAnsi="仿宋_GB2312" w:eastAsia="仿宋_GB2312" w:cs="仿宋_GB2312"/>
          <w:color w:val="auto"/>
          <w:kern w:val="0"/>
          <w:sz w:val="32"/>
          <w:szCs w:val="32"/>
          <w:highlight w:val="none"/>
          <w:lang w:val="en-US" w:eastAsia="zh-CN" w:bidi="en-US"/>
        </w:rPr>
        <w:t>2023</w:t>
      </w:r>
      <w:r>
        <w:rPr>
          <w:rFonts w:hint="eastAsia" w:ascii="仿宋_GB2312" w:hAnsi="仿宋_GB2312" w:eastAsia="仿宋_GB2312" w:cs="仿宋_GB2312"/>
          <w:color w:val="auto"/>
          <w:kern w:val="0"/>
          <w:sz w:val="32"/>
          <w:szCs w:val="32"/>
          <w:highlight w:val="none"/>
          <w:lang w:eastAsia="zh-CN" w:bidi="en-US"/>
        </w:rPr>
        <w:t>年</w:t>
      </w:r>
      <w:r>
        <w:rPr>
          <w:rFonts w:hint="eastAsia" w:ascii="仿宋_GB2312" w:hAnsi="仿宋_GB2312" w:eastAsia="仿宋_GB2312" w:cs="仿宋_GB2312"/>
          <w:color w:val="auto"/>
          <w:kern w:val="0"/>
          <w:sz w:val="32"/>
          <w:szCs w:val="32"/>
          <w:highlight w:val="none"/>
          <w:lang w:val="en-US" w:eastAsia="zh-CN" w:bidi="en-US"/>
        </w:rPr>
        <w:t>1</w:t>
      </w:r>
      <w:r>
        <w:rPr>
          <w:rFonts w:hint="eastAsia" w:ascii="仿宋_GB2312" w:hAnsi="仿宋_GB2312" w:eastAsia="仿宋_GB2312" w:cs="仿宋_GB2312"/>
          <w:color w:val="auto"/>
          <w:kern w:val="0"/>
          <w:sz w:val="32"/>
          <w:szCs w:val="32"/>
          <w:highlight w:val="none"/>
          <w:lang w:eastAsia="zh-CN" w:bidi="en-US"/>
        </w:rPr>
        <w:t>月</w:t>
      </w:r>
      <w:r>
        <w:rPr>
          <w:rFonts w:hint="eastAsia" w:ascii="仿宋_GB2312" w:hAnsi="仿宋_GB2312" w:eastAsia="仿宋_GB2312" w:cs="仿宋_GB2312"/>
          <w:color w:val="auto"/>
          <w:kern w:val="0"/>
          <w:sz w:val="32"/>
          <w:szCs w:val="32"/>
          <w:highlight w:val="none"/>
          <w:lang w:val="en-US" w:eastAsia="zh-CN" w:bidi="en-US"/>
        </w:rPr>
        <w:t>9日</w:t>
      </w:r>
    </w:p>
    <w:p>
      <w:pPr>
        <w:keepNext w:val="0"/>
        <w:keepLines w:val="0"/>
        <w:pageBreakBefore w:val="0"/>
        <w:widowControl w:val="0"/>
        <w:kinsoku/>
        <w:overflowPunct/>
        <w:topLinePunct w:val="0"/>
        <w:autoSpaceDN/>
        <w:bidi w:val="0"/>
        <w:adjustRightInd/>
        <w:snapToGrid/>
        <w:spacing w:line="560" w:lineRule="exact"/>
        <w:ind w:firstLine="643" w:firstLineChars="200"/>
        <w:jc w:val="center"/>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overflowPunct/>
        <w:topLinePunct w:val="0"/>
        <w:autoSpaceDN/>
        <w:bidi w:val="0"/>
        <w:adjustRightInd/>
        <w:snapToGrid/>
        <w:spacing w:line="560" w:lineRule="exact"/>
        <w:ind w:firstLine="643" w:firstLineChars="200"/>
        <w:jc w:val="center"/>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叶城县依提木孔镇人民政府2022</w:t>
      </w:r>
      <w:r>
        <w:rPr>
          <w:rFonts w:hint="eastAsia" w:ascii="黑体" w:hAnsi="黑体" w:eastAsia="黑体" w:cs="黑体"/>
          <w:b/>
          <w:bCs/>
          <w:color w:val="auto"/>
          <w:sz w:val="32"/>
          <w:szCs w:val="32"/>
          <w:highlight w:val="none"/>
        </w:rPr>
        <w:t>年</w:t>
      </w:r>
      <w:r>
        <w:rPr>
          <w:rFonts w:hint="eastAsia" w:ascii="黑体" w:hAnsi="黑体" w:eastAsia="黑体" w:cs="黑体"/>
          <w:b/>
          <w:bCs/>
          <w:color w:val="auto"/>
          <w:sz w:val="32"/>
          <w:szCs w:val="32"/>
          <w:highlight w:val="none"/>
          <w:lang w:eastAsia="zh-CN"/>
        </w:rPr>
        <w:t>财政衔接推进乡村振兴补助资金</w:t>
      </w:r>
      <w:r>
        <w:rPr>
          <w:rFonts w:hint="eastAsia" w:ascii="黑体" w:hAnsi="黑体" w:eastAsia="黑体" w:cs="黑体"/>
          <w:b/>
          <w:bCs/>
          <w:color w:val="auto"/>
          <w:sz w:val="32"/>
          <w:szCs w:val="32"/>
          <w:highlight w:val="none"/>
        </w:rPr>
        <w:t>绩效自评总结报告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w:t>
      </w:r>
      <w:r>
        <w:rPr>
          <w:rFonts w:hint="eastAsia" w:ascii="仿宋_GB2312" w:hAnsi="仿宋_GB2312" w:eastAsia="仿宋_GB2312" w:cs="仿宋_GB2312"/>
          <w:b/>
          <w:bCs/>
          <w:color w:val="auto"/>
          <w:sz w:val="32"/>
          <w:szCs w:val="32"/>
          <w:highlight w:val="none"/>
          <w:lang w:eastAsia="zh-CN"/>
        </w:rPr>
        <w:t>财政衔接推进乡村振兴补助资金</w:t>
      </w:r>
      <w:r>
        <w:rPr>
          <w:rFonts w:hint="eastAsia" w:ascii="仿宋_GB2312" w:hAnsi="仿宋_GB2312" w:eastAsia="仿宋_GB2312" w:cs="仿宋_GB2312"/>
          <w:b/>
          <w:bCs/>
          <w:color w:val="auto"/>
          <w:sz w:val="32"/>
          <w:szCs w:val="32"/>
          <w:highlight w:val="none"/>
        </w:rPr>
        <w:t>下达预算及项目情况。</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w:t>
      </w:r>
      <w:r>
        <w:rPr>
          <w:rFonts w:hint="eastAsia" w:ascii="仿宋_GB2312" w:hAnsi="仿宋_GB2312" w:eastAsia="仿宋_GB2312" w:cs="仿宋_GB2312"/>
          <w:b w:val="0"/>
          <w:bCs w:val="0"/>
          <w:color w:val="auto"/>
          <w:kern w:val="0"/>
          <w:sz w:val="32"/>
          <w:szCs w:val="32"/>
          <w:highlight w:val="none"/>
          <w:lang w:eastAsia="zh-CN" w:bidi="en-US"/>
        </w:rPr>
        <w:t>叶城县依提木孔镇27村农业灌溉引水渠建设项目</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kern w:val="0"/>
          <w:sz w:val="32"/>
          <w:szCs w:val="32"/>
          <w:highlight w:val="none"/>
          <w:lang w:val="en-US" w:eastAsia="zh-CN" w:bidi="ar-SA"/>
        </w:rPr>
        <w:t>项目预算资金308.84万元，</w:t>
      </w:r>
      <w:r>
        <w:rPr>
          <w:rFonts w:hint="eastAsia" w:ascii="仿宋_GB2312" w:hAnsi="仿宋_GB2312" w:eastAsia="仿宋_GB2312" w:cs="仿宋_GB2312"/>
          <w:color w:val="auto"/>
          <w:kern w:val="2"/>
          <w:sz w:val="32"/>
          <w:szCs w:val="32"/>
          <w:highlight w:val="none"/>
          <w:lang w:val="en-US" w:eastAsia="zh-CN" w:bidi="ar-SA"/>
        </w:rPr>
        <w:t>项目的实施</w:t>
      </w:r>
      <w:r>
        <w:rPr>
          <w:rFonts w:hint="eastAsia" w:ascii="仿宋_GB2312" w:hAnsi="仿宋_GB2312" w:eastAsia="仿宋_GB2312" w:cs="仿宋_GB2312"/>
          <w:color w:val="auto"/>
          <w:kern w:val="0"/>
          <w:sz w:val="32"/>
          <w:szCs w:val="32"/>
          <w:highlight w:val="none"/>
          <w:lang w:val="en-US" w:eastAsia="zh-CN" w:bidi="ar-SA"/>
        </w:rPr>
        <w:t>后，将为当地群众农业灌溉用水带来了极大便利；预计带动增加脱贫巩固户全年总收入53万元，预计带动脱贫户和边缘易致贫户人数106人.</w:t>
      </w: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财政衔接推进乡村振兴补助资金</w:t>
      </w:r>
      <w:r>
        <w:rPr>
          <w:rFonts w:hint="eastAsia" w:ascii="仿宋_GB2312" w:hAnsi="仿宋_GB2312" w:eastAsia="仿宋_GB2312" w:cs="仿宋_GB2312"/>
          <w:b/>
          <w:bCs/>
          <w:color w:val="auto"/>
          <w:sz w:val="32"/>
          <w:szCs w:val="32"/>
          <w:highlight w:val="none"/>
        </w:rPr>
        <w:t>项目绩效目标设定情况。</w:t>
      </w:r>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叶城县依提木孔镇27村农业灌溉引水渠建设项目根据新财扶[2021]39号喀地财扶[2021]9号文件共安排下达资金308.84万元，为巩固拓展脱贫攻坚成果同乡村振兴衔接资金，最终确定项目资金总数为308.84万元。</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1.项目绩效总目标</w:t>
      </w:r>
    </w:p>
    <w:p>
      <w:pPr>
        <w:pageBreakBefore w:val="0"/>
        <w:widowControl w:val="0"/>
        <w:kinsoku/>
        <w:wordWrap/>
        <w:topLinePunct w:val="0"/>
        <w:autoSpaceDE/>
        <w:autoSpaceDN/>
        <w:bidi w:val="0"/>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叶城县依提木孔镇</w:t>
      </w:r>
      <w:r>
        <w:rPr>
          <w:rFonts w:hint="eastAsia" w:ascii="仿宋_GB2312" w:hAnsi="仿宋_GB2312" w:eastAsia="仿宋_GB2312" w:cs="仿宋_GB2312"/>
          <w:color w:val="auto"/>
          <w:kern w:val="0"/>
          <w:sz w:val="32"/>
          <w:szCs w:val="32"/>
          <w:highlight w:val="none"/>
          <w:lang w:eastAsia="zh-CN" w:bidi="en-US"/>
        </w:rPr>
        <w:t>27村农业灌溉引水渠建设项目</w:t>
      </w:r>
      <w:r>
        <w:rPr>
          <w:rFonts w:hint="eastAsia" w:ascii="仿宋_GB2312" w:hAnsi="仿宋_GB2312" w:eastAsia="仿宋_GB2312" w:cs="仿宋_GB2312"/>
          <w:color w:val="auto"/>
          <w:sz w:val="32"/>
          <w:szCs w:val="32"/>
          <w:highlight w:val="none"/>
        </w:rPr>
        <w:t>总投入资金</w:t>
      </w:r>
      <w:r>
        <w:rPr>
          <w:rFonts w:hint="eastAsia" w:ascii="仿宋_GB2312" w:hAnsi="仿宋_GB2312" w:eastAsia="仿宋_GB2312" w:cs="仿宋_GB2312"/>
          <w:color w:val="auto"/>
          <w:sz w:val="32"/>
          <w:szCs w:val="32"/>
          <w:highlight w:val="none"/>
          <w:lang w:eastAsia="zh-CN"/>
        </w:rPr>
        <w:t>308.84万元，</w:t>
      </w:r>
      <w:r>
        <w:rPr>
          <w:rFonts w:hint="eastAsia" w:ascii="仿宋_GB2312" w:hAnsi="仿宋_GB2312" w:eastAsia="仿宋_GB2312" w:cs="仿宋_GB2312"/>
          <w:color w:val="auto"/>
          <w:sz w:val="32"/>
          <w:szCs w:val="32"/>
          <w:highlight w:val="none"/>
        </w:rPr>
        <w:t>其中财政资金</w:t>
      </w:r>
      <w:r>
        <w:rPr>
          <w:rFonts w:hint="eastAsia" w:ascii="仿宋_GB2312" w:hAnsi="仿宋_GB2312" w:eastAsia="仿宋_GB2312" w:cs="仿宋_GB2312"/>
          <w:color w:val="auto"/>
          <w:sz w:val="32"/>
          <w:szCs w:val="32"/>
          <w:highlight w:val="none"/>
          <w:lang w:eastAsia="zh-CN"/>
        </w:rPr>
        <w:t>308.84</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，已完成拨付资金</w:t>
      </w:r>
      <w:r>
        <w:rPr>
          <w:rFonts w:hint="eastAsia" w:ascii="仿宋_GB2312" w:hAnsi="仿宋_GB2312" w:eastAsia="仿宋_GB2312" w:cs="仿宋_GB2312"/>
          <w:color w:val="auto"/>
          <w:sz w:val="32"/>
          <w:szCs w:val="32"/>
          <w:highlight w:val="none"/>
          <w:lang w:val="en-US" w:eastAsia="zh-CN"/>
        </w:rPr>
        <w:t>308.84万元。资金</w:t>
      </w:r>
      <w:r>
        <w:rPr>
          <w:rFonts w:hint="eastAsia" w:ascii="仿宋_GB2312" w:hAnsi="仿宋_GB2312" w:eastAsia="仿宋_GB2312" w:cs="仿宋_GB2312"/>
          <w:color w:val="auto"/>
          <w:sz w:val="32"/>
          <w:szCs w:val="32"/>
          <w:highlight w:val="none"/>
        </w:rPr>
        <w:t>主要用于</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rPr>
        <w:t>依提木孔镇</w:t>
      </w:r>
      <w:r>
        <w:rPr>
          <w:rFonts w:hint="eastAsia" w:ascii="仿宋_GB2312" w:hAnsi="仿宋_GB2312" w:eastAsia="仿宋_GB2312" w:cs="仿宋_GB2312"/>
          <w:color w:val="auto"/>
          <w:sz w:val="32"/>
          <w:szCs w:val="32"/>
          <w:highlight w:val="none"/>
          <w:lang w:eastAsia="zh-CN"/>
        </w:rPr>
        <w:t>27村建设农业灌溉引水渠</w:t>
      </w:r>
      <w:r>
        <w:rPr>
          <w:rFonts w:hint="eastAsia" w:ascii="仿宋_GB2312" w:hAnsi="仿宋_GB2312" w:eastAsia="仿宋_GB2312" w:cs="仿宋_GB2312"/>
          <w:color w:val="auto"/>
          <w:sz w:val="32"/>
          <w:szCs w:val="32"/>
          <w:highlight w:val="none"/>
        </w:rPr>
        <w:t>5.5公里；项目完工后，将为当地群众农业灌溉用水带来了极大便利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不断提高乡村振兴质量，为建设中国特色社会主义新农村，建设美丽乡村，提高广大群众生活质量，改善生活</w:t>
      </w:r>
      <w:r>
        <w:rPr>
          <w:rFonts w:hint="eastAsia" w:ascii="仿宋_GB2312" w:hAnsi="仿宋_GB2312" w:eastAsia="仿宋_GB2312" w:cs="仿宋_GB2312"/>
          <w:color w:val="auto"/>
          <w:sz w:val="32"/>
          <w:szCs w:val="32"/>
          <w:highlight w:val="none"/>
          <w:lang w:eastAsia="zh-CN"/>
        </w:rPr>
        <w:t>条件</w:t>
      </w:r>
      <w:r>
        <w:rPr>
          <w:rFonts w:hint="eastAsia" w:ascii="仿宋_GB2312" w:hAnsi="仿宋_GB2312" w:eastAsia="仿宋_GB2312" w:cs="仿宋_GB2312"/>
          <w:color w:val="auto"/>
          <w:sz w:val="32"/>
          <w:szCs w:val="32"/>
          <w:highlight w:val="none"/>
        </w:rPr>
        <w:t>打下坚实基础。</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bidi="en-US"/>
        </w:rPr>
        <w:t>项目在</w:t>
      </w:r>
      <w:r>
        <w:rPr>
          <w:rFonts w:hint="eastAsia" w:ascii="仿宋_GB2312" w:hAnsi="仿宋_GB2312" w:eastAsia="仿宋_GB2312" w:cs="仿宋_GB2312"/>
          <w:color w:val="auto"/>
          <w:kern w:val="0"/>
          <w:sz w:val="32"/>
          <w:szCs w:val="32"/>
          <w:highlight w:val="none"/>
          <w:lang w:val="en-US" w:eastAsia="zh-CN" w:bidi="en-US"/>
        </w:rPr>
        <w:t>3月完成招投标工作，3月开始动工，3月底支付工程款101.640893万元，4月支付工程款10.1649万元，5月支付工程款67.7606万元、支付植被恢复费2.282万元，6月工程竣工，7月支付监理费4.065636万元，8月支付工程尾款25.736599万元、审计费1.9639万元、检测费3.38803万元，合计完成资金支付</w:t>
      </w:r>
      <w:r>
        <w:rPr>
          <w:rFonts w:hint="eastAsia" w:ascii="仿宋_GB2312" w:hAnsi="仿宋_GB2312" w:eastAsia="仿宋_GB2312" w:cs="仿宋_GB2312"/>
          <w:color w:val="auto"/>
          <w:sz w:val="32"/>
          <w:szCs w:val="32"/>
          <w:highlight w:val="none"/>
          <w:lang w:val="en-US" w:eastAsia="zh-CN"/>
        </w:rPr>
        <w:t>308.84万元，</w:t>
      </w:r>
      <w:r>
        <w:rPr>
          <w:rFonts w:hint="eastAsia" w:ascii="仿宋_GB2312" w:hAnsi="仿宋_GB2312" w:eastAsia="仿宋_GB2312" w:cs="仿宋_GB2312"/>
          <w:color w:val="auto"/>
          <w:kern w:val="0"/>
          <w:sz w:val="32"/>
          <w:szCs w:val="32"/>
          <w:highlight w:val="none"/>
          <w:lang w:val="en-US" w:eastAsia="zh-CN" w:bidi="en-US"/>
        </w:rPr>
        <w:t>完成</w:t>
      </w:r>
      <w:r>
        <w:rPr>
          <w:rFonts w:hint="eastAsia" w:ascii="仿宋_GB2312" w:hAnsi="仿宋_GB2312" w:eastAsia="仿宋_GB2312" w:cs="仿宋_GB2312"/>
          <w:color w:val="auto"/>
          <w:sz w:val="32"/>
          <w:szCs w:val="32"/>
          <w:highlight w:val="none"/>
          <w:lang w:eastAsia="zh-CN"/>
        </w:rPr>
        <w:t>建设农业灌溉引水渠</w:t>
      </w:r>
      <w:r>
        <w:rPr>
          <w:rFonts w:hint="eastAsia" w:ascii="仿宋_GB2312" w:hAnsi="仿宋_GB2312" w:eastAsia="仿宋_GB2312" w:cs="仿宋_GB2312"/>
          <w:color w:val="auto"/>
          <w:sz w:val="32"/>
          <w:szCs w:val="32"/>
          <w:highlight w:val="none"/>
        </w:rPr>
        <w:t>5.5公里</w:t>
      </w:r>
      <w:r>
        <w:rPr>
          <w:rFonts w:hint="eastAsia" w:ascii="仿宋_GB2312" w:hAnsi="仿宋_GB2312" w:eastAsia="仿宋_GB2312" w:cs="仿宋_GB2312"/>
          <w:color w:val="auto"/>
          <w:sz w:val="32"/>
          <w:szCs w:val="32"/>
          <w:highlight w:val="none"/>
          <w:lang w:eastAsia="zh-CN"/>
        </w:rPr>
        <w:t>，新建闸口</w:t>
      </w:r>
      <w:r>
        <w:rPr>
          <w:rFonts w:hint="eastAsia" w:ascii="仿宋_GB2312" w:hAnsi="仿宋_GB2312" w:eastAsia="仿宋_GB2312" w:cs="仿宋_GB2312"/>
          <w:color w:val="auto"/>
          <w:sz w:val="32"/>
          <w:szCs w:val="32"/>
          <w:highlight w:val="none"/>
          <w:lang w:val="en-US" w:eastAsia="zh-CN"/>
        </w:rPr>
        <w:t>15座，新建桥涵21座及改建桥涵3座</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6月底完成竣工验收工作；8月完成项目审计及检测工作，以及所有资金支付。</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二、绩效自评工作开展情况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包括自评工作开展范围、对象、时间及方式等。</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 绩效评价范围</w:t>
      </w:r>
    </w:p>
    <w:p>
      <w:pPr>
        <w:pageBreakBefore w:val="0"/>
        <w:widowControl w:val="0"/>
        <w:kinsoku/>
        <w:wordWrap/>
        <w:overflowPunct/>
        <w:topLinePunct w:val="0"/>
        <w:autoSpaceDE w:val="0"/>
        <w:autoSpaceDN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本次评价范围涵盖项目总体绩效目标、各项绩效指标完成情况以及预算执行情况。覆盖项目预算资金支出的所有内容进行评价。包括项目决策、项目实施和项目成果验收流程等。</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 绩效评价对象</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3.绩效评价时间</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2023年1月3日-2023年1月30日</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4. 绩效评价方法</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本次绩效评价方法的选用坚持简便有效的原则采用综合分析法。</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 绩效评价标准</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0" w:name="_Toc68364663"/>
      <w:r>
        <w:rPr>
          <w:rFonts w:hint="eastAsia"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绩效评价标准通常包括计划标准、行业标准、历史标准等，用于对绩效指标完成情况进行比较、分析、评价。本次评价主要采用了计划标准。</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 w:name="_Toc31464"/>
      <w:bookmarkStart w:id="2" w:name="_Toc17882"/>
      <w:r>
        <w:rPr>
          <w:rFonts w:hint="eastAsia" w:ascii="仿宋_GB2312" w:hAnsi="仿宋_GB2312" w:eastAsia="仿宋_GB2312" w:cs="仿宋_GB2312"/>
          <w:color w:val="auto"/>
          <w:sz w:val="32"/>
          <w:szCs w:val="32"/>
          <w:highlight w:val="none"/>
          <w:lang w:val="en-US" w:eastAsia="zh-CN"/>
        </w:rPr>
        <w:t>计划标准：指以预先制定的目标、计划、预算、定额等作为评价标准。</w:t>
      </w:r>
      <w:bookmarkEnd w:id="1"/>
      <w:bookmarkEnd w:id="2"/>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3" w:name="_Toc5633"/>
      <w:bookmarkStart w:id="4" w:name="_Toc2318"/>
      <w:r>
        <w:rPr>
          <w:rFonts w:hint="eastAsia" w:ascii="仿宋_GB2312" w:hAnsi="仿宋_GB2312" w:eastAsia="仿宋_GB2312" w:cs="仿宋_GB2312"/>
          <w:color w:val="auto"/>
          <w:sz w:val="32"/>
          <w:szCs w:val="32"/>
          <w:highlight w:val="none"/>
          <w:lang w:val="en-US" w:eastAsia="zh-CN"/>
        </w:rPr>
        <w:t>行业标准：指参照国家公布的行业指标数据制定的评价标准。</w:t>
      </w:r>
      <w:bookmarkEnd w:id="3"/>
      <w:bookmarkEnd w:id="4"/>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5" w:name="_Toc430"/>
      <w:bookmarkStart w:id="6" w:name="_Toc16028"/>
      <w:r>
        <w:rPr>
          <w:rFonts w:hint="eastAsia" w:ascii="仿宋_GB2312" w:hAnsi="仿宋_GB2312" w:eastAsia="仿宋_GB2312" w:cs="仿宋_GB2312"/>
          <w:color w:val="auto"/>
          <w:sz w:val="32"/>
          <w:szCs w:val="32"/>
          <w:highlight w:val="none"/>
          <w:lang w:val="en-US" w:eastAsia="zh-CN"/>
        </w:rPr>
        <w:t>历史标准：指参照历史数据制定的评价标准，为体现绩效改进的原则，在可实现的条件下应当确定相对较高的评价标准。</w:t>
      </w:r>
      <w:bookmarkEnd w:id="0"/>
      <w:bookmarkEnd w:id="5"/>
      <w:bookmarkEnd w:id="6"/>
    </w:p>
    <w:p>
      <w:pPr>
        <w:pStyle w:val="17"/>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（三）绩效评价工作过程</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本次评价成立了评价工作组，</w:t>
      </w:r>
      <w:r>
        <w:rPr>
          <w:rFonts w:hint="eastAsia" w:ascii="仿宋_GB2312" w:hAnsi="仿宋_GB2312" w:eastAsia="仿宋_GB2312" w:cs="仿宋_GB2312"/>
          <w:color w:val="auto"/>
          <w:sz w:val="32"/>
          <w:szCs w:val="32"/>
          <w:highlight w:val="none"/>
        </w:rPr>
        <w:t>成员如下：</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本次评价设计了评价方案、评价指标体系，通过资料分析、调研、访谈满意度调查等方式形成评价结论，在与项目单位沟通后确定评价意见，并出具评价报告。</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第一阶段：前期准备。认真学习相关要求与规定，成立绩效评价工作组，作为绩效评价工作具体实施机构。成员构成如下：</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镇书记</w:t>
      </w:r>
      <w:r>
        <w:rPr>
          <w:rFonts w:hint="eastAsia" w:ascii="仿宋_GB2312" w:hAnsi="仿宋_GB2312" w:eastAsia="仿宋_GB2312" w:cs="仿宋_GB2312"/>
          <w:color w:val="auto"/>
          <w:sz w:val="32"/>
          <w:szCs w:val="32"/>
          <w:highlight w:val="none"/>
        </w:rPr>
        <w:t>任评价组组长，绩效评价工作职责为负责全盘工作。</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镇长</w:t>
      </w:r>
      <w:r>
        <w:rPr>
          <w:rFonts w:hint="eastAsia" w:ascii="仿宋_GB2312" w:hAnsi="仿宋_GB2312" w:eastAsia="仿宋_GB2312" w:cs="仿宋_GB2312"/>
          <w:color w:val="auto"/>
          <w:sz w:val="32"/>
          <w:szCs w:val="32"/>
          <w:highlight w:val="none"/>
        </w:rPr>
        <w:t>任评价组副组长，绩效评价工作职责为为对项目实施情况进行实地调查。</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项目办成员</w:t>
      </w:r>
      <w:r>
        <w:rPr>
          <w:rFonts w:hint="eastAsia" w:ascii="仿宋_GB2312" w:hAnsi="仿宋_GB2312" w:eastAsia="仿宋_GB2312" w:cs="仿宋_GB2312"/>
          <w:color w:val="auto"/>
          <w:sz w:val="32"/>
          <w:szCs w:val="32"/>
          <w:highlight w:val="none"/>
          <w:lang w:val="en-US" w:eastAsia="zh-CN"/>
        </w:rPr>
        <w:t>赵远洋、吴相庆、汪丽</w:t>
      </w:r>
      <w:r>
        <w:rPr>
          <w:rFonts w:hint="eastAsia" w:ascii="仿宋_GB2312" w:hAnsi="仿宋_GB2312" w:eastAsia="仿宋_GB2312" w:cs="仿宋_GB2312"/>
          <w:color w:val="auto"/>
          <w:sz w:val="32"/>
          <w:szCs w:val="32"/>
          <w:highlight w:val="none"/>
        </w:rPr>
        <w:t>任评价组成员，绩效评价工作职责为负责资料审核等工作。</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第二阶段：组织实施。经评价组通过实地调研</w:t>
      </w:r>
      <w:r>
        <w:rPr>
          <w:rFonts w:hint="eastAsia" w:ascii="仿宋_GB2312" w:hAnsi="仿宋_GB2312" w:eastAsia="仿宋_GB2312" w:cs="仿宋_GB2312"/>
          <w:color w:val="auto"/>
          <w:sz w:val="32"/>
          <w:szCs w:val="32"/>
          <w:highlight w:val="none"/>
          <w:lang w:eastAsia="zh-CN"/>
        </w:rPr>
        <w:t>、查阅资料</w:t>
      </w:r>
      <w:r>
        <w:rPr>
          <w:rFonts w:hint="eastAsia" w:ascii="仿宋_GB2312" w:hAnsi="仿宋_GB2312" w:eastAsia="仿宋_GB2312" w:cs="仿宋_GB2312"/>
          <w:color w:val="auto"/>
          <w:sz w:val="32"/>
          <w:szCs w:val="32"/>
          <w:highlight w:val="none"/>
        </w:rPr>
        <w:t>等方式，采用综合分析法对项目的决策、管理、绩效进行的综合评价分析。</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1.项目资金到位情况分析。</w:t>
      </w:r>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sz w:val="32"/>
          <w:szCs w:val="32"/>
          <w:highlight w:val="none"/>
        </w:rPr>
        <w:t>叶</w:t>
      </w:r>
      <w:r>
        <w:rPr>
          <w:rFonts w:hint="eastAsia" w:ascii="仿宋_GB2312" w:hAnsi="仿宋_GB2312" w:eastAsia="仿宋_GB2312" w:cs="仿宋_GB2312"/>
          <w:color w:val="auto"/>
          <w:kern w:val="0"/>
          <w:sz w:val="32"/>
          <w:szCs w:val="32"/>
          <w:highlight w:val="none"/>
          <w:lang w:val="en-US" w:eastAsia="zh-CN" w:bidi="ar-SA"/>
        </w:rPr>
        <w:t>叶城县依提木孔镇27村农业灌溉引水渠建设项目根据新财扶[2021]39号喀地财扶[2021]9号文件共安排下达资金308.84万元，为巩固拓展脱贫攻坚成果同乡村振兴衔接资金，最终确定项目资金总数为308.84万元。</w:t>
      </w:r>
    </w:p>
    <w:p>
      <w:pPr>
        <w:pageBreakBefore w:val="0"/>
        <w:widowControl w:val="0"/>
        <w:kinsoku/>
        <w:wordWrap/>
        <w:overflowPunct/>
        <w:topLinePunct w:val="0"/>
        <w:autoSpaceDE w:val="0"/>
        <w:autoSpaceDN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2.项目资金执行情况分析。</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bidi="en-US"/>
        </w:rPr>
        <w:t>依提木孔镇27村农业灌溉引水渠建设项目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kern w:val="0"/>
          <w:sz w:val="32"/>
          <w:szCs w:val="32"/>
          <w:highlight w:val="none"/>
          <w:lang w:val="en-US" w:eastAsia="zh-CN" w:bidi="ar-SA"/>
        </w:rPr>
        <w:t>308.84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kern w:val="0"/>
          <w:sz w:val="32"/>
          <w:szCs w:val="32"/>
          <w:highlight w:val="none"/>
          <w:lang w:val="en-US" w:eastAsia="zh-CN" w:bidi="ar-SA"/>
        </w:rPr>
        <w:t>308.84</w:t>
      </w:r>
      <w:r>
        <w:rPr>
          <w:rFonts w:hint="eastAsia" w:ascii="仿宋_GB2312" w:hAnsi="仿宋_GB2312" w:eastAsia="仿宋_GB2312" w:cs="仿宋_GB2312"/>
          <w:color w:val="auto"/>
          <w:kern w:val="0"/>
          <w:sz w:val="32"/>
          <w:szCs w:val="32"/>
          <w:highlight w:val="none"/>
          <w:lang w:eastAsia="zh-CN" w:bidi="en-US"/>
        </w:rPr>
        <w:t>万元，实际支出</w:t>
      </w:r>
      <w:r>
        <w:rPr>
          <w:rFonts w:hint="eastAsia" w:ascii="仿宋_GB2312" w:hAnsi="仿宋_GB2312" w:eastAsia="仿宋_GB2312" w:cs="仿宋_GB2312"/>
          <w:color w:val="auto"/>
          <w:kern w:val="0"/>
          <w:sz w:val="32"/>
          <w:szCs w:val="32"/>
          <w:highlight w:val="none"/>
          <w:lang w:val="en-US" w:eastAsia="zh-CN" w:bidi="en-US"/>
        </w:rPr>
        <w:t>308.84</w:t>
      </w:r>
      <w:r>
        <w:rPr>
          <w:rFonts w:hint="eastAsia" w:ascii="仿宋_GB2312" w:hAnsi="仿宋_GB2312" w:eastAsia="仿宋_GB2312" w:cs="仿宋_GB2312"/>
          <w:color w:val="auto"/>
          <w:kern w:val="0"/>
          <w:sz w:val="32"/>
          <w:szCs w:val="32"/>
          <w:highlight w:val="none"/>
          <w:lang w:eastAsia="zh-CN" w:bidi="en-US"/>
        </w:rPr>
        <w:t>万元，预算执行率为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sz w:val="32"/>
          <w:szCs w:val="32"/>
          <w:highlight w:val="none"/>
          <w:lang w:val="en-US" w:eastAsia="zh-CN"/>
        </w:rPr>
        <w:t>本项目能够严格按照《项目实施方案》执行，项目执行情况较好。本项目绩效评价工作，有乡镇主要领导亲自挂帅，分管县领导具体负责，从项目到资金，均能后很好的执行。我单位及时向县领导汇报项目建设进度，加强与施工单位的沟通，确保项目按期完工。</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3.项目资金管理情况分析。</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本项目支出符合《喀什地区财政巩固拓展脱贫攻坚成果同乡村振兴有效衔接资金管理办法（试行）》</w:t>
      </w:r>
      <w:bookmarkStart w:id="7" w:name="_GoBack"/>
      <w:bookmarkEnd w:id="7"/>
      <w:r>
        <w:rPr>
          <w:rFonts w:hint="eastAsia" w:ascii="仿宋_GB2312" w:hAnsi="仿宋_GB2312" w:eastAsia="仿宋_GB2312" w:cs="仿宋_GB2312"/>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1.产出指标完成情况分析。</w:t>
      </w:r>
    </w:p>
    <w:p>
      <w:pPr>
        <w:pageBreakBefore w:val="0"/>
        <w:widowControl w:val="0"/>
        <w:numPr>
          <w:ilvl w:val="0"/>
          <w:numId w:val="1"/>
        </w:numPr>
        <w:kinsoku/>
        <w:wordWrap/>
        <w:topLinePunct w:val="0"/>
        <w:autoSpaceDE/>
        <w:autoSpaceDN/>
        <w:bidi w:val="0"/>
        <w:snapToGrid/>
        <w:spacing w:line="560" w:lineRule="exact"/>
        <w:ind w:left="-363" w:leftChars="0" w:firstLine="643" w:firstLine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对于“产出数量”</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渗渠建设公里数5.公里</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color w:val="auto"/>
          <w:kern w:val="2"/>
          <w:sz w:val="32"/>
          <w:szCs w:val="32"/>
          <w:highlight w:val="none"/>
          <w:lang w:val="en-US" w:eastAsia="zh-CN" w:bidi="ar"/>
        </w:rPr>
        <w:t>指标标杆分值为8.3分，根据评分标准，该指标不扣分。得8.3分。</w:t>
      </w:r>
    </w:p>
    <w:p>
      <w:pPr>
        <w:pageBreakBefore w:val="0"/>
        <w:widowControl w:val="0"/>
        <w:numPr>
          <w:ilvl w:val="0"/>
          <w:numId w:val="1"/>
        </w:numPr>
        <w:kinsoku/>
        <w:wordWrap/>
        <w:topLinePunct w:val="0"/>
        <w:autoSpaceDE/>
        <w:autoSpaceDN/>
        <w:bidi w:val="0"/>
        <w:snapToGrid/>
        <w:spacing w:line="560" w:lineRule="exact"/>
        <w:ind w:left="-363" w:leftChars="0" w:firstLine="643" w:firstLine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对于“产出质量”：</w:t>
      </w:r>
    </w:p>
    <w:p>
      <w:pPr>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工程验收合格率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color w:val="auto"/>
          <w:kern w:val="2"/>
          <w:sz w:val="32"/>
          <w:szCs w:val="32"/>
          <w:highlight w:val="none"/>
          <w:lang w:val="en-US" w:eastAsia="zh-CN" w:bidi="ar"/>
        </w:rPr>
        <w:t>指标标杆分值为8.3分，根据评分标准，该指标不扣分。得8.3分。</w:t>
      </w:r>
    </w:p>
    <w:p>
      <w:pPr>
        <w:pStyle w:val="8"/>
        <w:pageBreakBefore w:val="0"/>
        <w:widowControl w:val="0"/>
        <w:numPr>
          <w:ilvl w:val="0"/>
          <w:numId w:val="1"/>
        </w:numPr>
        <w:kinsoku/>
        <w:wordWrap/>
        <w:topLinePunct w:val="0"/>
        <w:autoSpaceDE/>
        <w:autoSpaceDN/>
        <w:bidi w:val="0"/>
        <w:snapToGrid/>
        <w:spacing w:before="0" w:after="0" w:line="560" w:lineRule="exact"/>
        <w:ind w:left="-363" w:leftChars="0" w:firstLine="643" w:firstLineChars="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对于“产出时效”：</w:t>
      </w:r>
    </w:p>
    <w:p>
      <w:pPr>
        <w:pStyle w:val="8"/>
        <w:pageBreakBefore w:val="0"/>
        <w:widowControl w:val="0"/>
        <w:kinsoku/>
        <w:wordWrap/>
        <w:topLinePunct w:val="0"/>
        <w:autoSpaceDE/>
        <w:autoSpaceDN/>
        <w:bidi w:val="0"/>
        <w:snapToGrid/>
        <w:spacing w:before="0" w:after="0" w:line="560" w:lineRule="exact"/>
        <w:ind w:firstLine="640"/>
        <w:jc w:val="both"/>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bidi="ar-SA"/>
        </w:rPr>
        <w:t>项目工程完工及时率100%。</w:t>
      </w:r>
      <w:r>
        <w:rPr>
          <w:rFonts w:hint="eastAsia" w:ascii="仿宋_GB2312" w:hAnsi="仿宋_GB2312" w:eastAsia="仿宋_GB2312" w:cs="仿宋_GB2312"/>
          <w:b w:val="0"/>
          <w:bCs/>
          <w:color w:val="auto"/>
          <w:sz w:val="32"/>
          <w:szCs w:val="32"/>
          <w:highlight w:val="none"/>
        </w:rPr>
        <w:t>与预期目标一致，</w:t>
      </w:r>
      <w:r>
        <w:rPr>
          <w:rFonts w:hint="eastAsia" w:ascii="仿宋_GB2312" w:hAnsi="仿宋_GB2312" w:eastAsia="仿宋_GB2312" w:cs="仿宋_GB2312"/>
          <w:b w:val="0"/>
          <w:color w:val="auto"/>
          <w:kern w:val="2"/>
          <w:sz w:val="32"/>
          <w:szCs w:val="32"/>
          <w:highlight w:val="none"/>
          <w:lang w:val="en-US" w:eastAsia="zh-CN" w:bidi="ar"/>
        </w:rPr>
        <w:t>指标标杆分值为8.3分，根据评分标准，该指标不扣分。得8.3分。</w:t>
      </w:r>
      <w:r>
        <w:rPr>
          <w:rFonts w:hint="eastAsia" w:ascii="仿宋_GB2312" w:hAnsi="仿宋_GB2312" w:eastAsia="仿宋_GB2312" w:cs="仿宋_GB2312"/>
          <w:b w:val="0"/>
          <w:bCs/>
          <w:color w:val="auto"/>
          <w:kern w:val="0"/>
          <w:sz w:val="32"/>
          <w:szCs w:val="32"/>
          <w:highlight w:val="none"/>
          <w:lang w:val="en-US" w:eastAsia="zh-CN" w:bidi="ar-SA"/>
        </w:rPr>
        <w:t>项目开工时间2022年3月。</w:t>
      </w:r>
      <w:r>
        <w:rPr>
          <w:rFonts w:hint="eastAsia" w:ascii="仿宋_GB2312" w:hAnsi="仿宋_GB2312" w:eastAsia="仿宋_GB2312" w:cs="仿宋_GB2312"/>
          <w:b w:val="0"/>
          <w:bCs/>
          <w:color w:val="auto"/>
          <w:sz w:val="32"/>
          <w:szCs w:val="32"/>
          <w:highlight w:val="none"/>
        </w:rPr>
        <w:t>与</w:t>
      </w:r>
      <w:r>
        <w:rPr>
          <w:rFonts w:hint="eastAsia" w:ascii="仿宋_GB2312" w:hAnsi="仿宋_GB2312" w:eastAsia="仿宋_GB2312" w:cs="仿宋_GB2312"/>
          <w:b w:val="0"/>
          <w:color w:val="auto"/>
          <w:sz w:val="32"/>
          <w:szCs w:val="32"/>
          <w:highlight w:val="none"/>
        </w:rPr>
        <w:t>预期目标指标一</w:t>
      </w:r>
      <w:r>
        <w:rPr>
          <w:rFonts w:hint="eastAsia" w:ascii="仿宋_GB2312" w:hAnsi="仿宋_GB2312" w:eastAsia="仿宋_GB2312" w:cs="仿宋_GB2312"/>
          <w:b w:val="0"/>
          <w:bCs/>
          <w:color w:val="auto"/>
          <w:sz w:val="32"/>
          <w:szCs w:val="32"/>
          <w:highlight w:val="none"/>
        </w:rPr>
        <w:t>致</w:t>
      </w:r>
      <w:r>
        <w:rPr>
          <w:rFonts w:hint="eastAsia" w:ascii="仿宋_GB2312" w:hAnsi="仿宋_GB2312" w:eastAsia="仿宋_GB2312" w:cs="仿宋_GB2312"/>
          <w:b w:val="0"/>
          <w:color w:val="auto"/>
          <w:sz w:val="32"/>
          <w:szCs w:val="32"/>
          <w:highlight w:val="none"/>
        </w:rPr>
        <w:t>，</w:t>
      </w:r>
      <w:r>
        <w:rPr>
          <w:rFonts w:hint="eastAsia" w:ascii="仿宋_GB2312" w:hAnsi="仿宋_GB2312" w:eastAsia="仿宋_GB2312" w:cs="仿宋_GB2312"/>
          <w:b w:val="0"/>
          <w:bCs/>
          <w:color w:val="auto"/>
          <w:kern w:val="2"/>
          <w:sz w:val="32"/>
          <w:szCs w:val="32"/>
          <w:highlight w:val="none"/>
          <w:lang w:val="en-US" w:eastAsia="zh-CN" w:bidi="ar"/>
        </w:rPr>
        <w:t>指标标杆分值为8.3分，根据评分标准，该指标不扣分。得8.3分。</w:t>
      </w:r>
      <w:r>
        <w:rPr>
          <w:rFonts w:hint="eastAsia" w:ascii="仿宋_GB2312" w:hAnsi="仿宋_GB2312" w:eastAsia="仿宋_GB2312" w:cs="仿宋_GB2312"/>
          <w:b w:val="0"/>
          <w:bCs/>
          <w:color w:val="auto"/>
          <w:kern w:val="0"/>
          <w:sz w:val="32"/>
          <w:szCs w:val="32"/>
          <w:highlight w:val="none"/>
          <w:lang w:val="en-US" w:eastAsia="zh-CN" w:bidi="ar-SA"/>
        </w:rPr>
        <w:t>项目完工时间2022年12。</w:t>
      </w:r>
      <w:r>
        <w:rPr>
          <w:rFonts w:hint="eastAsia" w:ascii="仿宋_GB2312" w:hAnsi="仿宋_GB2312" w:eastAsia="仿宋_GB2312" w:cs="仿宋_GB2312"/>
          <w:b w:val="0"/>
          <w:bCs/>
          <w:color w:val="auto"/>
          <w:sz w:val="32"/>
          <w:szCs w:val="32"/>
          <w:highlight w:val="none"/>
        </w:rPr>
        <w:t>与</w:t>
      </w:r>
      <w:r>
        <w:rPr>
          <w:rFonts w:hint="eastAsia" w:ascii="仿宋_GB2312" w:hAnsi="仿宋_GB2312" w:eastAsia="仿宋_GB2312" w:cs="仿宋_GB2312"/>
          <w:b w:val="0"/>
          <w:color w:val="auto"/>
          <w:sz w:val="32"/>
          <w:szCs w:val="32"/>
          <w:highlight w:val="none"/>
        </w:rPr>
        <w:t>预期目标指标一</w:t>
      </w:r>
      <w:r>
        <w:rPr>
          <w:rFonts w:hint="eastAsia" w:ascii="仿宋_GB2312" w:hAnsi="仿宋_GB2312" w:eastAsia="仿宋_GB2312" w:cs="仿宋_GB2312"/>
          <w:b w:val="0"/>
          <w:bCs/>
          <w:color w:val="auto"/>
          <w:sz w:val="32"/>
          <w:szCs w:val="32"/>
          <w:highlight w:val="none"/>
        </w:rPr>
        <w:t>致</w:t>
      </w:r>
      <w:r>
        <w:rPr>
          <w:rFonts w:hint="eastAsia" w:ascii="仿宋_GB2312" w:hAnsi="仿宋_GB2312" w:eastAsia="仿宋_GB2312" w:cs="仿宋_GB2312"/>
          <w:b w:val="0"/>
          <w:color w:val="auto"/>
          <w:sz w:val="32"/>
          <w:szCs w:val="32"/>
          <w:highlight w:val="none"/>
        </w:rPr>
        <w:t>，</w:t>
      </w:r>
      <w:r>
        <w:rPr>
          <w:rFonts w:hint="eastAsia" w:ascii="仿宋_GB2312" w:hAnsi="仿宋_GB2312" w:eastAsia="仿宋_GB2312" w:cs="仿宋_GB2312"/>
          <w:b w:val="0"/>
          <w:bCs/>
          <w:color w:val="auto"/>
          <w:kern w:val="2"/>
          <w:sz w:val="32"/>
          <w:szCs w:val="32"/>
          <w:highlight w:val="none"/>
          <w:lang w:val="en-US" w:eastAsia="zh-CN" w:bidi="ar"/>
        </w:rPr>
        <w:t>指标标杆分值为8.3分，根据评分标准，该指标不扣分。得8.3分。</w:t>
      </w:r>
    </w:p>
    <w:p>
      <w:pPr>
        <w:pageBreakBefore w:val="0"/>
        <w:widowControl w:val="0"/>
        <w:kinsoku/>
        <w:wordWrap/>
        <w:topLinePunct w:val="0"/>
        <w:autoSpaceDE/>
        <w:autoSpaceDN/>
        <w:bidi w:val="0"/>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（4）对于“产出成本”：</w:t>
      </w:r>
    </w:p>
    <w:p>
      <w:pPr>
        <w:pStyle w:val="8"/>
        <w:pageBreakBefore w:val="0"/>
        <w:widowControl w:val="0"/>
        <w:kinsoku/>
        <w:wordWrap/>
        <w:topLinePunct w:val="0"/>
        <w:autoSpaceDE/>
        <w:autoSpaceDN/>
        <w:bidi w:val="0"/>
        <w:snapToGrid/>
        <w:spacing w:before="0" w:after="0" w:line="560" w:lineRule="exact"/>
        <w:ind w:firstLine="640"/>
        <w:jc w:val="both"/>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bidi="ar-SA"/>
        </w:rPr>
        <w:t>防渗渠每公里建设成本56.09万。</w:t>
      </w:r>
      <w:r>
        <w:rPr>
          <w:rFonts w:hint="eastAsia" w:ascii="仿宋_GB2312" w:hAnsi="仿宋_GB2312" w:eastAsia="仿宋_GB2312" w:cs="仿宋_GB2312"/>
          <w:b w:val="0"/>
          <w:bCs/>
          <w:color w:val="auto"/>
          <w:sz w:val="32"/>
          <w:szCs w:val="32"/>
          <w:highlight w:val="none"/>
        </w:rPr>
        <w:t>项目经费都能控制绩效目标范围内，</w:t>
      </w:r>
      <w:r>
        <w:rPr>
          <w:rFonts w:hint="eastAsia" w:ascii="仿宋_GB2312" w:hAnsi="仿宋_GB2312" w:eastAsia="仿宋_GB2312" w:cs="仿宋_GB2312"/>
          <w:b w:val="0"/>
          <w:bCs/>
          <w:color w:val="auto"/>
          <w:kern w:val="2"/>
          <w:sz w:val="32"/>
          <w:szCs w:val="32"/>
          <w:highlight w:val="none"/>
          <w:lang w:val="en-US" w:eastAsia="zh-CN" w:bidi="ar"/>
        </w:rPr>
        <w:t>指标标杆分值为8.5分，根据评分标准，该指标不扣分。得8.5分。</w:t>
      </w:r>
    </w:p>
    <w:p>
      <w:pPr>
        <w:keepNext w:val="0"/>
        <w:keepLines w:val="0"/>
        <w:pageBreakBefore w:val="0"/>
        <w:widowControl w:val="0"/>
        <w:suppressLineNumbers w:val="0"/>
        <w:kinsoku/>
        <w:wordWrap w:val="0"/>
        <w:overflowPunct/>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2.效益指标完成情况分析。</w:t>
      </w:r>
    </w:p>
    <w:p>
      <w:pPr>
        <w:pageBreakBefore w:val="0"/>
        <w:widowControl w:val="0"/>
        <w:kinsoku/>
        <w:wordWrap/>
        <w:overflowPunct w:val="0"/>
        <w:topLinePunct w:val="0"/>
        <w:autoSpaceDE/>
        <w:autoSpaceDN/>
        <w:bidi w:val="0"/>
        <w:snapToGrid/>
        <w:spacing w:line="560" w:lineRule="exact"/>
        <w:ind w:firstLine="643"/>
        <w:contextualSpacing/>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实施效益指标：</w:t>
      </w:r>
    </w:p>
    <w:p>
      <w:pPr>
        <w:pageBreakBefore w:val="0"/>
        <w:widowControl w:val="0"/>
        <w:kinsoku/>
        <w:wordWrap/>
        <w:topLinePunct w:val="0"/>
        <w:autoSpaceDE/>
        <w:autoSpaceDN/>
        <w:bidi w:val="0"/>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对于“社会效益指标”：</w:t>
      </w:r>
    </w:p>
    <w:p>
      <w:pPr>
        <w:pStyle w:val="8"/>
        <w:pageBreakBefore w:val="0"/>
        <w:widowControl w:val="0"/>
        <w:kinsoku/>
        <w:wordWrap/>
        <w:topLinePunct w:val="0"/>
        <w:autoSpaceDE/>
        <w:autoSpaceDN/>
        <w:bidi w:val="0"/>
        <w:snapToGrid/>
        <w:spacing w:before="0" w:after="0" w:line="560" w:lineRule="exact"/>
        <w:ind w:firstLine="640"/>
        <w:jc w:val="both"/>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带动脱贫户和边缘易致贫户人数106人。</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b w:val="0"/>
          <w:bCs/>
          <w:color w:val="auto"/>
          <w:kern w:val="2"/>
          <w:sz w:val="32"/>
          <w:szCs w:val="32"/>
          <w:highlight w:val="none"/>
          <w:lang w:val="en-US" w:eastAsia="zh-CN" w:bidi="ar"/>
        </w:rPr>
        <w:t>指标标杆分值为7.5分，根据评分标准，该指标不扣分。得7.5分。</w:t>
      </w:r>
    </w:p>
    <w:p>
      <w:pPr>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有效提升提高项目区农村基础设施条件，</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b w:val="0"/>
          <w:bCs/>
          <w:color w:val="auto"/>
          <w:kern w:val="2"/>
          <w:sz w:val="32"/>
          <w:szCs w:val="32"/>
          <w:highlight w:val="none"/>
          <w:lang w:val="en-US" w:eastAsia="zh-CN" w:bidi="ar"/>
        </w:rPr>
        <w:t>指标标杆分值为7.5分，根据评分标准，该指标不扣分。得7.5分。</w:t>
      </w:r>
    </w:p>
    <w:p>
      <w:pPr>
        <w:pStyle w:val="2"/>
        <w:pageBreakBefore w:val="0"/>
        <w:widowControl w:val="0"/>
        <w:numPr>
          <w:ilvl w:val="0"/>
          <w:numId w:val="2"/>
        </w:numPr>
        <w:kinsoku/>
        <w:wordWrap/>
        <w:topLinePunct w:val="0"/>
        <w:autoSpaceDE/>
        <w:autoSpaceDN/>
        <w:bidi w:val="0"/>
        <w:snapToGrid/>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对于“</w:t>
      </w: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rPr>
        <w:t>效益指标”</w:t>
      </w:r>
    </w:p>
    <w:p>
      <w:pPr>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带动增加脱贫巩固户全年总收入53万，</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b w:val="0"/>
          <w:bCs/>
          <w:color w:val="auto"/>
          <w:kern w:val="2"/>
          <w:sz w:val="32"/>
          <w:szCs w:val="32"/>
          <w:highlight w:val="none"/>
          <w:lang w:val="en-US" w:eastAsia="zh-CN" w:bidi="ar"/>
        </w:rPr>
        <w:t>指标标杆分值为7.5分，根据评分标准，该指标不扣分。得7.5分。</w:t>
      </w:r>
    </w:p>
    <w:p>
      <w:pPr>
        <w:pStyle w:val="2"/>
        <w:pageBreakBefore w:val="0"/>
        <w:widowControl w:val="0"/>
        <w:kinsoku/>
        <w:wordWrap/>
        <w:topLinePunct w:val="0"/>
        <w:autoSpaceDE/>
        <w:autoSpaceDN/>
        <w:bidi w:val="0"/>
        <w:snapToGrid/>
        <w:spacing w:line="560" w:lineRule="exac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对于“生态效益指标”：</w:t>
      </w:r>
    </w:p>
    <w:p>
      <w:pPr>
        <w:pageBreakBefore w:val="0"/>
        <w:widowControl w:val="0"/>
        <w:numPr>
          <w:ilvl w:val="0"/>
          <w:numId w:val="0"/>
        </w:numPr>
        <w:kinsoku/>
        <w:wordWrap/>
        <w:topLinePunct w:val="0"/>
        <w:autoSpaceDE/>
        <w:autoSpaceDN/>
        <w:bidi w:val="0"/>
        <w:snapToGrid/>
        <w:spacing w:line="560" w:lineRule="exact"/>
        <w:ind w:left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该项目无生态环境效益指标</w:t>
      </w:r>
    </w:p>
    <w:p>
      <w:pPr>
        <w:pageBreakBefore w:val="0"/>
        <w:widowControl w:val="0"/>
        <w:numPr>
          <w:ilvl w:val="0"/>
          <w:numId w:val="0"/>
        </w:numPr>
        <w:kinsoku/>
        <w:wordWrap/>
        <w:topLinePunct w:val="0"/>
        <w:autoSpaceDE/>
        <w:autoSpaceDN/>
        <w:bidi w:val="0"/>
        <w:snapToGrid/>
        <w:spacing w:line="560" w:lineRule="exact"/>
        <w:ind w:left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4</w:t>
      </w:r>
      <w:r>
        <w:rPr>
          <w:rFonts w:hint="eastAsia" w:ascii="仿宋_GB2312" w:hAnsi="仿宋_GB2312" w:eastAsia="仿宋_GB2312" w:cs="仿宋_GB2312"/>
          <w:b/>
          <w:bCs/>
          <w:color w:val="auto"/>
          <w:sz w:val="32"/>
          <w:szCs w:val="32"/>
          <w:highlight w:val="none"/>
          <w:lang w:eastAsia="zh-CN"/>
        </w:rPr>
        <w:t>）对于“可持续影响指标”：</w:t>
      </w:r>
    </w:p>
    <w:p>
      <w:pPr>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项目工程设计使用年限20年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b w:val="0"/>
          <w:bCs/>
          <w:color w:val="auto"/>
          <w:kern w:val="2"/>
          <w:sz w:val="32"/>
          <w:szCs w:val="32"/>
          <w:highlight w:val="none"/>
          <w:lang w:val="en-US" w:eastAsia="zh-CN" w:bidi="ar"/>
        </w:rPr>
        <w:t>指标标杆分值为7.5分，根据评分标准，该指标不扣分。得7.5分。</w:t>
      </w:r>
    </w:p>
    <w:p>
      <w:pPr>
        <w:pageBreakBefore w:val="0"/>
        <w:widowControl w:val="0"/>
        <w:kinsoku/>
        <w:wordWrap/>
        <w:overflowPunct w:val="0"/>
        <w:topLinePunct w:val="0"/>
        <w:autoSpaceDE/>
        <w:autoSpaceDN/>
        <w:bidi w:val="0"/>
        <w:snapToGrid/>
        <w:spacing w:line="560" w:lineRule="exact"/>
        <w:ind w:firstLine="643"/>
        <w:contextualSpacing/>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2.满意度指标:</w:t>
      </w:r>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b w:val="0"/>
          <w:bCs/>
          <w:color w:val="auto"/>
          <w:kern w:val="2"/>
          <w:sz w:val="32"/>
          <w:szCs w:val="32"/>
          <w:highlight w:val="none"/>
          <w:lang w:val="en-US" w:eastAsia="zh-CN" w:bidi="ar"/>
        </w:rPr>
      </w:pPr>
      <w:r>
        <w:rPr>
          <w:rFonts w:hint="eastAsia" w:ascii="仿宋_GB2312" w:hAnsi="仿宋_GB2312" w:eastAsia="仿宋_GB2312" w:cs="仿宋_GB2312"/>
          <w:color w:val="auto"/>
          <w:kern w:val="0"/>
          <w:sz w:val="32"/>
          <w:szCs w:val="32"/>
          <w:highlight w:val="none"/>
          <w:lang w:val="en-US" w:eastAsia="zh-CN" w:bidi="ar-SA"/>
        </w:rPr>
        <w:t>受益村集体满意度95%，</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b w:val="0"/>
          <w:bCs/>
          <w:color w:val="auto"/>
          <w:kern w:val="2"/>
          <w:sz w:val="32"/>
          <w:szCs w:val="32"/>
          <w:highlight w:val="none"/>
          <w:lang w:val="en-US" w:eastAsia="zh-CN" w:bidi="ar"/>
        </w:rPr>
        <w:t>指标标杆分值为5分，根据评分标准，该指标不扣分。得5分。</w:t>
      </w:r>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受益巩固脱贫人员满意度95%，</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b w:val="0"/>
          <w:bCs/>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四、偏离绩效目标的原因和下一步改进措施</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eastAsia="zh-CN" w:bidi="en-US"/>
        </w:rPr>
        <w:t>依提木孔镇27村农业灌溉引水渠建设项目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kern w:val="0"/>
          <w:sz w:val="32"/>
          <w:szCs w:val="32"/>
          <w:highlight w:val="none"/>
          <w:lang w:val="en-US" w:eastAsia="zh-CN" w:bidi="ar-SA"/>
        </w:rPr>
        <w:t>308.84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kern w:val="0"/>
          <w:sz w:val="32"/>
          <w:szCs w:val="32"/>
          <w:highlight w:val="none"/>
          <w:lang w:val="en-US" w:eastAsia="zh-CN" w:bidi="ar-SA"/>
        </w:rPr>
        <w:t>308.84</w:t>
      </w:r>
      <w:r>
        <w:rPr>
          <w:rFonts w:hint="eastAsia" w:ascii="仿宋_GB2312" w:hAnsi="仿宋_GB2312" w:eastAsia="仿宋_GB2312" w:cs="仿宋_GB2312"/>
          <w:color w:val="auto"/>
          <w:kern w:val="0"/>
          <w:sz w:val="32"/>
          <w:szCs w:val="32"/>
          <w:highlight w:val="none"/>
          <w:lang w:eastAsia="zh-CN" w:bidi="en-US"/>
        </w:rPr>
        <w:t>万元，实际支出</w:t>
      </w:r>
      <w:r>
        <w:rPr>
          <w:rFonts w:hint="eastAsia" w:ascii="仿宋_GB2312" w:hAnsi="仿宋_GB2312" w:eastAsia="仿宋_GB2312" w:cs="仿宋_GB2312"/>
          <w:color w:val="auto"/>
          <w:kern w:val="0"/>
          <w:sz w:val="32"/>
          <w:szCs w:val="32"/>
          <w:highlight w:val="none"/>
          <w:lang w:val="en-US" w:eastAsia="zh-CN" w:bidi="en-US"/>
        </w:rPr>
        <w:t>308.84</w:t>
      </w:r>
      <w:r>
        <w:rPr>
          <w:rFonts w:hint="eastAsia" w:ascii="仿宋_GB2312" w:hAnsi="仿宋_GB2312" w:eastAsia="仿宋_GB2312" w:cs="仿宋_GB2312"/>
          <w:color w:val="auto"/>
          <w:kern w:val="0"/>
          <w:sz w:val="32"/>
          <w:szCs w:val="32"/>
          <w:highlight w:val="none"/>
          <w:lang w:eastAsia="zh-CN" w:bidi="en-US"/>
        </w:rPr>
        <w:t>万元，预算执行率为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%，项目绩效指标总体完成率为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kern w:val="0"/>
          <w:sz w:val="32"/>
          <w:szCs w:val="32"/>
          <w:highlight w:val="none"/>
          <w:lang w:val="en-US" w:eastAsia="zh-CN" w:bidi="en-US"/>
        </w:rPr>
        <w:t>无</w:t>
      </w:r>
      <w:r>
        <w:rPr>
          <w:rFonts w:hint="eastAsia" w:ascii="仿宋_GB2312" w:hAnsi="仿宋_GB2312" w:eastAsia="仿宋_GB2312" w:cs="仿宋_GB2312"/>
          <w:color w:val="auto"/>
          <w:kern w:val="0"/>
          <w:sz w:val="32"/>
          <w:szCs w:val="32"/>
          <w:highlight w:val="none"/>
          <w:lang w:eastAsia="zh-CN" w:bidi="en-US"/>
        </w:rPr>
        <w:t>偏差。</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五、综合评价结论</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bidi="en-US"/>
        </w:rPr>
        <w:t>依提木孔镇27村农业灌溉引水渠建设项目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kern w:val="0"/>
          <w:sz w:val="32"/>
          <w:szCs w:val="32"/>
          <w:highlight w:val="none"/>
          <w:lang w:val="en-US" w:eastAsia="zh-CN" w:bidi="ar-SA"/>
        </w:rPr>
        <w:t>308.84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kern w:val="0"/>
          <w:sz w:val="32"/>
          <w:szCs w:val="32"/>
          <w:highlight w:val="none"/>
          <w:lang w:val="en-US" w:eastAsia="zh-CN" w:bidi="ar-SA"/>
        </w:rPr>
        <w:t>308.84</w:t>
      </w:r>
      <w:r>
        <w:rPr>
          <w:rFonts w:hint="eastAsia" w:ascii="仿宋_GB2312" w:hAnsi="仿宋_GB2312" w:eastAsia="仿宋_GB2312" w:cs="仿宋_GB2312"/>
          <w:color w:val="auto"/>
          <w:kern w:val="0"/>
          <w:sz w:val="32"/>
          <w:szCs w:val="32"/>
          <w:highlight w:val="none"/>
          <w:lang w:eastAsia="zh-CN" w:bidi="en-US"/>
        </w:rPr>
        <w:t>万元，实际支出</w:t>
      </w:r>
      <w:r>
        <w:rPr>
          <w:rFonts w:hint="eastAsia" w:ascii="仿宋_GB2312" w:hAnsi="仿宋_GB2312" w:eastAsia="仿宋_GB2312" w:cs="仿宋_GB2312"/>
          <w:color w:val="auto"/>
          <w:kern w:val="0"/>
          <w:sz w:val="32"/>
          <w:szCs w:val="32"/>
          <w:highlight w:val="none"/>
          <w:lang w:val="en-US" w:eastAsia="zh-CN" w:bidi="en-US"/>
        </w:rPr>
        <w:t>308.84</w:t>
      </w:r>
      <w:r>
        <w:rPr>
          <w:rFonts w:hint="eastAsia" w:ascii="仿宋_GB2312" w:hAnsi="仿宋_GB2312" w:eastAsia="仿宋_GB2312" w:cs="仿宋_GB2312"/>
          <w:color w:val="auto"/>
          <w:kern w:val="0"/>
          <w:sz w:val="32"/>
          <w:szCs w:val="32"/>
          <w:highlight w:val="none"/>
          <w:lang w:eastAsia="zh-CN" w:bidi="en-US"/>
        </w:rPr>
        <w:t>万元，预算执行率为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sz w:val="32"/>
          <w:szCs w:val="32"/>
          <w:highlight w:val="none"/>
          <w:lang w:val="en-US" w:eastAsia="zh-CN"/>
        </w:rPr>
        <w:t>项目执行</w:t>
      </w:r>
      <w:r>
        <w:rPr>
          <w:rFonts w:hint="eastAsia" w:ascii="仿宋_GB2312" w:hAnsi="仿宋_GB2312" w:eastAsia="仿宋_GB2312" w:cs="仿宋_GB2312"/>
          <w:color w:val="auto"/>
          <w:kern w:val="2"/>
          <w:sz w:val="32"/>
          <w:szCs w:val="32"/>
          <w:highlight w:val="none"/>
          <w:lang w:val="en-US" w:eastAsia="zh-CN" w:bidi="ar"/>
        </w:rPr>
        <w:t>指标标杆分值为10分，根据评分标准，该指标不扣分。得10分。</w:t>
      </w:r>
    </w:p>
    <w:p>
      <w:pPr>
        <w:pStyle w:val="5"/>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该项目最终评分100分，绩效评级为“优”。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六、</w:t>
      </w:r>
      <w:r>
        <w:rPr>
          <w:rFonts w:hint="eastAsia" w:ascii="仿宋_GB2312" w:hAnsi="仿宋_GB2312" w:eastAsia="仿宋_GB2312" w:cs="仿宋_GB2312"/>
          <w:b/>
          <w:color w:val="auto"/>
          <w:sz w:val="32"/>
          <w:szCs w:val="32"/>
          <w:highlight w:val="none"/>
        </w:rPr>
        <w:t>绩效自评结果拟应用和公开情况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（一）对衔接推进乡村振兴补助资金项目、绩效公告公示情况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（二）对绩效自评结果拟应用情况进行说明</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（三）对二级指标权重(分值)分配情况进行说明，赋权的方法或者原则</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p>
    <w:p>
      <w:pPr>
        <w:pStyle w:val="4"/>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rPr>
          <w:rFonts w:hint="eastAsia" w:ascii="仿宋_GB2312" w:hAnsi="仿宋_GB2312" w:eastAsia="仿宋_GB2312" w:cs="仿宋_GB2312"/>
          <w:color w:val="auto"/>
          <w:sz w:val="32"/>
          <w:szCs w:val="32"/>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pPr>
        <w:ind w:left="-363"/>
      </w:pPr>
    </w:lvl>
  </w:abstractNum>
  <w:abstractNum w:abstractNumId="1">
    <w:nsid w:val="F745D7A2"/>
    <w:multiLevelType w:val="singleLevel"/>
    <w:tmpl w:val="F745D7A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A26"/>
    <w:rsid w:val="003E0379"/>
    <w:rsid w:val="0055176E"/>
    <w:rsid w:val="00F20A26"/>
    <w:rsid w:val="04997DBE"/>
    <w:rsid w:val="059A592B"/>
    <w:rsid w:val="0A761636"/>
    <w:rsid w:val="0C033D1A"/>
    <w:rsid w:val="0FD84CB5"/>
    <w:rsid w:val="13337EFC"/>
    <w:rsid w:val="1821470E"/>
    <w:rsid w:val="187A025D"/>
    <w:rsid w:val="1937751C"/>
    <w:rsid w:val="1ABF7AF2"/>
    <w:rsid w:val="1E4E2C6C"/>
    <w:rsid w:val="1E5D6B5C"/>
    <w:rsid w:val="1EE92567"/>
    <w:rsid w:val="208A2654"/>
    <w:rsid w:val="23FC081B"/>
    <w:rsid w:val="258E09AB"/>
    <w:rsid w:val="275E1E77"/>
    <w:rsid w:val="2BDE14CF"/>
    <w:rsid w:val="2E51749D"/>
    <w:rsid w:val="30A66A13"/>
    <w:rsid w:val="31AE0AA6"/>
    <w:rsid w:val="405E6C33"/>
    <w:rsid w:val="41871287"/>
    <w:rsid w:val="42C508A7"/>
    <w:rsid w:val="47096FDD"/>
    <w:rsid w:val="4EFD730D"/>
    <w:rsid w:val="5B7E6D47"/>
    <w:rsid w:val="630A2819"/>
    <w:rsid w:val="66A55136"/>
    <w:rsid w:val="682E0E4F"/>
    <w:rsid w:val="6D3F3949"/>
    <w:rsid w:val="72CE0967"/>
    <w:rsid w:val="755A7568"/>
    <w:rsid w:val="76270182"/>
    <w:rsid w:val="76954A77"/>
    <w:rsid w:val="7E3D5B7E"/>
    <w:rsid w:val="7E984E50"/>
    <w:rsid w:val="DE7FD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8">
    <w:name w:val="Body Text"/>
    <w:basedOn w:val="1"/>
    <w:qFormat/>
    <w:uiPriority w:val="0"/>
    <w:pPr>
      <w:spacing w:before="240" w:after="240" w:line="360" w:lineRule="auto"/>
      <w:jc w:val="center"/>
    </w:pPr>
    <w:rPr>
      <w:b/>
      <w:sz w:val="44"/>
    </w:rPr>
  </w:style>
  <w:style w:type="paragraph" w:styleId="9">
    <w:name w:val="Body Text Indent 2"/>
    <w:basedOn w:val="1"/>
    <w:qFormat/>
    <w:uiPriority w:val="0"/>
    <w:pPr>
      <w:ind w:firstLine="280"/>
    </w:pPr>
    <w:rPr>
      <w:rFonts w:ascii="仿宋_GB2312" w:hAnsi="仿宋_GB2312" w:eastAsia="仿宋_GB2312"/>
      <w:kern w:val="1"/>
      <w:sz w:val="28"/>
    </w:rPr>
  </w:style>
  <w:style w:type="paragraph" w:styleId="10">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4">
    <w:name w:val="Strong"/>
    <w:basedOn w:val="13"/>
    <w:qFormat/>
    <w:uiPriority w:val="0"/>
    <w:rPr>
      <w:b/>
      <w:bCs/>
    </w:rPr>
  </w:style>
  <w:style w:type="paragraph" w:customStyle="1" w:styleId="15">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闻政-正文二级标题"/>
    <w:basedOn w:val="6"/>
    <w:next w:val="16"/>
    <w:qFormat/>
    <w:uiPriority w:val="3"/>
    <w:pPr>
      <w:spacing w:before="120" w:after="60" w:line="500" w:lineRule="exact"/>
      <w:ind w:left="200" w:leftChars="200" w:firstLine="0" w:firstLineChars="0"/>
    </w:pPr>
    <w:rPr>
      <w:rFonts w:ascii="Times New Roman" w:hAnsi="Times New Roman"/>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0</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2025-02-13T10:58:15Z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