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tabs>
          <w:tab w:val="left" w:pos="1680"/>
        </w:tabs>
        <w:kinsoku/>
        <w:wordWrap/>
        <w:overflowPunct/>
        <w:topLinePunct w:val="0"/>
        <w:autoSpaceDE/>
        <w:autoSpaceDN/>
        <w:bidi w:val="0"/>
        <w:spacing w:before="120" w:after="120" w:line="560" w:lineRule="exact"/>
        <w:jc w:val="center"/>
        <w:textAlignment w:val="auto"/>
        <w:outlineLvl w:val="0"/>
        <w:rPr>
          <w:rFonts w:hint="eastAsia" w:ascii="黑体" w:hAnsi="黑体" w:eastAsia="黑体"/>
          <w:b/>
          <w:bCs/>
          <w:color w:val="auto"/>
          <w:sz w:val="36"/>
          <w:szCs w:val="36"/>
          <w:highlight w:val="none"/>
          <w:lang w:eastAsia="zh-CN"/>
        </w:rPr>
      </w:pPr>
      <w:r>
        <w:rPr>
          <w:rFonts w:hint="eastAsia" w:ascii="黑体" w:hAnsi="黑体" w:eastAsia="黑体"/>
          <w:b/>
          <w:bCs/>
          <w:color w:val="auto"/>
          <w:sz w:val="36"/>
          <w:szCs w:val="36"/>
          <w:highlight w:val="none"/>
          <w:lang w:eastAsia="zh-CN"/>
        </w:rPr>
        <w:t>叶城县依提木孔镇鸽子养殖专业合作社</w:t>
      </w:r>
      <w:r>
        <w:rPr>
          <w:rFonts w:hint="eastAsia" w:ascii="黑体" w:hAnsi="黑体" w:eastAsia="黑体"/>
          <w:b/>
          <w:bCs/>
          <w:color w:val="auto"/>
          <w:sz w:val="36"/>
          <w:szCs w:val="36"/>
          <w:highlight w:val="none"/>
          <w:lang w:val="en-US" w:eastAsia="zh-CN"/>
        </w:rPr>
        <w:t>项目</w:t>
      </w:r>
      <w:r>
        <w:rPr>
          <w:rFonts w:hint="eastAsia" w:ascii="黑体" w:hAnsi="黑体" w:eastAsia="黑体"/>
          <w:b/>
          <w:bCs/>
          <w:color w:val="auto"/>
          <w:sz w:val="36"/>
          <w:szCs w:val="36"/>
          <w:highlight w:val="none"/>
          <w:lang w:eastAsia="zh-CN"/>
        </w:rPr>
        <w:t>支出自评总结报告</w:t>
      </w:r>
    </w:p>
    <w:p>
      <w:pPr>
        <w:pageBreakBefore w:val="0"/>
        <w:widowControl w:val="0"/>
        <w:kinsoku/>
        <w:wordWrap/>
        <w:overflowPunct/>
        <w:topLinePunct w:val="0"/>
        <w:autoSpaceDE/>
        <w:autoSpaceDN/>
        <w:bidi w:val="0"/>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Style w:val="7"/>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overflowPunct/>
        <w:topLinePunct w:val="0"/>
        <w:autoSpaceDN/>
        <w:bidi w:val="0"/>
        <w:spacing w:line="560" w:lineRule="exact"/>
        <w:textAlignment w:val="auto"/>
        <w:rPr>
          <w:rFonts w:hint="eastAsia"/>
          <w:color w:val="auto"/>
          <w:highlight w:val="none"/>
        </w:rPr>
      </w:pPr>
    </w:p>
    <w:p>
      <w:pPr>
        <w:pStyle w:val="4"/>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Style w:val="4"/>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Style w:val="4"/>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ageBreakBefore w:val="0"/>
        <w:widowControl w:val="0"/>
        <w:kinsoku/>
        <w:wordWrap/>
        <w:overflowPunct/>
        <w:topLinePunct w:val="0"/>
        <w:autoSpaceDE/>
        <w:autoSpaceDN/>
        <w:bidi w:val="0"/>
        <w:spacing w:line="560" w:lineRule="exact"/>
        <w:textAlignment w:val="auto"/>
        <w:rPr>
          <w:rFonts w:hint="eastAsia"/>
          <w:color w:val="auto"/>
          <w:highlight w:val="none"/>
        </w:rPr>
      </w:pPr>
    </w:p>
    <w:p>
      <w:pPr>
        <w:pageBreakBefore w:val="0"/>
        <w:widowControl w:val="0"/>
        <w:kinsoku/>
        <w:wordWrap/>
        <w:overflowPunct/>
        <w:topLinePunct w:val="0"/>
        <w:autoSpaceDE/>
        <w:autoSpaceDN/>
        <w:bidi w:val="0"/>
        <w:spacing w:line="560" w:lineRule="exact"/>
        <w:ind w:firstLine="0" w:firstLineChars="0"/>
        <w:jc w:val="both"/>
        <w:textAlignment w:val="auto"/>
        <w:rPr>
          <w:rFonts w:hint="eastAsia" w:ascii="Times New Roman" w:hAnsi="Times New Roman" w:eastAsia="方正仿宋_GBK" w:cs="方正仿宋_GBK"/>
          <w:color w:val="auto"/>
          <w:kern w:val="0"/>
          <w:sz w:val="32"/>
          <w:szCs w:val="32"/>
          <w:highlight w:val="none"/>
          <w:lang w:bidi="en-US"/>
        </w:rPr>
      </w:pPr>
    </w:p>
    <w:p>
      <w:pPr>
        <w:keepNext w:val="0"/>
        <w:keepLines w:val="0"/>
        <w:pageBreakBefore w:val="0"/>
        <w:widowControl w:val="0"/>
        <w:numPr>
          <w:ilvl w:val="0"/>
          <w:numId w:val="0"/>
        </w:numPr>
        <w:kinsoku/>
        <w:overflowPunct/>
        <w:topLinePunct w:val="0"/>
        <w:autoSpaceDN/>
        <w:bidi w:val="0"/>
        <w:adjustRightInd/>
        <w:snapToGrid/>
        <w:spacing w:line="560" w:lineRule="exact"/>
        <w:jc w:val="left"/>
        <w:textAlignment w:val="auto"/>
        <w:rPr>
          <w:rFonts w:hint="eastAsia" w:ascii="仿宋_GB2312" w:hAnsi="黑体" w:eastAsia="仿宋_GB2312" w:cstheme="minorBidi"/>
          <w:color w:val="auto"/>
          <w:kern w:val="2"/>
          <w:sz w:val="32"/>
          <w:szCs w:val="32"/>
          <w:highlight w:val="none"/>
          <w:lang w:val="en-US" w:eastAsia="zh-CN" w:bidi="ar-SA"/>
        </w:rPr>
      </w:pP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项目名称：叶城县依提木孔镇鸽子养殖专业合作社</w:t>
      </w: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项目单位：叶城县依提木孔镇人民政府</w:t>
      </w: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主管部门：叶城县依提木孔镇人民政府</w:t>
      </w: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项目负责人：王新</w:t>
      </w: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填报时间：2023年1月9日</w:t>
      </w:r>
    </w:p>
    <w:p>
      <w:pPr>
        <w:pStyle w:val="10"/>
        <w:ind w:firstLine="883"/>
        <w:rPr>
          <w:rFonts w:hint="eastAsia"/>
          <w:color w:val="auto"/>
          <w:highlight w:val="none"/>
        </w:rPr>
      </w:pPr>
    </w:p>
    <w:p>
      <w:pPr>
        <w:spacing w:line="480" w:lineRule="auto"/>
        <w:ind w:firstLine="1280" w:firstLineChars="400"/>
        <w:jc w:val="left"/>
        <w:rPr>
          <w:rFonts w:hint="eastAsia" w:ascii="仿宋_GB2312" w:hAnsi="黑体" w:eastAsia="仿宋_GB2312" w:cstheme="minorBidi"/>
          <w:color w:val="auto"/>
          <w:kern w:val="2"/>
          <w:sz w:val="32"/>
          <w:szCs w:val="32"/>
          <w:highlight w:val="none"/>
          <w:lang w:val="en-US" w:eastAsia="zh-CN" w:bidi="ar-SA"/>
        </w:rPr>
      </w:pPr>
    </w:p>
    <w:p>
      <w:pPr>
        <w:pStyle w:val="4"/>
        <w:rPr>
          <w:rFonts w:hint="eastAsia" w:ascii="仿宋_GB2312" w:hAnsi="黑体" w:eastAsia="仿宋_GB2312" w:cstheme="minorBidi"/>
          <w:color w:val="auto"/>
          <w:kern w:val="2"/>
          <w:sz w:val="32"/>
          <w:szCs w:val="32"/>
          <w:highlight w:val="none"/>
          <w:lang w:val="en-US" w:eastAsia="zh-CN" w:bidi="ar-SA"/>
        </w:rPr>
      </w:pPr>
    </w:p>
    <w:p>
      <w:pPr>
        <w:pStyle w:val="4"/>
        <w:rPr>
          <w:rFonts w:hint="eastAsia" w:ascii="仿宋_GB2312" w:hAnsi="黑体" w:eastAsia="仿宋_GB2312" w:cstheme="minorBidi"/>
          <w:color w:val="auto"/>
          <w:kern w:val="2"/>
          <w:sz w:val="32"/>
          <w:szCs w:val="32"/>
          <w:highlight w:val="none"/>
          <w:lang w:val="en-US" w:eastAsia="zh-CN" w:bidi="ar-SA"/>
        </w:rPr>
      </w:pPr>
    </w:p>
    <w:p>
      <w:pPr>
        <w:pStyle w:val="4"/>
        <w:ind w:left="0" w:leftChars="0" w:firstLine="0" w:firstLineChars="0"/>
        <w:rPr>
          <w:rFonts w:hint="eastAsia" w:ascii="仿宋_GB2312" w:hAnsi="黑体" w:eastAsia="仿宋_GB2312" w:cstheme="minorBidi"/>
          <w:color w:val="auto"/>
          <w:kern w:val="2"/>
          <w:sz w:val="32"/>
          <w:szCs w:val="32"/>
          <w:highlight w:val="none"/>
          <w:lang w:val="en-US" w:eastAsia="zh-CN" w:bidi="ar-SA"/>
        </w:rPr>
      </w:pPr>
    </w:p>
    <w:p>
      <w:pPr>
        <w:pageBreakBefore w:val="0"/>
        <w:widowControl w:val="0"/>
        <w:kinsoku/>
        <w:overflowPunct/>
        <w:topLinePunct w:val="0"/>
        <w:autoSpaceDN/>
        <w:bidi w:val="0"/>
        <w:spacing w:line="560" w:lineRule="exact"/>
        <w:ind w:firstLine="643" w:firstLineChars="200"/>
        <w:jc w:val="center"/>
        <w:textAlignment w:val="auto"/>
        <w:rPr>
          <w:rFonts w:ascii="黑体" w:hAnsi="黑体" w:eastAsia="黑体"/>
          <w:b/>
          <w:bCs/>
          <w:color w:val="auto"/>
          <w:sz w:val="32"/>
          <w:szCs w:val="32"/>
          <w:highlight w:val="none"/>
        </w:rPr>
      </w:pPr>
      <w:r>
        <w:rPr>
          <w:rFonts w:hint="eastAsia" w:ascii="黑体" w:hAnsi="黑体" w:eastAsia="黑体"/>
          <w:b/>
          <w:bCs/>
          <w:color w:val="auto"/>
          <w:sz w:val="32"/>
          <w:szCs w:val="32"/>
          <w:highlight w:val="none"/>
          <w:lang w:eastAsia="zh-CN"/>
        </w:rPr>
        <w:t>叶城县依提木孔镇人民政府</w:t>
      </w:r>
      <w:r>
        <w:rPr>
          <w:rFonts w:hint="eastAsia" w:ascii="黑体" w:hAnsi="黑体" w:eastAsia="黑体"/>
          <w:b/>
          <w:bCs/>
          <w:color w:val="auto"/>
          <w:sz w:val="32"/>
          <w:szCs w:val="32"/>
          <w:highlight w:val="none"/>
          <w:lang w:val="en-US" w:eastAsia="zh-CN"/>
        </w:rPr>
        <w:t>2022</w:t>
      </w:r>
      <w:r>
        <w:rPr>
          <w:rFonts w:hint="eastAsia" w:ascii="黑体" w:hAnsi="黑体" w:eastAsia="黑体"/>
          <w:b/>
          <w:bCs/>
          <w:color w:val="auto"/>
          <w:sz w:val="32"/>
          <w:szCs w:val="32"/>
          <w:highlight w:val="none"/>
        </w:rPr>
        <w:t>年</w:t>
      </w:r>
      <w:r>
        <w:rPr>
          <w:rFonts w:hint="eastAsia" w:ascii="黑体" w:hAnsi="黑体" w:eastAsia="黑体"/>
          <w:b/>
          <w:bCs/>
          <w:color w:val="auto"/>
          <w:sz w:val="32"/>
          <w:szCs w:val="32"/>
          <w:highlight w:val="none"/>
          <w:lang w:eastAsia="zh-CN"/>
        </w:rPr>
        <w:t>财政衔接推进乡村振兴补助资金</w:t>
      </w:r>
      <w:r>
        <w:rPr>
          <w:rFonts w:hint="eastAsia" w:ascii="黑体" w:hAnsi="黑体" w:eastAsia="黑体"/>
          <w:b/>
          <w:bCs/>
          <w:color w:val="auto"/>
          <w:sz w:val="32"/>
          <w:szCs w:val="32"/>
          <w:highlight w:val="none"/>
        </w:rPr>
        <w:t>绩效自评总结报告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w:t>
      </w:r>
      <w:r>
        <w:rPr>
          <w:rFonts w:hint="eastAsia" w:ascii="仿宋_GB2312" w:hAnsi="黑体" w:eastAsia="仿宋_GB2312"/>
          <w:b/>
          <w:bCs/>
          <w:color w:val="auto"/>
          <w:sz w:val="32"/>
          <w:szCs w:val="32"/>
          <w:highlight w:val="none"/>
          <w:lang w:eastAsia="zh-CN"/>
        </w:rPr>
        <w:t>财政衔接推进乡村振兴补助资金</w:t>
      </w:r>
      <w:r>
        <w:rPr>
          <w:rFonts w:hint="eastAsia" w:ascii="仿宋_GB2312" w:hAnsi="黑体" w:eastAsia="仿宋_GB2312"/>
          <w:b/>
          <w:bCs/>
          <w:color w:val="auto"/>
          <w:sz w:val="32"/>
          <w:szCs w:val="32"/>
          <w:highlight w:val="none"/>
        </w:rPr>
        <w:t>下达预算及项目情况。</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根据《关于下达2022年自治区财政衔接推进乡村振兴补助资金预算的通知》（新财振〔2022〕18号），下达2022年自治区财政衔接推进乡村振兴补助资金，叶城县依提木孔镇鸽子养殖专业合作社项目，项目总投资为</w:t>
      </w:r>
      <w:r>
        <w:rPr>
          <w:rFonts w:hint="eastAsia" w:ascii="Times New Roman" w:hAnsi="Times New Roman" w:eastAsia="方正仿宋_GBK" w:cs="方正仿宋_GBK"/>
          <w:color w:val="auto"/>
          <w:kern w:val="0"/>
          <w:sz w:val="32"/>
          <w:szCs w:val="32"/>
          <w:highlight w:val="none"/>
          <w:lang w:val="en-US" w:eastAsia="zh-CN" w:bidi="ar-SA"/>
        </w:rPr>
        <w:t>297.8</w:t>
      </w:r>
      <w:r>
        <w:rPr>
          <w:rFonts w:hint="eastAsia" w:eastAsia="方正仿宋_GBK" w:cs="方正仿宋_GBK"/>
          <w:color w:val="auto"/>
          <w:kern w:val="0"/>
          <w:sz w:val="32"/>
          <w:szCs w:val="32"/>
          <w:highlight w:val="none"/>
          <w:lang w:val="en-US" w:eastAsia="zh-CN" w:bidi="ar-SA"/>
        </w:rPr>
        <w:t>6</w:t>
      </w:r>
      <w:r>
        <w:rPr>
          <w:rFonts w:hint="eastAsia" w:ascii="仿宋_GB2312" w:hAnsi="黑体" w:eastAsia="仿宋_GB2312" w:cstheme="minorBidi"/>
          <w:color w:val="auto"/>
          <w:kern w:val="2"/>
          <w:sz w:val="32"/>
          <w:szCs w:val="32"/>
          <w:highlight w:val="none"/>
          <w:lang w:val="en-US" w:eastAsia="zh-CN" w:bidi="ar-SA"/>
        </w:rPr>
        <w:t>万元，鸽子归本村农户所有，采用托养方式，有效带动当地农户畜禽养殖的积极性，该项目示范、辐射作用大，项目的实施可带动项目区及周边地区养殖业、种植业、运输业等的发展，促进农村剩余劳动力转移。</w:t>
      </w:r>
    </w:p>
    <w:p>
      <w:pPr>
        <w:keepNext w:val="0"/>
        <w:keepLines w:val="0"/>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b/>
          <w:bCs/>
          <w:color w:val="auto"/>
          <w:sz w:val="32"/>
          <w:szCs w:val="32"/>
          <w:highlight w:val="none"/>
          <w:lang w:val="en-US" w:eastAsia="zh-CN"/>
        </w:rPr>
        <w:t>2.</w:t>
      </w:r>
      <w:r>
        <w:rPr>
          <w:rFonts w:hint="eastAsia" w:ascii="仿宋_GB2312" w:hAnsi="黑体" w:eastAsia="仿宋_GB2312"/>
          <w:b/>
          <w:bCs/>
          <w:color w:val="auto"/>
          <w:sz w:val="32"/>
          <w:szCs w:val="32"/>
          <w:highlight w:val="none"/>
          <w:lang w:eastAsia="zh-CN"/>
        </w:rPr>
        <w:t>财政衔接推进乡村振兴补助资金</w:t>
      </w:r>
      <w:r>
        <w:rPr>
          <w:rFonts w:hint="eastAsia" w:ascii="仿宋_GB2312" w:hAnsi="黑体" w:eastAsia="仿宋_GB2312"/>
          <w:b/>
          <w:bCs/>
          <w:color w:val="auto"/>
          <w:sz w:val="32"/>
          <w:szCs w:val="32"/>
          <w:highlight w:val="none"/>
        </w:rPr>
        <w:t>项目绩效目标设定情况。</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建设项目总投资297.86万元，已完成拨付资金297.86万元。该项目主要为依提木孔镇新建鸽子养殖合作社，其中：255万元用于购置15000对鸽子；42.5万元用于采购鸽笼630组。鸽子归本村农户所有，采用托养方式，有效带动当地农户畜禽养殖的积极性，该项目示范、辐射作用大，项目的实施可带动项目区及周边地区养殖业、种植业、运输业等的发展，促进农村剩余劳动力转移，该项目直接增加就业22人，估算间接带动运输、搬运、收购、屠宰等就业岗位20-70人，间接带动农户300户左右，促进当地农民增收。</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1.项目绩效总目标</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叶城县鸽子养殖专业合作社项目总投入资金297.86万元，其中财政资金297.86万元，已完成拨付资金297.86万元。资金主要用于为依提木孔镇新建鸽子养殖合作社，鸽子归本村农户所有，采用托养方式，有效带动当地农户畜禽养殖的积极性，提高广大群众生活质量，改善生活条件打下坚实基础。</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2.阶段性目标</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在4月完成鸽子与鸽笼的采购申请以及招投标工作，5月支付鸽子采购金97.65万元，5月支付鸽笼采购金12.28万元，完成采购鸽笼630组，并于6月采购验收，9月支付鸽笼采购金28.66万元，完成采购鸽子15000对，12月支付鸽子采购金159.26万元，合计完成297.86万元资金支付。鸽子归本村农户所有，采用托养方式，有效带动当地农户畜禽养殖的积极性，促进农村剩余劳动力转移，促进当地农民增收。</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二、绩效自评工作开展情况</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 绩效评价范围</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 绩效评价对象</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3.绩效评价时间</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2023年1月3日-2023年1月30日</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4. 绩效评价方法</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本次绩效评价方法的选用坚持简便有效的原则采用综合分析法。</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5. 绩效评价标准</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绩效评价标准通常包括计划标准、行业标准、历史标准等，用于对绩效指标完成情况进行比较、分析、评价。本次评价主要采用了计划标准。</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0" w:name="_Toc31464"/>
      <w:bookmarkStart w:id="1" w:name="_Toc17882"/>
      <w:r>
        <w:rPr>
          <w:rFonts w:hint="eastAsia" w:ascii="仿宋_GB2312" w:hAnsi="黑体" w:eastAsia="仿宋_GB2312" w:cstheme="minorBidi"/>
          <w:color w:val="auto"/>
          <w:kern w:val="2"/>
          <w:sz w:val="32"/>
          <w:szCs w:val="32"/>
          <w:highlight w:val="none"/>
          <w:lang w:val="en-US" w:eastAsia="zh-CN" w:bidi="ar-SA"/>
        </w:rPr>
        <w:t>计划标准：指以预先制定的目标、计划、预算、定额等作为评价标准。</w:t>
      </w:r>
      <w:bookmarkEnd w:id="0"/>
      <w:bookmarkEnd w:id="1"/>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2" w:name="_Toc2318"/>
      <w:bookmarkStart w:id="3" w:name="_Toc5633"/>
      <w:r>
        <w:rPr>
          <w:rFonts w:hint="eastAsia" w:ascii="仿宋_GB2312" w:hAnsi="黑体" w:eastAsia="仿宋_GB2312" w:cstheme="minorBidi"/>
          <w:color w:val="auto"/>
          <w:kern w:val="2"/>
          <w:sz w:val="32"/>
          <w:szCs w:val="32"/>
          <w:highlight w:val="none"/>
          <w:lang w:val="en-US" w:eastAsia="zh-CN" w:bidi="ar-SA"/>
        </w:rPr>
        <w:t>行业标准：指参照国家公布的行业指标数据制定的评价标准。</w:t>
      </w:r>
      <w:bookmarkEnd w:id="2"/>
      <w:bookmarkEnd w:id="3"/>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4" w:name="_Toc16028"/>
      <w:bookmarkStart w:id="5" w:name="_Toc430"/>
      <w:r>
        <w:rPr>
          <w:rFonts w:hint="eastAsia" w:ascii="仿宋_GB2312" w:hAnsi="黑体" w:eastAsia="仿宋_GB2312" w:cstheme="minorBidi"/>
          <w:color w:val="auto"/>
          <w:kern w:val="2"/>
          <w:sz w:val="32"/>
          <w:szCs w:val="32"/>
          <w:highlight w:val="none"/>
          <w:lang w:val="en-US" w:eastAsia="zh-CN" w:bidi="ar-SA"/>
        </w:rPr>
        <w:t>历史标准：指参照历史数据制定的评价标准，为体现绩效改进的原则，在可实现的条件下应当确定相对较高的评价标准。</w:t>
      </w:r>
      <w:bookmarkEnd w:id="4"/>
      <w:bookmarkEnd w:id="5"/>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1.项目资金到位情况分析。</w:t>
      </w:r>
    </w:p>
    <w:p>
      <w:pPr>
        <w:spacing w:line="600" w:lineRule="exact"/>
        <w:ind w:firstLine="640" w:firstLineChars="20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叶城县叶城县鸽子养殖专业合作社项目根据新财扶[2021]39号喀地财扶[2021]9号文件共安排下达资金297.86万元，为巩固拓展脱贫攻坚成果同乡村振兴衔接资金，最终确定项目资金总数为297.86万元。</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2.项目资金执行情况分析。</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截至2022年12月31日，实际支出297.86万元，预算执行率100%。</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3.项目资金管理情况分析。</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本项目支出符合《喀什地区财政巩固拓展脱贫攻坚成果同乡村振兴有效衔接资金管理办法（试行）》</w:t>
      </w:r>
      <w:bookmarkStart w:id="6" w:name="_GoBack"/>
      <w:bookmarkEnd w:id="6"/>
      <w:r>
        <w:rPr>
          <w:rFonts w:hint="eastAsia" w:ascii="仿宋_GB2312" w:hAnsi="黑体" w:eastAsia="仿宋_GB2312" w:cstheme="minorBidi"/>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(二）绩效目标完成情况分析。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color w:val="auto"/>
          <w:highlight w:val="none"/>
        </w:rPr>
      </w:pPr>
      <w:r>
        <w:rPr>
          <w:rFonts w:hint="eastAsia" w:ascii="仿宋_GB2312" w:hAnsi="黑体" w:eastAsia="仿宋_GB2312"/>
          <w:b/>
          <w:bCs/>
          <w:color w:val="auto"/>
          <w:sz w:val="32"/>
          <w:szCs w:val="32"/>
          <w:highlight w:val="none"/>
        </w:rPr>
        <w:t>1.产出指标完成情况分析。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（1）对于“产出数量”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宋体" w:eastAsia="仿宋_GB2312" w:cs="Times New Roman"/>
          <w:color w:val="auto"/>
          <w:kern w:val="2"/>
          <w:sz w:val="32"/>
          <w:szCs w:val="32"/>
          <w:highlight w:val="none"/>
          <w:lang w:val="en-US" w:eastAsia="zh-CN" w:bidi="ar"/>
        </w:rPr>
      </w:pPr>
      <w:r>
        <w:rPr>
          <w:rFonts w:hint="eastAsia" w:ascii="仿宋_GB2312" w:hAnsi="黑体" w:eastAsia="仿宋_GB2312" w:cstheme="minorBidi"/>
          <w:color w:val="auto"/>
          <w:kern w:val="2"/>
          <w:sz w:val="32"/>
          <w:szCs w:val="32"/>
          <w:highlight w:val="none"/>
          <w:lang w:val="en-US" w:eastAsia="zh-CN" w:bidi="ar-SA"/>
        </w:rPr>
        <w:t>鸽子养殖专业合作社养殖乡镇数量3个，与预期目标一致，指标标杆分值为5.5分，根据评分标准，该指标不扣分。得5.5分</w:t>
      </w:r>
      <w:r>
        <w:rPr>
          <w:rFonts w:hint="eastAsia" w:ascii="仿宋_GB2312" w:hAnsi="宋体" w:eastAsia="仿宋_GB2312" w:cs="Times New Roman"/>
          <w:color w:val="auto"/>
          <w:kern w:val="2"/>
          <w:sz w:val="32"/>
          <w:szCs w:val="32"/>
          <w:highlight w:val="none"/>
          <w:lang w:val="en-US" w:eastAsia="zh-CN" w:bidi="ar"/>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宋体" w:eastAsia="仿宋_GB2312" w:cs="Times New Roman"/>
          <w:color w:val="auto"/>
          <w:kern w:val="2"/>
          <w:sz w:val="32"/>
          <w:szCs w:val="32"/>
          <w:highlight w:val="none"/>
          <w:lang w:val="en-US" w:eastAsia="zh-CN" w:bidi="ar"/>
        </w:rPr>
      </w:pPr>
      <w:r>
        <w:rPr>
          <w:rFonts w:hint="eastAsia" w:ascii="仿宋_GB2312" w:hAnsi="黑体" w:eastAsia="仿宋_GB2312" w:cstheme="minorBidi"/>
          <w:color w:val="auto"/>
          <w:kern w:val="2"/>
          <w:sz w:val="32"/>
          <w:szCs w:val="32"/>
          <w:highlight w:val="none"/>
          <w:lang w:val="en-US" w:eastAsia="zh-CN" w:bidi="ar-SA"/>
        </w:rPr>
        <w:t>采购种鸽殖数量15000对，与预期目标一致，指标标杆分值为5.5分，根据评分标准，该指标不扣分。得5.5分</w:t>
      </w:r>
      <w:r>
        <w:rPr>
          <w:rFonts w:hint="eastAsia" w:ascii="仿宋_GB2312" w:hAnsi="宋体" w:eastAsia="仿宋_GB2312" w:cs="Times New Roman"/>
          <w:color w:val="auto"/>
          <w:kern w:val="2"/>
          <w:sz w:val="32"/>
          <w:szCs w:val="32"/>
          <w:highlight w:val="none"/>
          <w:lang w:val="en-US" w:eastAsia="zh-CN" w:bidi="ar"/>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color w:val="auto"/>
          <w:highlight w:val="none"/>
          <w:lang w:val="en-US" w:eastAsia="zh-CN"/>
        </w:rPr>
      </w:pPr>
      <w:r>
        <w:rPr>
          <w:rFonts w:hint="eastAsia" w:ascii="仿宋_GB2312" w:hAnsi="黑体" w:eastAsia="仿宋_GB2312" w:cstheme="minorBidi"/>
          <w:color w:val="auto"/>
          <w:kern w:val="2"/>
          <w:sz w:val="32"/>
          <w:szCs w:val="32"/>
          <w:highlight w:val="none"/>
          <w:lang w:val="en-US" w:eastAsia="zh-CN" w:bidi="ar-SA"/>
        </w:rPr>
        <w:t>采购养殖鸽笼数量630组，与预期目标一致，指标标杆分值为5.5分，根据评分标准，该指标不扣分。得5.5分</w:t>
      </w:r>
      <w:r>
        <w:rPr>
          <w:rFonts w:hint="eastAsia" w:ascii="仿宋_GB2312" w:hAnsi="宋体" w:eastAsia="仿宋_GB2312" w:cs="Times New Roman"/>
          <w:color w:val="auto"/>
          <w:kern w:val="2"/>
          <w:sz w:val="32"/>
          <w:szCs w:val="32"/>
          <w:highlight w:val="none"/>
          <w:lang w:val="en-US" w:eastAsia="zh-CN" w:bidi="ar"/>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合计得16.5分。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（2）对于“产出质量”：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养殖动物存活率98%，与预期目标一致，指标标杆分值为5.5分,根据评分标准，该指标不扣分，得5.5分。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合计得5.5分。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（3）对于“产出时效”：</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项目开工时间2022年3月，与预期目标指标一致，指标标杆分值为5.5分,根据评分标准，该指标不扣分，得5.5分。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项目完工时间2022年9月，与预期目标指标一致，指标标杆分值为5.5分,根据评分标准，该指标不扣分，得5.5分。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项目完工及时率100%，与预期目标一致，指标标杆分值为5.5分，根据评分标准，该指标不扣分，得5.5分。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合计得16.5分。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（4）对于“产出成本”：</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购置种鸽成本255万元，项目经费都能控制绩效目标范围内，指标标杆分值为5分，根据评分标准，该指标不扣分，得5分。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购置养殖鸽笼成本42.5万元，项目经费都能控制绩效目标范围内，指标标杆分值为6分，根据评分标准，该指标不扣分，得6分。</w:t>
      </w:r>
    </w:p>
    <w:p>
      <w:pPr>
        <w:pStyle w:val="4"/>
        <w:keepNext w:val="0"/>
        <w:keepLines w:val="0"/>
        <w:pageBreakBefore w:val="0"/>
        <w:widowControl w:val="0"/>
        <w:kinsoku/>
        <w:overflowPunct/>
        <w:topLinePunct w:val="0"/>
        <w:autoSpaceDN/>
        <w:bidi w:val="0"/>
        <w:adjustRightInd/>
        <w:snapToGrid/>
        <w:spacing w:line="560" w:lineRule="exact"/>
        <w:textAlignment w:val="auto"/>
        <w:rPr>
          <w:rFonts w:hint="default"/>
          <w:color w:val="auto"/>
          <w:highlight w:val="none"/>
          <w:lang w:val="en-US" w:eastAsia="zh-CN"/>
        </w:rPr>
      </w:pPr>
      <w:r>
        <w:rPr>
          <w:rFonts w:hint="eastAsia" w:ascii="仿宋_GB2312" w:hAnsi="黑体" w:eastAsia="仿宋_GB2312" w:cstheme="minorBidi"/>
          <w:color w:val="auto"/>
          <w:kern w:val="2"/>
          <w:sz w:val="32"/>
          <w:szCs w:val="32"/>
          <w:highlight w:val="none"/>
          <w:lang w:val="en-US" w:eastAsia="zh-CN" w:bidi="ar-SA"/>
        </w:rPr>
        <w:t>合计得分11分。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2.效益指标完成情况分析。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1.实施效益指标：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（1）对于“社会效益指标”：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受益脱贫户人口数392人，与预期指标一致，指标标杆分值为10分，根据评分标准，该指标不扣分，得10分。</w:t>
      </w:r>
    </w:p>
    <w:p>
      <w:pPr>
        <w:pStyle w:val="4"/>
        <w:keepNext w:val="0"/>
        <w:keepLines w:val="0"/>
        <w:pageBreakBefore w:val="0"/>
        <w:widowControl w:val="0"/>
        <w:kinsoku/>
        <w:overflowPunct/>
        <w:topLinePunct w:val="0"/>
        <w:autoSpaceDN/>
        <w:bidi w:val="0"/>
        <w:adjustRightInd/>
        <w:snapToGrid/>
        <w:spacing w:line="560" w:lineRule="exact"/>
        <w:textAlignment w:val="auto"/>
        <w:rPr>
          <w:rFonts w:hint="default"/>
          <w:color w:val="auto"/>
          <w:highlight w:val="none"/>
          <w:lang w:val="en-US" w:eastAsia="zh-CN"/>
        </w:rPr>
      </w:pPr>
      <w:r>
        <w:rPr>
          <w:rFonts w:hint="eastAsia" w:ascii="仿宋_GB2312" w:hAnsi="黑体" w:eastAsia="仿宋_GB2312" w:cstheme="minorBidi"/>
          <w:color w:val="auto"/>
          <w:kern w:val="2"/>
          <w:sz w:val="32"/>
          <w:szCs w:val="32"/>
          <w:highlight w:val="none"/>
          <w:lang w:val="en-US" w:eastAsia="zh-CN" w:bidi="ar-SA"/>
        </w:rPr>
        <w:t>合计得分10分。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带动增加受益脱贫户人口全年总收入55万元，与预期指标一致，指标标杆分值为10分，根据评分标准，该指标不扣分，得10分。</w:t>
      </w:r>
    </w:p>
    <w:p>
      <w:pPr>
        <w:pStyle w:val="4"/>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合计得分10分。</w:t>
      </w:r>
    </w:p>
    <w:p>
      <w:pPr>
        <w:pStyle w:val="4"/>
        <w:keepNext w:val="0"/>
        <w:keepLines w:val="0"/>
        <w:pageBreakBefore w:val="0"/>
        <w:widowControl w:val="0"/>
        <w:numPr>
          <w:ilvl w:val="0"/>
          <w:numId w:val="1"/>
        </w:numPr>
        <w:kinsoku/>
        <w:overflowPunct/>
        <w:topLinePunct w:val="0"/>
        <w:autoSpaceDN/>
        <w:bidi w:val="0"/>
        <w:adjustRightInd/>
        <w:snapToGrid/>
        <w:spacing w:line="560" w:lineRule="exact"/>
        <w:ind w:left="0" w:leftChars="0" w:firstLine="640" w:firstLineChars="20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该项目无生态效益指标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（4）对于“可持续影响指标”：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种鸽持续增加收入年限3年，与预期指标一致，指标标杆分值为10分，根据评分标准，该指标不扣分，得10分。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实施效益指标合计得30分。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3.满意度指标完成情况分析。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对于“满意度指标”：受益乡镇养殖户满意度95%，与预期目标一致，根据评分标准，该指标不扣分,得10分。</w:t>
      </w:r>
    </w:p>
    <w:p>
      <w:pPr>
        <w:pStyle w:val="18"/>
        <w:ind w:left="0" w:leftChars="0" w:firstLine="640" w:firstLineChars="200"/>
        <w:rPr>
          <w:rFonts w:hint="default"/>
          <w:color w:val="auto"/>
          <w:highlight w:val="none"/>
          <w:lang w:val="en-US" w:eastAsia="zh-CN"/>
        </w:rPr>
      </w:pPr>
      <w:r>
        <w:rPr>
          <w:rFonts w:hint="eastAsia" w:ascii="仿宋_GB2312" w:hAnsi="黑体" w:cstheme="minorBidi"/>
          <w:color w:val="auto"/>
          <w:kern w:val="2"/>
          <w:sz w:val="32"/>
          <w:szCs w:val="32"/>
          <w:highlight w:val="none"/>
          <w:lang w:val="en-US" w:eastAsia="zh-CN" w:bidi="ar-SA"/>
        </w:rPr>
        <w:t>合计得分10分。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四、偏离绩效目标的原因和下一步改进措施</w:t>
      </w:r>
    </w:p>
    <w:p>
      <w:pPr>
        <w:pStyle w:val="19"/>
        <w:pageBreakBefore w:val="0"/>
        <w:kinsoku/>
        <w:wordWrap/>
        <w:topLinePunct w:val="0"/>
        <w:autoSpaceDE/>
        <w:autoSpaceDN/>
        <w:bidi w:val="0"/>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叶城县鸽子养殖专业合作社项目预算297.86万元，到位297.86万元，实际支出297.86万元，预算执行率为100%，项目绩效指标总体完成率为100%，无偏差。</w:t>
      </w:r>
    </w:p>
    <w:p>
      <w:pPr>
        <w:pStyle w:val="20"/>
        <w:keepNext/>
        <w:keepLines/>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方正楷体_GBK" w:hAnsi="方正楷体_GBK" w:eastAsia="方正楷体_GBK" w:cs="方正楷体_GBK"/>
          <w:b/>
          <w:bCs/>
          <w:color w:val="auto"/>
          <w:sz w:val="32"/>
          <w:highlight w:val="none"/>
        </w:rPr>
      </w:pPr>
      <w:r>
        <w:rPr>
          <w:rFonts w:hint="eastAsia" w:eastAsia="方正仿宋_GBK" w:cs="方正仿宋_GBK"/>
          <w:b/>
          <w:bCs/>
          <w:color w:val="auto"/>
          <w:kern w:val="2"/>
          <w:sz w:val="32"/>
          <w:szCs w:val="32"/>
          <w:highlight w:val="none"/>
          <w:lang w:val="en-US" w:eastAsia="zh-CN" w:bidi="ar-SA"/>
        </w:rPr>
        <w:t>五、</w:t>
      </w:r>
      <w:r>
        <w:rPr>
          <w:rFonts w:hint="eastAsia" w:ascii="Times New Roman" w:hAnsi="Times New Roman" w:eastAsia="方正仿宋_GBK" w:cs="方正仿宋_GBK"/>
          <w:b/>
          <w:bCs/>
          <w:color w:val="auto"/>
          <w:kern w:val="2"/>
          <w:sz w:val="32"/>
          <w:szCs w:val="32"/>
          <w:highlight w:val="none"/>
          <w:lang w:val="en-US" w:eastAsia="zh-CN" w:bidi="ar-SA"/>
        </w:rPr>
        <w:t>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叶城县鸽子养殖专业合作社项目</w:t>
      </w:r>
      <w:r>
        <w:rPr>
          <w:rFonts w:hint="default" w:ascii="仿宋_GB2312" w:hAnsi="黑体" w:eastAsia="仿宋_GB2312" w:cstheme="minorBidi"/>
          <w:color w:val="auto"/>
          <w:kern w:val="2"/>
          <w:sz w:val="32"/>
          <w:szCs w:val="32"/>
          <w:highlight w:val="none"/>
          <w:lang w:val="en-US" w:eastAsia="zh-CN" w:bidi="ar-SA"/>
        </w:rPr>
        <w:t>已完成</w:t>
      </w:r>
      <w:r>
        <w:rPr>
          <w:rFonts w:hint="eastAsia" w:ascii="仿宋_GB2312" w:hAnsi="黑体" w:eastAsia="仿宋_GB2312" w:cstheme="minorBidi"/>
          <w:color w:val="auto"/>
          <w:kern w:val="2"/>
          <w:sz w:val="32"/>
          <w:szCs w:val="32"/>
          <w:highlight w:val="none"/>
          <w:lang w:val="en-US" w:eastAsia="zh-CN" w:bidi="ar-SA"/>
        </w:rPr>
        <w:t>购置15000对鸽子，采购鸽笼630组，鸽子归本村农户所有，采用托养方式，有效带动当地农户畜禽养殖的积极性。该项目最终评分100分，绩效评级为“优”。</w:t>
      </w:r>
    </w:p>
    <w:p>
      <w:pPr>
        <w:keepNext w:val="0"/>
        <w:keepLines w:val="0"/>
        <w:pageBreakBefore w:val="0"/>
        <w:widowControl w:val="0"/>
        <w:numPr>
          <w:ilvl w:val="0"/>
          <w:numId w:val="0"/>
        </w:numPr>
        <w:kinsoku/>
        <w:overflowPunct/>
        <w:topLinePunct w:val="0"/>
        <w:autoSpaceDN/>
        <w:bidi w:val="0"/>
        <w:adjustRightInd/>
        <w:snapToGrid/>
        <w:spacing w:line="560" w:lineRule="exact"/>
        <w:ind w:leftChars="200"/>
        <w:jc w:val="left"/>
        <w:textAlignment w:val="auto"/>
        <w:rPr>
          <w:rFonts w:hint="eastAsia"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lang w:val="en-US" w:eastAsia="zh-CN"/>
        </w:rPr>
        <w:t>六、</w:t>
      </w:r>
      <w:r>
        <w:rPr>
          <w:rFonts w:hint="eastAsia" w:ascii="仿宋_GB2312" w:hAnsi="黑体" w:eastAsia="仿宋_GB2312"/>
          <w:b/>
          <w:color w:val="auto"/>
          <w:sz w:val="32"/>
          <w:szCs w:val="32"/>
          <w:highlight w:val="none"/>
        </w:rPr>
        <w:t>绩效自评结果拟应用和公开情况</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（一）对衔接推进乡村振兴补助资金项目、绩效公告公示情况</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（二）对绩效自评结果拟应用情况进行说明</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（三）对二级指标权重(分值)分配情况进行说明，赋权的方法或者原则</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p>
    <w:p>
      <w:pPr>
        <w:pStyle w:val="4"/>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rPr>
          <w:color w:val="auto"/>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0F69C"/>
    <w:multiLevelType w:val="singleLevel"/>
    <w:tmpl w:val="8D90F69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iMzEyZTU4NDY2YTVlZTc5NDE2YWRlZWI0YjIxMzMifQ=="/>
  </w:docVars>
  <w:rsids>
    <w:rsidRoot w:val="00F20A26"/>
    <w:rsid w:val="003E0379"/>
    <w:rsid w:val="0055176E"/>
    <w:rsid w:val="00861488"/>
    <w:rsid w:val="00F20A26"/>
    <w:rsid w:val="059A592B"/>
    <w:rsid w:val="08EC01DC"/>
    <w:rsid w:val="12A245A9"/>
    <w:rsid w:val="14653122"/>
    <w:rsid w:val="17F82735"/>
    <w:rsid w:val="187A025D"/>
    <w:rsid w:val="1937751C"/>
    <w:rsid w:val="19CC7701"/>
    <w:rsid w:val="1ABF7AF2"/>
    <w:rsid w:val="1B4D6D35"/>
    <w:rsid w:val="20183F4F"/>
    <w:rsid w:val="20C02ABC"/>
    <w:rsid w:val="22084AEF"/>
    <w:rsid w:val="22E936F1"/>
    <w:rsid w:val="24A3706C"/>
    <w:rsid w:val="29EC0C5C"/>
    <w:rsid w:val="2B1E4C6A"/>
    <w:rsid w:val="2D5F13D7"/>
    <w:rsid w:val="2E51749D"/>
    <w:rsid w:val="31A02A0C"/>
    <w:rsid w:val="31AE0AA6"/>
    <w:rsid w:val="339F2B5B"/>
    <w:rsid w:val="34D85CE0"/>
    <w:rsid w:val="386D751C"/>
    <w:rsid w:val="3A667D78"/>
    <w:rsid w:val="3EDE66B4"/>
    <w:rsid w:val="3FFFA01E"/>
    <w:rsid w:val="4040105E"/>
    <w:rsid w:val="41871287"/>
    <w:rsid w:val="432C4713"/>
    <w:rsid w:val="468C3FA5"/>
    <w:rsid w:val="4BA819CC"/>
    <w:rsid w:val="4CD055CC"/>
    <w:rsid w:val="54575230"/>
    <w:rsid w:val="54C978C3"/>
    <w:rsid w:val="55DA66E7"/>
    <w:rsid w:val="55F0564C"/>
    <w:rsid w:val="5C9D1589"/>
    <w:rsid w:val="5CEF0BA5"/>
    <w:rsid w:val="5EAD4FF8"/>
    <w:rsid w:val="614F4951"/>
    <w:rsid w:val="647906B5"/>
    <w:rsid w:val="651A36AB"/>
    <w:rsid w:val="6576729F"/>
    <w:rsid w:val="68665F57"/>
    <w:rsid w:val="691A4706"/>
    <w:rsid w:val="6AC53C59"/>
    <w:rsid w:val="7132728B"/>
    <w:rsid w:val="761975A1"/>
    <w:rsid w:val="7B580975"/>
    <w:rsid w:val="7E984E50"/>
    <w:rsid w:val="7F13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qFormat/>
    <w:uiPriority w:val="9"/>
    <w:pPr>
      <w:keepNext/>
      <w:keepLines/>
      <w:spacing w:before="260" w:after="260" w:line="416" w:lineRule="auto"/>
      <w:jc w:val="left"/>
      <w:outlineLvl w:val="2"/>
    </w:pPr>
    <w:rPr>
      <w:rFonts w:cs="Times New Roman"/>
      <w:bCs/>
      <w:kern w:val="0"/>
      <w:szCs w:val="32"/>
    </w:rPr>
  </w:style>
  <w:style w:type="paragraph" w:styleId="8">
    <w:name w:val="heading 4"/>
    <w:basedOn w:val="1"/>
    <w:next w:val="1"/>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4">
    <w:name w:val="Body Text First Indent 2"/>
    <w:basedOn w:val="5"/>
    <w:unhideWhenUsed/>
    <w:qFormat/>
    <w:uiPriority w:val="0"/>
    <w:pPr>
      <w:ind w:firstLine="420"/>
    </w:pPr>
  </w:style>
  <w:style w:type="paragraph" w:styleId="5">
    <w:name w:val="Body Text Indent"/>
    <w:basedOn w:val="1"/>
    <w:unhideWhenUsed/>
    <w:qFormat/>
    <w:uiPriority w:val="99"/>
    <w:pPr>
      <w:spacing w:after="120"/>
      <w:ind w:left="420" w:leftChars="200"/>
    </w:pPr>
    <w:rPr>
      <w:rFonts w:cs="Times New Roman"/>
      <w:kern w:val="0"/>
      <w:szCs w:val="20"/>
    </w:rPr>
  </w:style>
  <w:style w:type="paragraph" w:styleId="9">
    <w:name w:val="annotation text"/>
    <w:basedOn w:val="1"/>
    <w:unhideWhenUsed/>
    <w:qFormat/>
    <w:uiPriority w:val="99"/>
    <w:rPr>
      <w:rFonts w:cs="Times New Roman"/>
      <w:kern w:val="0"/>
      <w:sz w:val="20"/>
      <w:szCs w:val="20"/>
    </w:rPr>
  </w:style>
  <w:style w:type="paragraph" w:styleId="10">
    <w:name w:val="Body Text"/>
    <w:basedOn w:val="1"/>
    <w:qFormat/>
    <w:uiPriority w:val="0"/>
    <w:pPr>
      <w:spacing w:before="240" w:after="240" w:line="360" w:lineRule="auto"/>
      <w:jc w:val="center"/>
    </w:pPr>
    <w:rPr>
      <w:b/>
      <w:sz w:val="44"/>
    </w:rPr>
  </w:style>
  <w:style w:type="paragraph" w:styleId="11">
    <w:name w:val="Body Text Indent 2"/>
    <w:basedOn w:val="1"/>
    <w:qFormat/>
    <w:uiPriority w:val="0"/>
    <w:pPr>
      <w:ind w:firstLine="280"/>
    </w:pPr>
    <w:rPr>
      <w:rFonts w:ascii="仿宋_GB2312" w:hAnsi="仿宋_GB2312" w:eastAsia="仿宋_GB2312"/>
      <w:kern w:val="1"/>
      <w:sz w:val="28"/>
    </w:rPr>
  </w:style>
  <w:style w:type="paragraph" w:styleId="12">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3">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6">
    <w:name w:val="Strong"/>
    <w:basedOn w:val="15"/>
    <w:qFormat/>
    <w:uiPriority w:val="0"/>
    <w:rPr>
      <w:b/>
      <w:bCs/>
    </w:rPr>
  </w:style>
  <w:style w:type="paragraph" w:customStyle="1" w:styleId="17">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8">
    <w:name w:val="1 正文"/>
    <w:basedOn w:val="1"/>
    <w:qFormat/>
    <w:uiPriority w:val="0"/>
    <w:pPr>
      <w:ind w:firstLine="200"/>
    </w:pPr>
    <w:rPr>
      <w:rFonts w:eastAsia="仿宋_GB2312" w:cs="Times New Roman"/>
      <w:szCs w:val="28"/>
    </w:rPr>
  </w:style>
  <w:style w:type="paragraph" w:customStyle="1" w:styleId="19">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20">
    <w:name w:val="闻政-正文二级标题"/>
    <w:basedOn w:val="6"/>
    <w:next w:val="19"/>
    <w:qFormat/>
    <w:uiPriority w:val="3"/>
    <w:pPr>
      <w:spacing w:before="120" w:after="60" w:line="500" w:lineRule="exact"/>
      <w:ind w:left="200" w:leftChars="200" w:firstLine="0" w:firstLineChars="0"/>
    </w:pPr>
    <w:rPr>
      <w:rFonts w:ascii="Times New Roman" w:hAnsi="Times New Roman"/>
      <w:sz w:val="28"/>
    </w:rPr>
  </w:style>
  <w:style w:type="paragraph" w:customStyle="1" w:styleId="21">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4098</Words>
  <Characters>4441</Characters>
  <Lines>2</Lines>
  <Paragraphs>1</Paragraphs>
  <TotalTime>0</TotalTime>
  <ScaleCrop>false</ScaleCrop>
  <LinksUpToDate>false</LinksUpToDate>
  <CharactersWithSpaces>4487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2025-02-13T10:56:44Z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870F1CFA46D74DD29BF18E184D19E929</vt:lpwstr>
  </property>
</Properties>
</file>