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p>
    <w:p>
      <w:pPr>
        <w:pageBreakBefore w:val="0"/>
        <w:widowControl w:val="0"/>
        <w:kinsoku/>
        <w:wordWrap/>
        <w:overflowPunct/>
        <w:topLinePunct w:val="0"/>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ageBreakBefore w:val="0"/>
        <w:widowControl w:val="0"/>
        <w:tabs>
          <w:tab w:val="left" w:pos="1680"/>
        </w:tabs>
        <w:kinsoku/>
        <w:wordWrap/>
        <w:overflowPunct/>
        <w:topLinePunct w:val="0"/>
        <w:autoSpaceDE/>
        <w:autoSpaceDN/>
        <w:bidi w:val="0"/>
        <w:adjustRightInd/>
        <w:snapToGrid/>
        <w:spacing w:before="120" w:after="120" w:line="560" w:lineRule="exact"/>
        <w:ind w:left="3253" w:hanging="3253" w:hangingChars="900"/>
        <w:jc w:val="both"/>
        <w:textAlignment w:val="auto"/>
        <w:outlineLvl w:val="0"/>
        <w:rPr>
          <w:rFonts w:hint="eastAsia" w:ascii="黑体" w:hAnsi="黑体" w:eastAsia="黑体" w:cs="黑体"/>
          <w:b/>
          <w:color w:val="auto"/>
          <w:sz w:val="36"/>
          <w:szCs w:val="36"/>
          <w:highlight w:val="none"/>
        </w:rPr>
      </w:pPr>
      <w:r>
        <w:rPr>
          <w:rFonts w:hint="eastAsia" w:ascii="黑体" w:hAnsi="黑体" w:eastAsia="黑体" w:cs="黑体"/>
          <w:b/>
          <w:color w:val="auto"/>
          <w:sz w:val="36"/>
          <w:szCs w:val="36"/>
          <w:highlight w:val="none"/>
        </w:rPr>
        <w:t>叶城县恰其库木管理区2022年家禽养殖合作社项目支出自评总结报告</w:t>
      </w:r>
    </w:p>
    <w:p>
      <w:pPr>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eastAsia" w:ascii="仿宋_GB2312" w:hAnsi="仿宋_GB2312" w:eastAsia="仿宋_GB2312" w:cs="仿宋_GB2312"/>
          <w:b/>
          <w:color w:val="auto"/>
          <w:kern w:val="0"/>
          <w:sz w:val="32"/>
          <w:szCs w:val="32"/>
          <w:highlight w:val="none"/>
          <w:lang w:bidi="en-US"/>
        </w:rPr>
      </w:pPr>
    </w:p>
    <w:p>
      <w:pPr>
        <w:pStyle w:val="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color w:val="auto"/>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highlight w:val="none"/>
        </w:rPr>
      </w:pPr>
    </w:p>
    <w:p>
      <w:pPr>
        <w:pStyle w:val="2"/>
        <w:rPr>
          <w:rFonts w:hint="eastAsia" w:ascii="仿宋_GB2312" w:hAnsi="仿宋_GB2312" w:eastAsia="仿宋_GB2312" w:cs="仿宋_GB2312"/>
          <w:color w:val="auto"/>
          <w:sz w:val="32"/>
          <w:szCs w:val="32"/>
          <w:highlight w:val="none"/>
        </w:rPr>
      </w:pPr>
    </w:p>
    <w:p>
      <w:pPr>
        <w:pStyle w:val="2"/>
        <w:rPr>
          <w:rFonts w:hint="eastAsia" w:ascii="仿宋_GB2312" w:hAnsi="仿宋_GB2312" w:eastAsia="仿宋_GB2312" w:cs="仿宋_GB2312"/>
          <w:color w:val="auto"/>
          <w:sz w:val="32"/>
          <w:szCs w:val="32"/>
          <w:highlight w:val="none"/>
        </w:rPr>
      </w:pPr>
    </w:p>
    <w:p>
      <w:pPr>
        <w:pStyle w:val="2"/>
        <w:rPr>
          <w:rFonts w:hint="eastAsia" w:ascii="仿宋_GB2312" w:hAnsi="仿宋_GB2312" w:eastAsia="仿宋_GB2312" w:cs="仿宋_GB2312"/>
          <w:color w:val="auto"/>
          <w:sz w:val="32"/>
          <w:szCs w:val="32"/>
          <w:highlight w:val="none"/>
        </w:rPr>
      </w:pPr>
    </w:p>
    <w:p>
      <w:pPr>
        <w:pageBreakBefore w:val="0"/>
        <w:widowControl w:val="0"/>
        <w:kinsoku/>
        <w:wordWrap/>
        <w:overflowPunct/>
        <w:topLinePunct w:val="0"/>
        <w:autoSpaceDE/>
        <w:autoSpaceDN/>
        <w:bidi w:val="0"/>
        <w:adjustRightInd/>
        <w:snapToGrid/>
        <w:spacing w:line="560" w:lineRule="exact"/>
        <w:ind w:firstLine="560"/>
        <w:textAlignment w:val="auto"/>
        <w:rPr>
          <w:rFonts w:hint="eastAsia" w:ascii="仿宋_GB2312" w:hAnsi="仿宋_GB2312" w:eastAsia="仿宋_GB2312" w:cs="仿宋_GB2312"/>
          <w:color w:val="auto"/>
          <w:sz w:val="32"/>
          <w:szCs w:val="32"/>
          <w:highlight w:val="none"/>
        </w:rPr>
      </w:pPr>
    </w:p>
    <w:p>
      <w:pPr>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color w:val="auto"/>
          <w:kern w:val="0"/>
          <w:sz w:val="32"/>
          <w:szCs w:val="32"/>
          <w:highlight w:val="none"/>
          <w:lang w:bidi="en-US"/>
        </w:rPr>
      </w:pPr>
    </w:p>
    <w:p>
      <w:pPr>
        <w:pageBreakBefore w:val="0"/>
        <w:widowControl w:val="0"/>
        <w:kinsoku/>
        <w:wordWrap/>
        <w:overflowPunct/>
        <w:topLinePunct w:val="0"/>
        <w:autoSpaceDE/>
        <w:autoSpaceDN/>
        <w:bidi w:val="0"/>
        <w:adjustRightInd/>
        <w:snapToGrid/>
        <w:spacing w:line="560" w:lineRule="exact"/>
        <w:ind w:left="3197" w:leftChars="608" w:hanging="1920" w:hangingChars="600"/>
        <w:textAlignment w:val="auto"/>
        <w:rPr>
          <w:rFonts w:hint="eastAsia" w:ascii="仿宋_GB2312" w:hAnsi="仿宋_GB2312" w:eastAsia="仿宋_GB2312" w:cs="仿宋_GB2312"/>
          <w:color w:val="auto"/>
          <w:kern w:val="0"/>
          <w:sz w:val="32"/>
          <w:szCs w:val="32"/>
          <w:highlight w:val="none"/>
          <w:lang w:eastAsia="zh-CN" w:bidi="en-US"/>
        </w:rPr>
      </w:pPr>
      <w:r>
        <w:rPr>
          <w:rFonts w:hint="eastAsia" w:ascii="仿宋_GB2312" w:hAnsi="仿宋_GB2312" w:eastAsia="仿宋_GB2312" w:cs="仿宋_GB2312"/>
          <w:color w:val="auto"/>
          <w:kern w:val="0"/>
          <w:sz w:val="32"/>
          <w:szCs w:val="32"/>
          <w:highlight w:val="none"/>
          <w:lang w:bidi="en-US"/>
        </w:rPr>
        <w:t xml:space="preserve"> 项目名称：叶城县</w:t>
      </w:r>
      <w:r>
        <w:rPr>
          <w:rFonts w:hint="eastAsia" w:ascii="仿宋_GB2312" w:hAnsi="仿宋_GB2312" w:eastAsia="仿宋_GB2312" w:cs="仿宋_GB2312"/>
          <w:color w:val="auto"/>
          <w:kern w:val="0"/>
          <w:sz w:val="32"/>
          <w:szCs w:val="32"/>
          <w:highlight w:val="none"/>
          <w:lang w:eastAsia="zh-CN" w:bidi="en-US"/>
        </w:rPr>
        <w:t>叶城县恰其库木管理区家禽养殖合作社项目</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项目单位：叶城县恰其库木管理区</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主管部门：叶城县恰其库木管理区</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项目负责人：孙延飞</w:t>
      </w:r>
    </w:p>
    <w:p>
      <w:pPr>
        <w:pageBreakBefore w:val="0"/>
        <w:widowControl w:val="0"/>
        <w:kinsoku/>
        <w:wordWrap/>
        <w:overflowPunct/>
        <w:topLinePunct w:val="0"/>
        <w:autoSpaceDE/>
        <w:autoSpaceDN/>
        <w:bidi w:val="0"/>
        <w:adjustRightInd/>
        <w:snapToGrid/>
        <w:spacing w:line="560" w:lineRule="exact"/>
        <w:ind w:firstLine="1411" w:firstLineChars="441"/>
        <w:jc w:val="left"/>
        <w:textAlignment w:val="auto"/>
        <w:rPr>
          <w:rFonts w:hint="eastAsia" w:ascii="仿宋_GB2312" w:hAnsi="仿宋_GB2312" w:eastAsia="仿宋_GB2312" w:cs="仿宋_GB2312"/>
          <w:color w:val="auto"/>
          <w:kern w:val="0"/>
          <w:sz w:val="32"/>
          <w:szCs w:val="32"/>
          <w:highlight w:val="none"/>
          <w:lang w:bidi="en-US"/>
        </w:rPr>
      </w:pPr>
      <w:r>
        <w:rPr>
          <w:rFonts w:hint="eastAsia" w:ascii="仿宋_GB2312" w:hAnsi="仿宋_GB2312" w:eastAsia="仿宋_GB2312" w:cs="仿宋_GB2312"/>
          <w:color w:val="auto"/>
          <w:kern w:val="0"/>
          <w:sz w:val="32"/>
          <w:szCs w:val="32"/>
          <w:highlight w:val="none"/>
          <w:lang w:bidi="en-US"/>
        </w:rPr>
        <w:t>填报时间： 2023年1月7日</w:t>
      </w:r>
    </w:p>
    <w:p>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_GB2312" w:hAnsi="仿宋_GB2312" w:eastAsia="仿宋_GB2312" w:cs="仿宋_GB2312"/>
          <w:b/>
          <w:color w:val="auto"/>
          <w:kern w:val="0"/>
          <w:sz w:val="32"/>
          <w:szCs w:val="32"/>
          <w:highlight w:val="none"/>
          <w:lang w:bidi="en-US"/>
        </w:rPr>
      </w:pPr>
    </w:p>
    <w:p>
      <w:pPr>
        <w:pStyle w:val="4"/>
        <w:pageBreakBefore w:val="0"/>
        <w:widowControl w:val="0"/>
        <w:kinsoku/>
        <w:wordWrap/>
        <w:overflowPunct/>
        <w:topLinePunct w:val="0"/>
        <w:autoSpaceDE/>
        <w:autoSpaceDN/>
        <w:bidi w:val="0"/>
        <w:adjustRightInd/>
        <w:snapToGrid/>
        <w:spacing w:before="0" w:after="0" w:line="560" w:lineRule="exact"/>
        <w:ind w:firstLine="640"/>
        <w:textAlignment w:val="auto"/>
        <w:rPr>
          <w:rFonts w:hint="eastAsia" w:ascii="仿宋_GB2312" w:hAnsi="仿宋_GB2312" w:eastAsia="仿宋_GB2312" w:cs="仿宋_GB2312"/>
          <w:color w:val="auto"/>
          <w:sz w:val="32"/>
          <w:szCs w:val="32"/>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984" w:right="1531" w:bottom="1701" w:left="1531" w:header="851" w:footer="992" w:gutter="0"/>
          <w:pgNumType w:start="1"/>
          <w:cols w:space="720" w:num="1"/>
          <w:docGrid w:type="lines" w:linePitch="386" w:charSpace="0"/>
        </w:sectPr>
      </w:pPr>
    </w:p>
    <w:p>
      <w:pPr>
        <w:keepNext w:val="0"/>
        <w:keepLines w:val="0"/>
        <w:pageBreakBefore w:val="0"/>
        <w:widowControl w:val="0"/>
        <w:kinsoku/>
        <w:overflowPunct/>
        <w:topLinePunct w:val="0"/>
        <w:autoSpaceDN/>
        <w:bidi w:val="0"/>
        <w:adjustRightInd/>
        <w:snapToGrid/>
        <w:spacing w:line="560" w:lineRule="exact"/>
        <w:ind w:firstLine="643" w:firstLineChars="200"/>
        <w:jc w:val="center"/>
        <w:textAlignment w:val="auto"/>
        <w:rPr>
          <w:rFonts w:hint="eastAsia" w:ascii="黑体" w:hAnsi="黑体" w:eastAsia="黑体" w:cs="黑体"/>
          <w:b/>
          <w:bCs/>
          <w:color w:val="auto"/>
          <w:sz w:val="32"/>
          <w:szCs w:val="32"/>
          <w:highlight w:val="none"/>
        </w:rPr>
      </w:pPr>
      <w:r>
        <w:rPr>
          <w:rFonts w:hint="eastAsia" w:ascii="黑体" w:hAnsi="黑体" w:eastAsia="黑体" w:cs="黑体"/>
          <w:b/>
          <w:bCs/>
          <w:color w:val="auto"/>
          <w:sz w:val="32"/>
          <w:szCs w:val="32"/>
          <w:highlight w:val="none"/>
          <w:lang w:val="en-US" w:eastAsia="zh-CN"/>
        </w:rPr>
        <w:t>叶城县恰其库木管理区2022</w:t>
      </w:r>
      <w:r>
        <w:rPr>
          <w:rFonts w:hint="eastAsia" w:ascii="黑体" w:hAnsi="黑体" w:eastAsia="黑体" w:cs="黑体"/>
          <w:b/>
          <w:bCs/>
          <w:color w:val="auto"/>
          <w:sz w:val="32"/>
          <w:szCs w:val="32"/>
          <w:highlight w:val="none"/>
        </w:rPr>
        <w:t>年</w:t>
      </w:r>
      <w:r>
        <w:rPr>
          <w:rFonts w:hint="eastAsia" w:ascii="黑体" w:hAnsi="黑体" w:eastAsia="黑体" w:cs="黑体"/>
          <w:b/>
          <w:bCs/>
          <w:color w:val="auto"/>
          <w:sz w:val="32"/>
          <w:szCs w:val="32"/>
          <w:highlight w:val="none"/>
          <w:lang w:eastAsia="zh-CN"/>
        </w:rPr>
        <w:t>财政衔接推进乡村振兴补助资金</w:t>
      </w:r>
      <w:r>
        <w:rPr>
          <w:rFonts w:hint="eastAsia" w:ascii="黑体" w:hAnsi="黑体" w:eastAsia="黑体" w:cs="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下达预算及项目情况。</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w:t>
      </w:r>
      <w:r>
        <w:rPr>
          <w:rFonts w:hint="eastAsia" w:ascii="仿宋_GB2312" w:hAnsi="仿宋_GB2312" w:eastAsia="仿宋_GB2312" w:cs="仿宋_GB2312"/>
          <w:color w:val="auto"/>
          <w:kern w:val="0"/>
          <w:sz w:val="32"/>
          <w:szCs w:val="32"/>
          <w:highlight w:val="none"/>
          <w:lang w:bidi="en-US"/>
        </w:rPr>
        <w:t>叶城县</w:t>
      </w:r>
      <w:r>
        <w:rPr>
          <w:rFonts w:hint="eastAsia" w:ascii="仿宋_GB2312" w:hAnsi="仿宋_GB2312" w:eastAsia="仿宋_GB2312" w:cs="仿宋_GB2312"/>
          <w:color w:val="auto"/>
          <w:kern w:val="0"/>
          <w:sz w:val="32"/>
          <w:szCs w:val="32"/>
          <w:highlight w:val="none"/>
          <w:lang w:eastAsia="zh-CN" w:bidi="en-US"/>
        </w:rPr>
        <w:t>叶城县恰其库木管理区家禽养殖合作社项目，</w:t>
      </w:r>
      <w:r>
        <w:rPr>
          <w:rFonts w:hint="eastAsia" w:ascii="仿宋_GB2312" w:hAnsi="仿宋_GB2312" w:eastAsia="仿宋_GB2312" w:cs="仿宋_GB2312"/>
          <w:color w:val="auto"/>
          <w:kern w:val="0"/>
          <w:sz w:val="32"/>
          <w:szCs w:val="32"/>
          <w:highlight w:val="none"/>
          <w:lang w:val="en-US" w:eastAsia="zh-CN" w:bidi="ar-SA"/>
        </w:rPr>
        <w:t>项目预算资金17万元，</w:t>
      </w:r>
      <w:r>
        <w:rPr>
          <w:rFonts w:hint="eastAsia" w:ascii="仿宋_GB2312" w:hAnsi="仿宋_GB2312" w:eastAsia="仿宋_GB2312" w:cs="仿宋_GB2312"/>
          <w:color w:val="auto"/>
          <w:kern w:val="2"/>
          <w:sz w:val="32"/>
          <w:szCs w:val="32"/>
          <w:highlight w:val="none"/>
          <w:lang w:val="en-US" w:eastAsia="zh-CN" w:bidi="ar-SA"/>
        </w:rPr>
        <w:t>项目的实施</w:t>
      </w:r>
      <w:r>
        <w:rPr>
          <w:rFonts w:hint="eastAsia" w:ascii="仿宋_GB2312" w:hAnsi="仿宋_GB2312" w:eastAsia="仿宋_GB2312" w:cs="仿宋_GB2312"/>
          <w:color w:val="auto"/>
          <w:sz w:val="32"/>
          <w:szCs w:val="32"/>
          <w:highlight w:val="none"/>
        </w:rPr>
        <w:t>可实现合作社家禽集中养殖，科学饲喂，形成养殖规模化、产业集约化，养殖收益高、见效快。项目实施可促进本地家禽养殖产业发展，进一步壮大村集体经济收入，使当地农户收益，可有效带动农户增产增收。同时，助推当地养殖的风潮，教授养殖技术，提高家禽存活率，形成良好的风气。</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财政衔接推进乡村振兴补助资金</w:t>
      </w:r>
      <w:r>
        <w:rPr>
          <w:rFonts w:hint="eastAsia" w:ascii="仿宋_GB2312" w:hAnsi="仿宋_GB2312" w:eastAsia="仿宋_GB2312" w:cs="仿宋_GB2312"/>
          <w:b/>
          <w:bCs/>
          <w:color w:val="auto"/>
          <w:sz w:val="32"/>
          <w:szCs w:val="32"/>
          <w:highlight w:val="none"/>
        </w:rPr>
        <w:t>项目绩效目标设定情况。</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eastAsia="zh-CN"/>
        </w:rPr>
        <w:t>叶城县恰其库木管理区家禽养殖合作社项目</w:t>
      </w:r>
      <w:r>
        <w:rPr>
          <w:rFonts w:hint="eastAsia" w:ascii="仿宋_GB2312" w:hAnsi="仿宋_GB2312" w:eastAsia="仿宋_GB2312" w:cs="仿宋_GB2312"/>
          <w:color w:val="auto"/>
          <w:sz w:val="32"/>
          <w:szCs w:val="32"/>
          <w:highlight w:val="none"/>
        </w:rPr>
        <w:t>根据喀地财振【2022】3号共安排下达资金17万元，资金来源为巩固拓展和乡村振兴衔接资金，最终确定项目资金总数为17万元。</w:t>
      </w:r>
      <w:r>
        <w:rPr>
          <w:rFonts w:hint="eastAsia" w:ascii="仿宋_GB2312" w:hAnsi="仿宋_GB2312" w:eastAsia="仿宋_GB2312" w:cs="仿宋_GB2312"/>
          <w:color w:val="auto"/>
          <w:sz w:val="32"/>
          <w:szCs w:val="32"/>
          <w:highlight w:val="none"/>
          <w:lang w:val="en-US" w:eastAsia="zh-CN"/>
        </w:rPr>
        <w:t>项目实施</w:t>
      </w:r>
      <w:r>
        <w:rPr>
          <w:rFonts w:hint="eastAsia" w:ascii="仿宋_GB2312" w:hAnsi="仿宋_GB2312" w:eastAsia="仿宋_GB2312" w:cs="仿宋_GB2312"/>
          <w:color w:val="auto"/>
          <w:sz w:val="32"/>
          <w:szCs w:val="32"/>
          <w:highlight w:val="none"/>
        </w:rPr>
        <w:t>可实现合作社家禽集中养殖，科学饲喂，形成养殖规模化、产业集约化，养殖收益高、见效快。项目实施可促进本地家禽养殖产业发展，进一步壮大村集体经济收入，使当地农户收益，可有效带动农户增产增收。同时，助推当地养殖的风潮，教授养殖技术，提高家禽存活率，形成良好的风气。</w:t>
      </w:r>
    </w:p>
    <w:p>
      <w:pPr>
        <w:pStyle w:val="17"/>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1.项目绩效总目标</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叶城县恰其库木管理区家禽养殖合作社项目</w:t>
      </w:r>
      <w:r>
        <w:rPr>
          <w:rFonts w:hint="eastAsia" w:ascii="仿宋_GB2312" w:hAnsi="仿宋_GB2312" w:eastAsia="仿宋_GB2312" w:cs="仿宋_GB2312"/>
          <w:color w:val="auto"/>
          <w:sz w:val="32"/>
          <w:szCs w:val="32"/>
          <w:highlight w:val="none"/>
        </w:rPr>
        <w:t>总投资17万元，用于采购家禽9500只。完成片区6个村家禽养殖合作社社家禽配套，通过养殖实现收益。扩大影响，带动更多农户，逐步推进农业产业结构调整，确保群众实现持续、稳定增收，激发群众的内生动力，为乡村振兴打下坚实的基础。项目建设可有效带动地方农业经济的发展，为当地农业的多元化、产业化发展注入了新元素，提高了农民的收入。</w:t>
      </w:r>
    </w:p>
    <w:p>
      <w:pPr>
        <w:pStyle w:val="17"/>
        <w:pageBreakBefore w:val="0"/>
        <w:widowControl w:val="0"/>
        <w:kinsoku/>
        <w:wordWrap/>
        <w:overflowPunct/>
        <w:topLinePunct w:val="0"/>
        <w:autoSpaceDE/>
        <w:autoSpaceDN/>
        <w:bidi w:val="0"/>
        <w:adjustRightInd/>
        <w:snapToGrid/>
        <w:spacing w:line="560" w:lineRule="exact"/>
        <w:ind w:left="56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2.阶段性目标</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2022年11月：完成项目集中采购手续审批办理</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2023年12月：签订供货合同，结合实际协商供货事宜，完成项目实施</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二、绩效自评工作开展情况</w:t>
      </w:r>
    </w:p>
    <w:p>
      <w:pPr>
        <w:keepNext w:val="0"/>
        <w:keepLines w:val="0"/>
        <w:pageBreakBefore w:val="0"/>
        <w:widowControl w:val="0"/>
        <w:kinsoku/>
        <w:overflowPunct/>
        <w:topLinePunct w:val="0"/>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包括自评工作开展范围、对象、时间及方式等。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1. 绩效评价范围</w:t>
      </w:r>
    </w:p>
    <w:p>
      <w:pPr>
        <w:pageBreakBefore w:val="0"/>
        <w:widowControl w:val="0"/>
        <w:kinsoku/>
        <w:wordWrap/>
        <w:overflowPunct/>
        <w:topLinePunct w:val="0"/>
        <w:autoSpaceDE w:val="0"/>
        <w:autoSpaceDN w:val="0"/>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本次评价范围涵盖项目总体绩效目标、各项绩效指标完成情况以及预算执行情况。覆盖项目预算资金支出的所有内容进行评价。包括项目决策、项目实施和项目成果验收流程等。</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 绩效评价对象</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3.绩效评价时间</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2023年1月3日-2023年1月30日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4. 绩效评价方法</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本次绩效评价方法的选用坚持简便有效的原则采用综合分析法。</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4. 绩效评价标准</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0" w:name="_Toc68364663"/>
      <w:r>
        <w:rPr>
          <w:rFonts w:hint="eastAsia"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绩效评价标准通常包括计划标准、行业标准、历史标准等，用于对绩效指标完成情况进行比较、分析、评价。本次评价主要采用了计划标准。</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1" w:name="_Toc17882"/>
      <w:bookmarkStart w:id="2" w:name="_Toc31464"/>
      <w:r>
        <w:rPr>
          <w:rFonts w:hint="eastAsia" w:ascii="仿宋_GB2312" w:hAnsi="仿宋_GB2312" w:eastAsia="仿宋_GB2312" w:cs="仿宋_GB2312"/>
          <w:color w:val="auto"/>
          <w:sz w:val="32"/>
          <w:szCs w:val="32"/>
          <w:highlight w:val="none"/>
          <w:lang w:val="en-US" w:eastAsia="zh-CN"/>
        </w:rPr>
        <w:t>计划标准：指以预先制定的目标、计划、预算、定额等作为评价标准。</w:t>
      </w:r>
      <w:bookmarkEnd w:id="1"/>
      <w:bookmarkEnd w:id="2"/>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3" w:name="_Toc2318"/>
      <w:bookmarkStart w:id="4" w:name="_Toc5633"/>
      <w:r>
        <w:rPr>
          <w:rFonts w:hint="eastAsia" w:ascii="仿宋_GB2312" w:hAnsi="仿宋_GB2312" w:eastAsia="仿宋_GB2312" w:cs="仿宋_GB2312"/>
          <w:color w:val="auto"/>
          <w:sz w:val="32"/>
          <w:szCs w:val="32"/>
          <w:highlight w:val="none"/>
          <w:lang w:val="en-US" w:eastAsia="zh-CN"/>
        </w:rPr>
        <w:t>行业标准：指参照国家公布的行业指标数据制定的评价标准。</w:t>
      </w:r>
      <w:bookmarkEnd w:id="3"/>
      <w:bookmarkEnd w:id="4"/>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bookmarkStart w:id="5" w:name="_Toc430"/>
      <w:bookmarkStart w:id="6" w:name="_Toc16028"/>
      <w:r>
        <w:rPr>
          <w:rFonts w:hint="eastAsia" w:ascii="仿宋_GB2312" w:hAnsi="仿宋_GB2312" w:eastAsia="仿宋_GB2312" w:cs="仿宋_GB2312"/>
          <w:color w:val="auto"/>
          <w:sz w:val="32"/>
          <w:szCs w:val="32"/>
          <w:highlight w:val="none"/>
          <w:lang w:val="en-US" w:eastAsia="zh-CN"/>
        </w:rPr>
        <w:t>历史标准：指参照历史数据制定的评价标准，为体现绩效改进的原则，在可实现的条件下应当确定相对较高的评价标准。</w:t>
      </w:r>
      <w:bookmarkEnd w:id="0"/>
      <w:bookmarkEnd w:id="5"/>
      <w:bookmarkEnd w:id="6"/>
    </w:p>
    <w:p>
      <w:pPr>
        <w:pStyle w:val="16"/>
        <w:pageBreakBefore w:val="0"/>
        <w:widowControl w:val="0"/>
        <w:kinsoku/>
        <w:wordWrap/>
        <w:overflowPunct/>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（三）绩效评价工作过程</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本次评价成立了评价工作组，成员如下：</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本次评价设计了评价方案、评价指标体系，通过资料分析、调研、访谈满意度调查等方式形成评价结论，在与项目单位沟通后确定评价意见，并出具评价报告。</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第一阶段：前期准备。认真学习相关要求与规定，成立绩效评价工作组，作为绩效评价工作具体实施机构。成员构成如下：</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毛宁任评价组组长，绩效评价工作职责为负责全盘工作。</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朱天成任评价组副组长，绩效评价工作职责为对项目实施情况进行实地调查。</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木塔力甫·艾则孜任评价组成员，绩效评价工作职责为负责资料审核等工作。</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第二阶段：组织实施。经评价组通过实地调研、查阅资料等方式，采用综合分析法对项目的决策、管理、绩效进行的综合评价分析。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第三阶段：分析评价。首先按照指标体系进行定量、定性分析。其次开展量化打分、综合评价工作，形成初步评价结论。最后归纳整体项目情况与存在问题，撰写部门绩效评价报告。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1.项目资金到位情况分析。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eastAsia="zh-CN"/>
        </w:rPr>
        <w:t>叶城县恰其库木管理区家禽养殖合作社项目</w:t>
      </w:r>
      <w:r>
        <w:rPr>
          <w:rFonts w:hint="eastAsia" w:ascii="仿宋_GB2312" w:hAnsi="仿宋_GB2312" w:eastAsia="仿宋_GB2312" w:cs="仿宋_GB2312"/>
          <w:color w:val="auto"/>
          <w:sz w:val="32"/>
          <w:szCs w:val="32"/>
          <w:highlight w:val="none"/>
        </w:rPr>
        <w:t>根据喀地财振【2022】3号共安排下达资金17万元，资金来源为巩固拓展和乡村振兴衔接资金，最终确定项目资金总数为17万元。</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2.项目资金执行情况分析。</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叶城县恰其库木管理区家禽养殖合作社项目预算17万元，到位17万元，实际支出17万元，预算执行率为100%，</w:t>
      </w:r>
      <w:r>
        <w:rPr>
          <w:rFonts w:hint="eastAsia" w:ascii="仿宋_GB2312" w:hAnsi="仿宋_GB2312" w:eastAsia="仿宋_GB2312" w:cs="仿宋_GB2312"/>
          <w:color w:val="auto"/>
          <w:sz w:val="32"/>
          <w:szCs w:val="32"/>
          <w:highlight w:val="none"/>
          <w:lang w:val="en-US" w:eastAsia="zh-CN"/>
        </w:rPr>
        <w:t>本项目能够严格按照《项目实施方案》执行，项目执行情况较好。本项目绩效评价工作，有乡镇主要领导亲自挂帅，分管县领导具体负责，从项目到资金，均能后很好的执行。我单位及时向县领导汇报项目建设进度，加强与施工单位的沟通，确保项目按期完工。</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3.项目资金管理情况分析。</w:t>
      </w:r>
    </w:p>
    <w:p>
      <w:pPr>
        <w:pStyle w:val="1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本项目支出符合《喀什地区财政巩固拓展脱贫攻坚成果同乡村振兴有效衔接资金管理办法（试行）》</w:t>
      </w:r>
      <w:bookmarkStart w:id="7" w:name="_GoBack"/>
      <w:bookmarkEnd w:id="7"/>
      <w:r>
        <w:rPr>
          <w:rFonts w:hint="eastAsia" w:ascii="仿宋_GB2312" w:hAnsi="仿宋_GB2312" w:eastAsia="仿宋_GB2312" w:cs="仿宋_GB2312"/>
          <w:color w:val="auto"/>
          <w:kern w:val="2"/>
          <w:sz w:val="32"/>
          <w:szCs w:val="32"/>
          <w:highlight w:val="none"/>
          <w:lang w:val="en-US" w:eastAsia="zh-CN" w:bidi="ar-SA"/>
        </w:rPr>
        <w:t>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1.产出指标完成情况分析。</w:t>
      </w:r>
    </w:p>
    <w:p>
      <w:pPr>
        <w:pageBreakBefore w:val="0"/>
        <w:widowControl w:val="0"/>
        <w:numPr>
          <w:ilvl w:val="0"/>
          <w:numId w:val="1"/>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对于“产出数量”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采购家禽数量9500只，与预期目标一致，</w:t>
      </w:r>
      <w:r>
        <w:rPr>
          <w:rFonts w:hint="eastAsia" w:ascii="仿宋_GB2312" w:hAnsi="仿宋_GB2312" w:eastAsia="仿宋_GB2312" w:cs="仿宋_GB2312"/>
          <w:color w:val="auto"/>
          <w:kern w:val="2"/>
          <w:sz w:val="32"/>
          <w:szCs w:val="32"/>
          <w:highlight w:val="none"/>
          <w:lang w:val="en-US" w:eastAsia="zh-CN" w:bidi="ar"/>
        </w:rPr>
        <w:t>指标标杆分值为12分，根据评分标准，该指标不扣分。得12分。</w:t>
      </w:r>
    </w:p>
    <w:p>
      <w:pPr>
        <w:pageBreakBefore w:val="0"/>
        <w:widowControl w:val="0"/>
        <w:numPr>
          <w:ilvl w:val="0"/>
          <w:numId w:val="1"/>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对于“产出质量”：</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项目验收合格率100%，与预期目标一致，</w:t>
      </w:r>
      <w:r>
        <w:rPr>
          <w:rFonts w:hint="eastAsia" w:ascii="仿宋_GB2312" w:hAnsi="仿宋_GB2312" w:eastAsia="仿宋_GB2312" w:cs="仿宋_GB2312"/>
          <w:color w:val="auto"/>
          <w:kern w:val="2"/>
          <w:sz w:val="32"/>
          <w:szCs w:val="32"/>
          <w:highlight w:val="none"/>
          <w:lang w:val="en-US" w:eastAsia="zh-CN" w:bidi="ar"/>
        </w:rPr>
        <w:t>指标标杆分值为12分，根据评分标准，该指标不扣分。得12分。</w:t>
      </w:r>
      <w:r>
        <w:rPr>
          <w:rFonts w:hint="eastAsia" w:ascii="仿宋_GB2312" w:hAnsi="仿宋_GB2312" w:eastAsia="仿宋_GB2312" w:cs="仿宋_GB2312"/>
          <w:color w:val="auto"/>
          <w:sz w:val="32"/>
          <w:szCs w:val="32"/>
          <w:highlight w:val="none"/>
        </w:rPr>
        <w:t>合计</w:t>
      </w:r>
    </w:p>
    <w:p>
      <w:pPr>
        <w:pStyle w:val="7"/>
        <w:pageBreakBefore w:val="0"/>
        <w:widowControl w:val="0"/>
        <w:numPr>
          <w:ilvl w:val="0"/>
          <w:numId w:val="1"/>
        </w:numPr>
        <w:kinsoku/>
        <w:wordWrap/>
        <w:overflowPunct/>
        <w:topLinePunct w:val="0"/>
        <w:autoSpaceDE/>
        <w:autoSpaceDN/>
        <w:bidi w:val="0"/>
        <w:adjustRightInd/>
        <w:snapToGrid/>
        <w:spacing w:before="0" w:after="0" w:line="560" w:lineRule="exact"/>
        <w:ind w:firstLine="640"/>
        <w:jc w:val="both"/>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对于“产出时效”：</w:t>
      </w:r>
    </w:p>
    <w:p>
      <w:pPr>
        <w:pStyle w:val="7"/>
        <w:pageBreakBefore w:val="0"/>
        <w:widowControl w:val="0"/>
        <w:kinsoku/>
        <w:wordWrap/>
        <w:overflowPunct/>
        <w:topLinePunct w:val="0"/>
        <w:autoSpaceDE/>
        <w:autoSpaceDN/>
        <w:bidi w:val="0"/>
        <w:adjustRightInd/>
        <w:snapToGrid/>
        <w:spacing w:before="0" w:after="0" w:line="560" w:lineRule="exact"/>
        <w:ind w:firstLine="640"/>
        <w:jc w:val="both"/>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color w:val="auto"/>
          <w:sz w:val="32"/>
          <w:szCs w:val="32"/>
          <w:highlight w:val="none"/>
        </w:rPr>
        <w:t>项目完成及时率100%，与预期目标一致，</w:t>
      </w:r>
      <w:r>
        <w:rPr>
          <w:rFonts w:hint="eastAsia" w:ascii="仿宋_GB2312" w:hAnsi="仿宋_GB2312" w:eastAsia="仿宋_GB2312" w:cs="仿宋_GB2312"/>
          <w:b w:val="0"/>
          <w:color w:val="auto"/>
          <w:sz w:val="32"/>
          <w:szCs w:val="32"/>
          <w:highlight w:val="none"/>
          <w:lang w:val="en-US" w:eastAsia="zh-CN"/>
        </w:rPr>
        <w:t>指标标杆分值为13分，根据评分标准，该指标不扣分。得13分。</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（4）对于“产出成本”：</w:t>
      </w:r>
    </w:p>
    <w:p>
      <w:pPr>
        <w:pStyle w:val="7"/>
        <w:pageBreakBefore w:val="0"/>
        <w:widowControl w:val="0"/>
        <w:kinsoku/>
        <w:wordWrap/>
        <w:overflowPunct/>
        <w:topLinePunct w:val="0"/>
        <w:autoSpaceDE/>
        <w:autoSpaceDN/>
        <w:bidi w:val="0"/>
        <w:adjustRightInd/>
        <w:snapToGrid/>
        <w:spacing w:before="0" w:after="0" w:line="560" w:lineRule="exact"/>
        <w:ind w:firstLine="640"/>
        <w:jc w:val="both"/>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color w:val="auto"/>
          <w:sz w:val="32"/>
          <w:szCs w:val="32"/>
          <w:highlight w:val="none"/>
        </w:rPr>
        <w:t>家禽采购成本17万元，与预期目标一致，</w:t>
      </w:r>
      <w:r>
        <w:rPr>
          <w:rFonts w:hint="eastAsia" w:ascii="仿宋_GB2312" w:hAnsi="仿宋_GB2312" w:eastAsia="仿宋_GB2312" w:cs="仿宋_GB2312"/>
          <w:b w:val="0"/>
          <w:color w:val="auto"/>
          <w:sz w:val="32"/>
          <w:szCs w:val="32"/>
          <w:highlight w:val="none"/>
          <w:lang w:val="en-US" w:eastAsia="zh-CN"/>
        </w:rPr>
        <w:t>指标标杆分值为13分，根据评分标准，该指标不扣分。得13分。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2.效益指标完成情况分析。</w:t>
      </w:r>
    </w:p>
    <w:p>
      <w:pPr>
        <w:pStyle w:val="16"/>
        <w:pageBreakBefore w:val="0"/>
        <w:widowControl w:val="0"/>
        <w:kinsoku/>
        <w:wordWrap/>
        <w:overflowPunct/>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（1）对于“社会效益指标”：</w:t>
      </w:r>
    </w:p>
    <w:p>
      <w:pPr>
        <w:pStyle w:val="7"/>
        <w:pageBreakBefore w:val="0"/>
        <w:widowControl w:val="0"/>
        <w:kinsoku/>
        <w:wordWrap/>
        <w:overflowPunct/>
        <w:topLinePunct w:val="0"/>
        <w:autoSpaceDE/>
        <w:autoSpaceDN/>
        <w:bidi w:val="0"/>
        <w:adjustRightInd/>
        <w:snapToGrid/>
        <w:spacing w:before="0" w:after="0" w:line="560" w:lineRule="exact"/>
        <w:ind w:firstLine="640"/>
        <w:jc w:val="both"/>
        <w:textAlignment w:val="auto"/>
        <w:rPr>
          <w:rFonts w:hint="eastAsia" w:ascii="仿宋_GB2312" w:hAnsi="仿宋_GB2312" w:eastAsia="仿宋_GB2312" w:cs="仿宋_GB2312"/>
          <w:b w:val="0"/>
          <w:color w:val="auto"/>
          <w:sz w:val="32"/>
          <w:szCs w:val="32"/>
          <w:highlight w:val="none"/>
          <w:lang w:val="en-US" w:eastAsia="zh-CN"/>
        </w:rPr>
      </w:pPr>
      <w:r>
        <w:rPr>
          <w:rFonts w:hint="eastAsia" w:ascii="仿宋_GB2312" w:hAnsi="仿宋_GB2312" w:eastAsia="仿宋_GB2312" w:cs="仿宋_GB2312"/>
          <w:b w:val="0"/>
          <w:color w:val="auto"/>
          <w:sz w:val="32"/>
          <w:szCs w:val="32"/>
          <w:highlight w:val="none"/>
          <w:lang w:val="en-US" w:eastAsia="zh-CN"/>
        </w:rPr>
        <w:t>受益脱贫户人口数30人，与预期指标一致，指标标杆分值为10分，根据评分标准，该指标不扣分。得10分。</w:t>
      </w:r>
    </w:p>
    <w:p>
      <w:pPr>
        <w:pStyle w:val="16"/>
        <w:pageBreakBefore w:val="0"/>
        <w:widowControl w:val="0"/>
        <w:kinsoku/>
        <w:wordWrap/>
        <w:overflowPunct/>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2</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rPr>
        <w:t>对于“经济效益指标”：</w:t>
      </w:r>
    </w:p>
    <w:p>
      <w:pPr>
        <w:pStyle w:val="7"/>
        <w:pageBreakBefore w:val="0"/>
        <w:widowControl w:val="0"/>
        <w:kinsoku/>
        <w:wordWrap/>
        <w:overflowPunct/>
        <w:topLinePunct w:val="0"/>
        <w:autoSpaceDE/>
        <w:autoSpaceDN/>
        <w:bidi w:val="0"/>
        <w:adjustRightInd/>
        <w:snapToGrid/>
        <w:spacing w:before="0" w:after="0" w:line="560" w:lineRule="exact"/>
        <w:ind w:firstLine="64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sz w:val="32"/>
          <w:szCs w:val="32"/>
          <w:highlight w:val="none"/>
          <w:lang w:val="en-US" w:eastAsia="zh-CN"/>
        </w:rPr>
        <w:t>带动增加村集体经济每年增收达到15万元，与预期指标一致，指标标杆分值为10分，根据评分标准，该指标不扣分。得10分。</w:t>
      </w:r>
    </w:p>
    <w:p>
      <w:pPr>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p>
    <w:p>
      <w:pPr>
        <w:pStyle w:val="16"/>
        <w:pageBreakBefore w:val="0"/>
        <w:widowControl w:val="0"/>
        <w:kinsoku/>
        <w:wordWrap/>
        <w:overflowPunct/>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（3）对于“可持续影响指标”：</w:t>
      </w:r>
    </w:p>
    <w:p>
      <w:pPr>
        <w:pStyle w:val="7"/>
        <w:pageBreakBefore w:val="0"/>
        <w:widowControl w:val="0"/>
        <w:kinsoku/>
        <w:wordWrap/>
        <w:overflowPunct/>
        <w:topLinePunct w:val="0"/>
        <w:autoSpaceDE/>
        <w:autoSpaceDN/>
        <w:bidi w:val="0"/>
        <w:adjustRightInd/>
        <w:snapToGrid/>
        <w:spacing w:before="0" w:after="0" w:line="560" w:lineRule="exact"/>
        <w:ind w:firstLine="64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设计使用年限达到1年，与预期指标一致，</w:t>
      </w:r>
      <w:r>
        <w:rPr>
          <w:rFonts w:hint="eastAsia" w:ascii="仿宋_GB2312" w:hAnsi="仿宋_GB2312" w:eastAsia="仿宋_GB2312" w:cs="仿宋_GB2312"/>
          <w:b w:val="0"/>
          <w:color w:val="auto"/>
          <w:sz w:val="32"/>
          <w:szCs w:val="32"/>
          <w:highlight w:val="none"/>
          <w:lang w:val="en-US" w:eastAsia="zh-CN"/>
        </w:rPr>
        <w:t>指标标杆分值为10分，根据评分标准，该指标不扣分。得10分。</w:t>
      </w:r>
    </w:p>
    <w:p>
      <w:pPr>
        <w:pStyle w:val="16"/>
        <w:pageBreakBefore w:val="0"/>
        <w:widowControl w:val="0"/>
        <w:kinsoku/>
        <w:wordWrap/>
        <w:overflowPunct/>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2.满意度指标:</w:t>
      </w:r>
    </w:p>
    <w:p>
      <w:pPr>
        <w:pStyle w:val="7"/>
        <w:pageBreakBefore w:val="0"/>
        <w:widowControl w:val="0"/>
        <w:kinsoku/>
        <w:wordWrap/>
        <w:overflowPunct/>
        <w:topLinePunct w:val="0"/>
        <w:autoSpaceDE/>
        <w:autoSpaceDN/>
        <w:bidi w:val="0"/>
        <w:adjustRightInd/>
        <w:snapToGrid/>
        <w:spacing w:before="0" w:after="0" w:line="560" w:lineRule="exact"/>
        <w:ind w:firstLine="64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color w:val="auto"/>
          <w:sz w:val="32"/>
          <w:szCs w:val="32"/>
          <w:highlight w:val="none"/>
          <w:lang w:val="en-US" w:eastAsia="zh-CN"/>
        </w:rPr>
        <w:t>对于满意度指标：受益脱贫户人口满意度大于等于95%，与预期目标一致，指标标杆分值为10分，根据评分标准，该指标不扣分。得10分。</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3" w:firstLineChars="200"/>
        <w:jc w:val="left"/>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四、偏离绩效目标的原因和下一步改进措施</w:t>
      </w:r>
    </w:p>
    <w:p>
      <w:pPr>
        <w:pStyle w:val="16"/>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叶城县</w:t>
      </w:r>
      <w:r>
        <w:rPr>
          <w:rFonts w:hint="eastAsia" w:ascii="仿宋_GB2312" w:hAnsi="仿宋_GB2312" w:eastAsia="仿宋_GB2312" w:cs="仿宋_GB2312"/>
          <w:color w:val="auto"/>
          <w:sz w:val="32"/>
          <w:szCs w:val="32"/>
          <w:highlight w:val="none"/>
          <w:lang w:eastAsia="zh-CN"/>
        </w:rPr>
        <w:t>叶城县恰其库木管理区家禽养殖合作社项目</w:t>
      </w:r>
      <w:r>
        <w:rPr>
          <w:rFonts w:hint="eastAsia" w:ascii="仿宋_GB2312" w:hAnsi="仿宋_GB2312" w:eastAsia="仿宋_GB2312" w:cs="仿宋_GB2312"/>
          <w:color w:val="auto"/>
          <w:sz w:val="32"/>
          <w:szCs w:val="32"/>
          <w:highlight w:val="none"/>
        </w:rPr>
        <w:t>预算17万元，到位17万元，实际支出17万元，预算执行率为100%，项目绩效指标总体完成率为100%，无偏差。</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kern w:val="2"/>
          <w:sz w:val="32"/>
          <w:szCs w:val="32"/>
          <w:highlight w:val="none"/>
          <w:lang w:val="en-US" w:eastAsia="zh-CN" w:bidi="ar-SA"/>
        </w:rPr>
        <w:t>五、综合评价结论</w:t>
      </w:r>
    </w:p>
    <w:p>
      <w:pPr>
        <w:pStyle w:val="3"/>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keepNext w:val="0"/>
        <w:keepLines w:val="0"/>
        <w:pageBreakBefore w:val="0"/>
        <w:widowControl w:val="0"/>
        <w:kinsoku/>
        <w:wordWrap/>
        <w:overflowPunct/>
        <w:topLinePunct w:val="0"/>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叶城县恰其库木管理区家禽养殖合作社项目目</w:t>
      </w:r>
      <w:r>
        <w:rPr>
          <w:rFonts w:hint="eastAsia" w:ascii="仿宋_GB2312" w:hAnsi="仿宋_GB2312" w:eastAsia="仿宋_GB2312" w:cs="仿宋_GB2312"/>
          <w:color w:val="auto"/>
          <w:sz w:val="32"/>
          <w:szCs w:val="32"/>
          <w:highlight w:val="none"/>
        </w:rPr>
        <w:t>叶城县恰其库木管理区家禽养殖合作社项目预算17万元，到位17万元，实际支出17万元，预算执行率为100%，</w:t>
      </w:r>
      <w:r>
        <w:rPr>
          <w:rFonts w:hint="eastAsia" w:ascii="仿宋_GB2312" w:hAnsi="仿宋_GB2312" w:eastAsia="仿宋_GB2312" w:cs="仿宋_GB2312"/>
          <w:color w:val="auto"/>
          <w:sz w:val="32"/>
          <w:szCs w:val="32"/>
          <w:highlight w:val="none"/>
          <w:lang w:val="en-US" w:eastAsia="zh-CN"/>
        </w:rPr>
        <w:t>项目执行</w:t>
      </w:r>
      <w:r>
        <w:rPr>
          <w:rFonts w:hint="eastAsia" w:ascii="仿宋_GB2312" w:hAnsi="仿宋_GB2312" w:eastAsia="仿宋_GB2312" w:cs="仿宋_GB2312"/>
          <w:color w:val="auto"/>
          <w:kern w:val="2"/>
          <w:sz w:val="32"/>
          <w:szCs w:val="32"/>
          <w:highlight w:val="none"/>
          <w:lang w:val="en-US" w:eastAsia="zh-CN" w:bidi="ar"/>
        </w:rPr>
        <w:t>指标标杆分值为10分，根据评分标准，该指标不扣分。得10分。</w:t>
      </w:r>
    </w:p>
    <w:p>
      <w:pPr>
        <w:pStyle w:val="3"/>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六、</w:t>
      </w:r>
      <w:r>
        <w:rPr>
          <w:rFonts w:hint="eastAsia" w:ascii="仿宋_GB2312" w:hAnsi="仿宋_GB2312" w:eastAsia="仿宋_GB2312" w:cs="仿宋_GB2312"/>
          <w:b/>
          <w:color w:val="auto"/>
          <w:sz w:val="32"/>
          <w:szCs w:val="32"/>
          <w:highlight w:val="none"/>
        </w:rPr>
        <w:t>绩效自评结果拟应用和公开情况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（一）对衔接推进乡村振兴补助资金项目、绩效公告公示情况</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b/>
          <w:bCs/>
          <w:color w:val="auto"/>
          <w:kern w:val="2"/>
          <w:sz w:val="32"/>
          <w:szCs w:val="32"/>
          <w:highlight w:val="none"/>
          <w:lang w:val="en-US" w:eastAsia="zh-CN" w:bidi="ar-SA"/>
        </w:rPr>
      </w:pPr>
      <w:r>
        <w:rPr>
          <w:rFonts w:hint="eastAsia" w:ascii="仿宋_GB2312" w:hAnsi="仿宋_GB2312" w:eastAsia="仿宋_GB2312" w:cs="仿宋_GB2312"/>
          <w:b/>
          <w:bCs/>
          <w:color w:val="auto"/>
          <w:kern w:val="2"/>
          <w:sz w:val="32"/>
          <w:szCs w:val="32"/>
          <w:highlight w:val="none"/>
          <w:lang w:val="en-US" w:eastAsia="zh-CN" w:bidi="ar-SA"/>
        </w:rPr>
        <w:t>（二）对绩效自评结果拟应用情况进行说明</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（三）对二级指标权重(分值)分配情况进行说明，赋权的方法或者原则</w:t>
      </w:r>
    </w:p>
    <w:p>
      <w:pPr>
        <w:pStyle w:val="16"/>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2"/>
        <w:keepNext w:val="0"/>
        <w:keepLines w:val="0"/>
        <w:pageBreakBefore w:val="0"/>
        <w:widowControl w:val="0"/>
        <w:numPr>
          <w:ilvl w:val="0"/>
          <w:numId w:val="0"/>
        </w:numPr>
        <w:kinsoku/>
        <w:overflowPunct/>
        <w:topLinePunct w:val="0"/>
        <w:autoSpaceDN/>
        <w:bidi w:val="0"/>
        <w:adjustRightInd/>
        <w:snapToGrid/>
        <w:spacing w:line="560" w:lineRule="exact"/>
        <w:textAlignment w:val="auto"/>
        <w:rPr>
          <w:rFonts w:hint="eastAsia" w:ascii="仿宋_GB2312" w:hAnsi="仿宋_GB2312" w:eastAsia="仿宋_GB2312" w:cs="仿宋_GB2312"/>
          <w:color w:val="auto"/>
          <w:sz w:val="32"/>
          <w:szCs w:val="32"/>
          <w:highlight w:val="none"/>
        </w:rPr>
      </w:pPr>
    </w:p>
    <w:sectPr>
      <w:headerReference r:id="rId9" w:type="default"/>
      <w:footerReference r:id="rId10"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262736"/>
    <w:multiLevelType w:val="singleLevel"/>
    <w:tmpl w:val="A826273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4997DBE"/>
    <w:rsid w:val="059A592B"/>
    <w:rsid w:val="0C033D1A"/>
    <w:rsid w:val="0F984E35"/>
    <w:rsid w:val="0FD84CB5"/>
    <w:rsid w:val="13337EFC"/>
    <w:rsid w:val="187A025D"/>
    <w:rsid w:val="1937751C"/>
    <w:rsid w:val="19DA3325"/>
    <w:rsid w:val="1ABF7AF2"/>
    <w:rsid w:val="1E4E2C6C"/>
    <w:rsid w:val="1EE92567"/>
    <w:rsid w:val="208A2654"/>
    <w:rsid w:val="23FC081B"/>
    <w:rsid w:val="258E09AB"/>
    <w:rsid w:val="275E1E77"/>
    <w:rsid w:val="2BDE14CF"/>
    <w:rsid w:val="2E51749D"/>
    <w:rsid w:val="30A66A13"/>
    <w:rsid w:val="31AE0AA6"/>
    <w:rsid w:val="405E6C33"/>
    <w:rsid w:val="41871287"/>
    <w:rsid w:val="42C508A7"/>
    <w:rsid w:val="47096FDD"/>
    <w:rsid w:val="4DA339A1"/>
    <w:rsid w:val="4EFD730D"/>
    <w:rsid w:val="57CD769C"/>
    <w:rsid w:val="5B7E6D47"/>
    <w:rsid w:val="66A55136"/>
    <w:rsid w:val="682E0E4F"/>
    <w:rsid w:val="6D3F3949"/>
    <w:rsid w:val="72CE0967"/>
    <w:rsid w:val="76270182"/>
    <w:rsid w:val="76954A77"/>
    <w:rsid w:val="7CEE839B"/>
    <w:rsid w:val="7E3D5B7E"/>
    <w:rsid w:val="7E984E50"/>
    <w:rsid w:val="AFBE9D4B"/>
    <w:rsid w:val="F7FFD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2"/>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99"/>
    <w:pPr>
      <w:spacing w:after="120"/>
      <w:ind w:left="420" w:leftChars="200"/>
    </w:pPr>
    <w:rPr>
      <w:rFonts w:cs="Times New Roman"/>
      <w:kern w:val="0"/>
      <w:szCs w:val="20"/>
    </w:rPr>
  </w:style>
  <w:style w:type="paragraph" w:styleId="7">
    <w:name w:val="Body Text"/>
    <w:basedOn w:val="1"/>
    <w:qFormat/>
    <w:uiPriority w:val="0"/>
    <w:pPr>
      <w:spacing w:before="240" w:after="240" w:line="360" w:lineRule="auto"/>
      <w:jc w:val="center"/>
    </w:pPr>
    <w:rPr>
      <w:b/>
      <w:sz w:val="44"/>
    </w:rPr>
  </w:style>
  <w:style w:type="paragraph" w:styleId="8">
    <w:name w:val="Plain Text"/>
    <w:basedOn w:val="1"/>
    <w:unhideWhenUsed/>
    <w:qFormat/>
    <w:uiPriority w:val="99"/>
    <w:rPr>
      <w:rFonts w:ascii="宋体" w:hAnsi="Courier New"/>
    </w:rPr>
  </w:style>
  <w:style w:type="paragraph" w:styleId="9">
    <w:name w:val="Body Text Indent 2"/>
    <w:basedOn w:val="1"/>
    <w:qFormat/>
    <w:uiPriority w:val="0"/>
    <w:pPr>
      <w:ind w:firstLine="280"/>
    </w:pPr>
    <w:rPr>
      <w:rFonts w:ascii="仿宋_GB2312" w:hAnsi="仿宋_GB2312" w:eastAsia="仿宋_GB2312"/>
      <w:kern w:val="1"/>
      <w:sz w:val="28"/>
    </w:rPr>
  </w:style>
  <w:style w:type="paragraph" w:styleId="10">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1">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4">
    <w:name w:val="Strong"/>
    <w:basedOn w:val="13"/>
    <w:qFormat/>
    <w:uiPriority w:val="0"/>
    <w:rPr>
      <w:b/>
      <w:bCs/>
    </w:rPr>
  </w:style>
  <w:style w:type="paragraph" w:customStyle="1" w:styleId="15">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6">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7">
    <w:name w:val="闻政-正文二级标题"/>
    <w:basedOn w:val="5"/>
    <w:next w:val="16"/>
    <w:qFormat/>
    <w:uiPriority w:val="3"/>
    <w:pPr>
      <w:spacing w:before="120" w:after="60" w:line="500" w:lineRule="exact"/>
      <w:ind w:left="200" w:leftChars="200" w:firstLine="0" w:firstLineChars="0"/>
    </w:pPr>
    <w:rPr>
      <w:rFonts w:ascii="Times New Roman" w:hAnsi="Times New Roman"/>
      <w:sz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2019-10-08T21:02:00Z</dcterms:created>
  <dc:creator>姜波</dc:creator>
  <cp:lastModifiedBy>Administrator</cp:lastModifiedBy>
  <dcterms:modified xsi:type="dcterms:W3CDTF">2025-02-17T10:57:28Z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