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560" w:lineRule="exact"/>
        <w:jc w:val="center"/>
        <w:textAlignment w:val="auto"/>
        <w:outlineLvl w:val="0"/>
        <w:rPr>
          <w:rFonts w:hint="eastAsia" w:ascii="黑体" w:hAnsi="黑体" w:eastAsia="黑体"/>
          <w:b/>
          <w:bCs/>
          <w:color w:val="auto"/>
          <w:sz w:val="36"/>
          <w:szCs w:val="36"/>
          <w:highlight w:val="none"/>
          <w:lang w:eastAsia="zh-CN"/>
        </w:rPr>
      </w:pPr>
      <w:r>
        <w:rPr>
          <w:rFonts w:hint="eastAsia" w:ascii="黑体" w:hAnsi="黑体" w:eastAsia="黑体"/>
          <w:b/>
          <w:bCs/>
          <w:color w:val="auto"/>
          <w:sz w:val="36"/>
          <w:szCs w:val="36"/>
          <w:highlight w:val="none"/>
          <w:lang w:eastAsia="zh-CN"/>
        </w:rPr>
        <w:t>叶城县恰其库木管理区养殖小区建设项目支出自评总结报告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Style w:val="6"/>
        <w:rPr>
          <w:rFonts w:hint="eastAsia"/>
          <w:color w:val="auto"/>
          <w:highlight w:val="none"/>
        </w:rPr>
      </w:pPr>
    </w:p>
    <w:p>
      <w:pPr>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pStyle w:val="2"/>
        <w:rPr>
          <w:rFonts w:hint="eastAsia" w:ascii="Times New Roman" w:hAnsi="Times New Roman" w:eastAsia="方正仿宋_GBK" w:cs="方正仿宋_GBK"/>
          <w:color w:val="auto"/>
          <w:kern w:val="0"/>
          <w:sz w:val="32"/>
          <w:szCs w:val="32"/>
          <w:highlight w:val="none"/>
          <w:lang w:bidi="en-US"/>
        </w:rPr>
      </w:pPr>
      <w:bookmarkStart w:id="6" w:name="_GoBack"/>
      <w:bookmarkEnd w:id="6"/>
    </w:p>
    <w:p>
      <w:pPr>
        <w:pStyle w:val="2"/>
        <w:rPr>
          <w:rFonts w:hint="eastAsia" w:ascii="Times New Roman" w:hAnsi="Times New Roman" w:eastAsia="方正仿宋_GBK" w:cs="方正仿宋_GBK"/>
          <w:color w:val="auto"/>
          <w:kern w:val="0"/>
          <w:sz w:val="32"/>
          <w:szCs w:val="32"/>
          <w:highlight w:val="none"/>
          <w:lang w:bidi="en-US"/>
        </w:rPr>
      </w:pPr>
    </w:p>
    <w:p>
      <w:pPr>
        <w:pStyle w:val="2"/>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auto"/>
          <w:kern w:val="2"/>
          <w:sz w:val="32"/>
          <w:szCs w:val="32"/>
          <w:highlight w:val="none"/>
          <w:lang w:val="en-US" w:eastAsia="zh-CN" w:bidi="ar-SA"/>
        </w:rPr>
      </w:pPr>
    </w:p>
    <w:p>
      <w:pPr>
        <w:spacing w:line="540" w:lineRule="exact"/>
        <w:ind w:firstLine="6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项目名称：叶城县恰其库木管理区养殖小区建设项目</w:t>
      </w:r>
    </w:p>
    <w:p>
      <w:pPr>
        <w:spacing w:line="540" w:lineRule="exact"/>
        <w:ind w:firstLine="6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项目单位：叶城县恰其库木管理区</w:t>
      </w:r>
    </w:p>
    <w:p>
      <w:pPr>
        <w:spacing w:line="540" w:lineRule="exact"/>
        <w:ind w:firstLine="6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主管部门：叶城县恰其库木管理区</w:t>
      </w:r>
    </w:p>
    <w:p>
      <w:pPr>
        <w:spacing w:line="540" w:lineRule="exact"/>
        <w:ind w:firstLine="6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项目负责人：孙延飞</w:t>
      </w:r>
    </w:p>
    <w:p>
      <w:pPr>
        <w:spacing w:line="540" w:lineRule="exact"/>
        <w:ind w:firstLine="64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填报时间： 2023年1月7日</w:t>
      </w: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hint="eastAsia" w:ascii="黑体" w:hAnsi="黑体" w:eastAsia="黑体"/>
          <w:b/>
          <w:bCs/>
          <w:color w:val="auto"/>
          <w:sz w:val="32"/>
          <w:szCs w:val="32"/>
          <w:highlight w:val="none"/>
          <w:lang w:val="en-US" w:eastAsia="zh-CN"/>
        </w:rPr>
      </w:pPr>
    </w:p>
    <w:p>
      <w:pPr>
        <w:pageBreakBefore w:val="0"/>
        <w:widowControl w:val="0"/>
        <w:kinsoku/>
        <w:overflowPunct/>
        <w:topLinePunct w:val="0"/>
        <w:autoSpaceDN/>
        <w:bidi w:val="0"/>
        <w:spacing w:line="560" w:lineRule="exact"/>
        <w:jc w:val="center"/>
        <w:textAlignment w:val="auto"/>
        <w:rPr>
          <w:rFonts w:ascii="黑体" w:hAnsi="黑体" w:eastAsia="黑体"/>
          <w:b/>
          <w:bCs/>
          <w:color w:val="auto"/>
          <w:sz w:val="32"/>
          <w:szCs w:val="32"/>
          <w:highlight w:val="none"/>
        </w:rPr>
      </w:pPr>
      <w:r>
        <w:rPr>
          <w:rFonts w:hint="eastAsia" w:ascii="黑体" w:hAnsi="黑体" w:eastAsia="黑体"/>
          <w:b/>
          <w:bCs/>
          <w:color w:val="auto"/>
          <w:sz w:val="32"/>
          <w:szCs w:val="32"/>
          <w:highlight w:val="none"/>
          <w:lang w:val="en-US" w:eastAsia="zh-CN"/>
        </w:rPr>
        <w:t>叶城县恰其库木管理区2022</w:t>
      </w:r>
      <w:r>
        <w:rPr>
          <w:rFonts w:hint="eastAsia" w:ascii="黑体" w:hAnsi="黑体" w:eastAsia="黑体"/>
          <w:b/>
          <w:bCs/>
          <w:color w:val="auto"/>
          <w:sz w:val="32"/>
          <w:szCs w:val="32"/>
          <w:highlight w:val="none"/>
        </w:rPr>
        <w:t>年</w:t>
      </w:r>
      <w:r>
        <w:rPr>
          <w:rFonts w:hint="eastAsia" w:ascii="黑体" w:hAnsi="黑体" w:eastAsia="黑体"/>
          <w:b/>
          <w:bCs/>
          <w:color w:val="auto"/>
          <w:sz w:val="32"/>
          <w:szCs w:val="32"/>
          <w:highlight w:val="none"/>
          <w:lang w:eastAsia="zh-CN"/>
        </w:rPr>
        <w:t>财政衔接推进乡村振兴补助资金</w:t>
      </w:r>
      <w:r>
        <w:rPr>
          <w:rFonts w:hint="eastAsia" w:ascii="黑体" w:hAnsi="黑体" w:eastAsia="黑体"/>
          <w:b/>
          <w:bCs/>
          <w:color w:val="auto"/>
          <w:sz w:val="32"/>
          <w:szCs w:val="32"/>
          <w:highlight w:val="none"/>
        </w:rPr>
        <w:t>绩效自评总结报告</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一、绩效目标分解下达情况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下达预算及项目情况。</w:t>
      </w:r>
    </w:p>
    <w:p>
      <w:pPr>
        <w:spacing w:line="54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根据《关于下达2022年自治区财政衔接推进乡村振兴补助资金预算的通知》（新财振〔2022〕18号），下达2022年自治区财政衔接推进乡村振兴补助资金，叶城县恰其库木管理区养殖小区建设项目，项目总投资为972.62万元，辖6个行政村，22个村民小组，耕地面积6.8万亩，种植业和林果业为片区支柱产业。畜牧养殖业基础较好，发展前景可观。</w:t>
      </w:r>
    </w:p>
    <w:p>
      <w:pPr>
        <w:keepNext w:val="0"/>
        <w:keepLines w:val="0"/>
        <w:pageBreakBefore w:val="0"/>
        <w:widowControl w:val="0"/>
        <w:numPr>
          <w:ilvl w:val="0"/>
          <w:numId w:val="0"/>
        </w:numPr>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b/>
          <w:bCs/>
          <w:color w:val="auto"/>
          <w:sz w:val="32"/>
          <w:szCs w:val="32"/>
          <w:highlight w:val="none"/>
          <w:lang w:val="en-US" w:eastAsia="zh-CN"/>
        </w:rPr>
        <w:t>2.</w:t>
      </w:r>
      <w:r>
        <w:rPr>
          <w:rFonts w:hint="eastAsia" w:ascii="仿宋_GB2312" w:hAnsi="黑体" w:eastAsia="仿宋_GB2312"/>
          <w:b/>
          <w:bCs/>
          <w:color w:val="auto"/>
          <w:sz w:val="32"/>
          <w:szCs w:val="32"/>
          <w:highlight w:val="none"/>
          <w:lang w:eastAsia="zh-CN"/>
        </w:rPr>
        <w:t>财政衔接推进乡村振兴补助资金</w:t>
      </w:r>
      <w:r>
        <w:rPr>
          <w:rFonts w:hint="eastAsia" w:ascii="仿宋_GB2312" w:hAnsi="黑体" w:eastAsia="仿宋_GB2312"/>
          <w:b/>
          <w:bCs/>
          <w:color w:val="auto"/>
          <w:sz w:val="32"/>
          <w:szCs w:val="32"/>
          <w:highlight w:val="none"/>
        </w:rPr>
        <w:t>项目绩效目标设定情况。</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建设主要服务于当地牛羊养殖的发展，该项目投资项目总投资972.62万元，将新建羊养殖小区2座、牛养殖小区1座，每座1500平方米；园区内通硬化路1.2公里；完善配套生产加工动力电及供水设施；项目建成可实现农户牲畜托养，解决劳动力外出就业的后顾之忧。有效带动地方农业经济的发展，为当地农业的多元化、产业化发展注入了新元素，提高了农民的收入。项目的实施对促进当地农民就业，增加农民收入作用突出，成为扶贫攻坚的重要抓手和平台。</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1.项目绩效总目标</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恰其库木管理区养殖小区建设项目总投资972.62万元，用于新建羊养殖小区2座、牛养殖小区1座，每座1500平方米；园区内通硬化路1.2公里；完善配套生产加工动力电及供水设施。资产归属为村集体，由村级确定受益户，通过购买公益岗或者扶持脱贫不稳定户、边缘易致贫户及对突发严重困难户进行补助，提高困难群众防返贫风险能力。</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2.阶段性目标</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2022年3月-2022年4月：研究确定项目建设地块、做好前期工作；</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2022年5月-2022年7月：施工入场，开展工程施工建设；</w:t>
      </w:r>
    </w:p>
    <w:p>
      <w:pPr>
        <w:pStyle w:val="19"/>
        <w:pageBreakBefore w:val="0"/>
        <w:kinsoku/>
        <w:wordWrap/>
        <w:topLinePunct w:val="0"/>
        <w:autoSpaceDE/>
        <w:autoSpaceDN/>
        <w:bidi w:val="0"/>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2022年8月-2022年10月底：完成项目实施，完成项目验收。</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二、绩效自评工作开展情况</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 绩效评价范围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 绩效评价对象</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3.绩效评价时间</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2023年1月3日-2023年1月30日</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4. 绩效评价方法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本次绩效评价方法的选用坚持简便有效的原则采用综合分析法。</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5. 绩效评价标准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0" w:name="_Toc31464"/>
      <w:bookmarkStart w:id="1" w:name="_Toc17882"/>
      <w:r>
        <w:rPr>
          <w:rFonts w:hint="eastAsia" w:ascii="仿宋_GB2312" w:hAnsi="黑体" w:eastAsia="仿宋_GB2312" w:cstheme="minorBidi"/>
          <w:color w:val="auto"/>
          <w:kern w:val="2"/>
          <w:sz w:val="32"/>
          <w:szCs w:val="32"/>
          <w:highlight w:val="none"/>
          <w:lang w:val="en-US" w:eastAsia="zh-CN" w:bidi="ar-SA"/>
        </w:rPr>
        <w:t>计划标准：指以预先制定的目标、计划、预算、定额等作为评价标准。</w:t>
      </w:r>
      <w:bookmarkEnd w:id="0"/>
      <w:bookmarkEnd w:id="1"/>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2" w:name="_Toc2318"/>
      <w:bookmarkStart w:id="3" w:name="_Toc5633"/>
      <w:r>
        <w:rPr>
          <w:rFonts w:hint="eastAsia" w:ascii="仿宋_GB2312" w:hAnsi="黑体" w:eastAsia="仿宋_GB2312" w:cstheme="minorBidi"/>
          <w:color w:val="auto"/>
          <w:kern w:val="2"/>
          <w:sz w:val="32"/>
          <w:szCs w:val="32"/>
          <w:highlight w:val="none"/>
          <w:lang w:val="en-US" w:eastAsia="zh-CN" w:bidi="ar-SA"/>
        </w:rPr>
        <w:t>行业标准：指参照国家公布的行业指标数据制定的评价标准。</w:t>
      </w:r>
      <w:bookmarkEnd w:id="2"/>
      <w:bookmarkEnd w:id="3"/>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bookmarkStart w:id="4" w:name="_Toc16028"/>
      <w:bookmarkStart w:id="5" w:name="_Toc430"/>
      <w:r>
        <w:rPr>
          <w:rFonts w:hint="eastAsia" w:ascii="仿宋_GB2312" w:hAnsi="黑体" w:eastAsia="仿宋_GB2312" w:cstheme="minorBidi"/>
          <w:color w:val="auto"/>
          <w:kern w:val="2"/>
          <w:sz w:val="32"/>
          <w:szCs w:val="32"/>
          <w:highlight w:val="none"/>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rPr>
        <w:t>三、绩效目标自评完成情况分析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(一）资金投入情况分析。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1.项目资金到位情况分析。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叶城县恰其库木管理区家禽养殖合作社项目根据喀地财扶[2021]9号共安排下达资金1000万元，资金来源为巩固拓展和乡村振兴衔接资金，最终确定项目资金总数为972.62万元。</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2.项目资金执行情况分析。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截至2022年12月31日，实际支出972.62万元，预算执行率100%。</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3.项目资金管理情况分析。</w:t>
      </w:r>
    </w:p>
    <w:p>
      <w:pPr>
        <w:pStyle w:val="1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支出符合《喀什地区财政巩固拓展脱贫攻坚成果同乡村振兴有效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rFonts w:hint="eastAsia" w:ascii="仿宋_GB2312" w:hAnsi="黑体" w:eastAsia="仿宋_GB2312"/>
          <w:b/>
          <w:bCs/>
          <w:color w:val="auto"/>
          <w:sz w:val="32"/>
          <w:szCs w:val="32"/>
          <w:highlight w:val="none"/>
        </w:rPr>
      </w:pPr>
      <w:r>
        <w:rPr>
          <w:rFonts w:hint="eastAsia" w:ascii="仿宋_GB2312" w:hAnsi="黑体" w:eastAsia="仿宋_GB2312"/>
          <w:b/>
          <w:bCs/>
          <w:color w:val="auto"/>
          <w:sz w:val="32"/>
          <w:szCs w:val="32"/>
          <w:highlight w:val="none"/>
        </w:rPr>
        <w:t>(二）绩效目标完成情况分析。</w:t>
      </w:r>
    </w:p>
    <w:p>
      <w:pPr>
        <w:keepNext w:val="0"/>
        <w:keepLines w:val="0"/>
        <w:pageBreakBefore w:val="0"/>
        <w:widowControl w:val="0"/>
        <w:kinsoku/>
        <w:overflowPunct/>
        <w:topLinePunct w:val="0"/>
        <w:autoSpaceDN/>
        <w:bidi w:val="0"/>
        <w:adjustRightInd/>
        <w:snapToGrid/>
        <w:spacing w:line="560" w:lineRule="exact"/>
        <w:ind w:firstLine="643" w:firstLineChars="200"/>
        <w:jc w:val="left"/>
        <w:textAlignment w:val="auto"/>
        <w:rPr>
          <w:color w:val="auto"/>
          <w:highlight w:val="none"/>
        </w:rPr>
      </w:pPr>
      <w:r>
        <w:rPr>
          <w:rFonts w:hint="eastAsia" w:ascii="仿宋_GB2312" w:hAnsi="黑体" w:eastAsia="仿宋_GB2312"/>
          <w:b/>
          <w:bCs/>
          <w:color w:val="auto"/>
          <w:sz w:val="32"/>
          <w:szCs w:val="32"/>
          <w:highlight w:val="none"/>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(1)对于“产出数量”</w:t>
      </w:r>
    </w:p>
    <w:p>
      <w:pPr>
        <w:keepNext w:val="0"/>
        <w:keepLines w:val="0"/>
        <w:widowControl/>
        <w:suppressLineNumbers w:val="0"/>
        <w:wordWrap w:val="0"/>
        <w:spacing w:before="0" w:beforeAutospacing="0" w:after="0" w:afterAutospacing="0" w:line="18" w:lineRule="atLeast"/>
        <w:ind w:left="0" w:right="0" w:firstLine="640" w:firstLineChars="200"/>
        <w:jc w:val="left"/>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新建羊养殖小区数量及附属实施2座，与预期目标一致，指标标杆分值为6分,根据评分标准，该指标不扣分，得6分。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新建牛养殖小区数量及附属实施1座，与预期目标一致，指标标杆分值为6分,根据评分标准，该指标不扣分，得6分。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项目验收合格率等于100%，与预期目标一致，指标标杆分值为6分,根据评分标准，该指标不扣分，得6分。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项目开始时间2022年5月1日，与预期目标指标一致，指标标杆分值为6分,根据评分标准，该指标不扣分，得6分。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项目完成时间2022年10月29日，与预期目标指标一致，指标标杆分值为7分,根据评分标准，该指标不扣分，得7分。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项目完成及时率100%，与预期目标一致，指标标杆分值为7分,根据评分标准，该指标不扣分，得7分。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合计得20分。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肉羊养殖小区平均每座及附属实施建设成本325万元，与预期目标一致，指标标杆分值为6分,根据评分标准，该指标不扣分，得6分。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牛养殖小区平均每座及附属实施建设成本322.62万元，与预期目标一致，指标标杆分值为6分,根据评分标准，该指标不扣分，得6分。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合计得12分。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1.实施效益指标：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（1）对于“社会效益指标”：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带动脱贫户和边缘高致贫户人数626人，与预期指标一致，指标标杆分值为10分，根据评分标准，该指标不扣分，得10分。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default"/>
          <w:color w:val="auto"/>
          <w:highlight w:val="none"/>
          <w:lang w:val="en-US" w:eastAsia="zh-CN"/>
        </w:rPr>
      </w:pPr>
      <w:r>
        <w:rPr>
          <w:rFonts w:hint="eastAsia" w:ascii="仿宋_GB2312" w:hAnsi="黑体" w:eastAsia="仿宋_GB2312"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（2）对于“经济效益指标”：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带动增加受益脱贫户人口全年总收入62.64万元，与预期指标一致，指标标杆分值为10分，根据评分标准，该指标不扣分，得10分。</w:t>
      </w:r>
    </w:p>
    <w:p>
      <w:pPr>
        <w:pStyle w:val="2"/>
        <w:keepNext w:val="0"/>
        <w:keepLines w:val="0"/>
        <w:pageBreakBefore w:val="0"/>
        <w:widowControl w:val="0"/>
        <w:kinsoku/>
        <w:overflowPunct/>
        <w:topLinePunct w:val="0"/>
        <w:autoSpaceDN/>
        <w:bidi w:val="0"/>
        <w:adjustRightInd/>
        <w:snapToGrid/>
        <w:spacing w:line="560" w:lineRule="exac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合计得分10分。</w:t>
      </w:r>
    </w:p>
    <w:p>
      <w:pPr>
        <w:pStyle w:val="2"/>
        <w:keepNext w:val="0"/>
        <w:keepLines w:val="0"/>
        <w:pageBreakBefore w:val="0"/>
        <w:widowControl w:val="0"/>
        <w:numPr>
          <w:ilvl w:val="0"/>
          <w:numId w:val="1"/>
        </w:numPr>
        <w:kinsoku/>
        <w:overflowPunct/>
        <w:topLinePunct w:val="0"/>
        <w:autoSpaceDN/>
        <w:bidi w:val="0"/>
        <w:adjustRightInd/>
        <w:snapToGrid/>
        <w:spacing w:line="560" w:lineRule="exact"/>
        <w:ind w:left="0" w:leftChars="0" w:firstLine="640" w:firstLineChars="20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该项目无生态效益指标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（4）对于“可持续影响指标”：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养殖小区设计使用年限10年，与预期指标一致，指标标杆分值为10分，根据评分标准，该指标不扣分，得10分。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对于“满意度指标”：受益村镇人员满意度95%，与预期目标一致，根据评分标准，该指标不扣分,得10分。</w:t>
      </w:r>
    </w:p>
    <w:p>
      <w:pPr>
        <w:pStyle w:val="18"/>
        <w:ind w:left="0" w:leftChars="0" w:firstLine="640" w:firstLineChars="200"/>
        <w:rPr>
          <w:rFonts w:hint="default"/>
          <w:color w:val="auto"/>
          <w:highlight w:val="none"/>
          <w:lang w:val="en-US" w:eastAsia="zh-CN"/>
        </w:rPr>
      </w:pPr>
      <w:r>
        <w:rPr>
          <w:rFonts w:hint="eastAsia" w:ascii="仿宋_GB2312" w:hAnsi="黑体" w:cstheme="minorBidi"/>
          <w:color w:val="auto"/>
          <w:kern w:val="2"/>
          <w:sz w:val="32"/>
          <w:szCs w:val="32"/>
          <w:highlight w:val="none"/>
          <w:lang w:val="en-US" w:eastAsia="zh-CN" w:bidi="ar-SA"/>
        </w:rPr>
        <w:t>合计得分10分。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right="0" w:firstLine="643" w:firstLineChars="200"/>
        <w:jc w:val="left"/>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四、偏离绩效目标的原因和下一步改进措施</w:t>
      </w:r>
    </w:p>
    <w:p>
      <w:pPr>
        <w:pStyle w:val="19"/>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叶城县恰其库木管理区养殖小区建设项目成本预算972.62万元，到位972.62万元，实际支出972.62万元，预算执行率为100%，项目绩效指标总体完成率为100%，无偏差。</w:t>
      </w:r>
    </w:p>
    <w:p>
      <w:pPr>
        <w:pStyle w:val="20"/>
        <w:keepNext/>
        <w:keepLines/>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方正楷体_GBK" w:hAnsi="方正楷体_GBK" w:eastAsia="方正楷体_GBK" w:cs="方正楷体_GBK"/>
          <w:b/>
          <w:bCs/>
          <w:color w:val="auto"/>
          <w:sz w:val="32"/>
          <w:highlight w:val="none"/>
        </w:rPr>
      </w:pPr>
      <w:r>
        <w:rPr>
          <w:rFonts w:hint="eastAsia" w:eastAsia="方正仿宋_GBK" w:cs="方正仿宋_GBK"/>
          <w:b/>
          <w:bCs/>
          <w:color w:val="auto"/>
          <w:kern w:val="2"/>
          <w:sz w:val="32"/>
          <w:szCs w:val="32"/>
          <w:highlight w:val="none"/>
          <w:lang w:val="en-US" w:eastAsia="zh-CN" w:bidi="ar-SA"/>
        </w:rPr>
        <w:t>五、</w:t>
      </w:r>
      <w:r>
        <w:rPr>
          <w:rFonts w:hint="eastAsia" w:ascii="Times New Roman" w:hAnsi="Times New Roman" w:eastAsia="方正仿宋_GBK" w:cs="方正仿宋_GBK"/>
          <w:b/>
          <w:bCs/>
          <w:color w:val="auto"/>
          <w:kern w:val="2"/>
          <w:sz w:val="32"/>
          <w:szCs w:val="32"/>
          <w:highlight w:val="none"/>
          <w:lang w:val="en-US" w:eastAsia="zh-CN" w:bidi="ar-SA"/>
        </w:rPr>
        <w:t>综合评价结论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p>
    <w:p>
      <w:pPr>
        <w:pStyle w:val="19"/>
        <w:spacing w:line="560" w:lineRule="exact"/>
        <w:ind w:firstLine="640"/>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恰其库木管理区养殖小区建设项目总投资972.62万元，用于新建羊养殖小区2座、牛养殖小区1座，每座1500平方米；；完善配套生产加工动力电及供水设施。资产归属为村集体，由村级确定受益户，通过购买公益岗或者扶持脱贫不稳定户、边缘易致贫户及对突发严重困难户进行补助，提高困难群众防返贫风险能力。该项目最终评分100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仿宋_GB2312" w:hAnsi="黑体" w:eastAsia="仿宋_GB2312"/>
          <w:b/>
          <w:color w:val="auto"/>
          <w:sz w:val="32"/>
          <w:szCs w:val="32"/>
          <w:highlight w:val="none"/>
        </w:rPr>
      </w:pPr>
      <w:r>
        <w:rPr>
          <w:rFonts w:hint="eastAsia" w:ascii="仿宋_GB2312" w:hAnsi="黑体" w:eastAsia="仿宋_GB2312"/>
          <w:b/>
          <w:color w:val="auto"/>
          <w:sz w:val="32"/>
          <w:szCs w:val="32"/>
          <w:highlight w:val="none"/>
          <w:lang w:val="en-US" w:eastAsia="zh-CN"/>
        </w:rPr>
        <w:t>六、</w:t>
      </w:r>
      <w:r>
        <w:rPr>
          <w:rFonts w:hint="eastAsia" w:ascii="仿宋_GB2312" w:hAnsi="黑体" w:eastAsia="仿宋_GB2312"/>
          <w:b/>
          <w:color w:val="auto"/>
          <w:sz w:val="32"/>
          <w:szCs w:val="32"/>
          <w:highlight w:val="none"/>
        </w:rPr>
        <w:t>绩效自评结果拟应用和公开情况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（一）对衔接推进乡村振兴补助资金项目、绩效公告公示情况</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按照《国务院办公厅关于印发2017年政务公开工作要点的通知》（国发办【2017】24号）、《新疆维吾尔自治区财政衔接推进乡村振兴补助资金管理办法》（新材规【2021】11号）文件要求：由叶城县财政局扶贫股核对本项目资金及建设内容、由叶城县财政局绩效评价中心于2022年1月19日对项目绩效目标在叶城县人民政府网（http://www.xjyc.gov.cn/ycx/c107308/zwgk.shtml）进行公开，项目实施前在相关乡镇进行了张榜公开，接受社会监督。</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（二）对绩效自评结果拟应用情况进行说明</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b/>
          <w:bCs/>
          <w:color w:val="auto"/>
          <w:kern w:val="2"/>
          <w:sz w:val="32"/>
          <w:szCs w:val="32"/>
          <w:highlight w:val="none"/>
          <w:lang w:val="en-US" w:eastAsia="zh-CN" w:bidi="ar-SA"/>
        </w:rPr>
      </w:pPr>
      <w:r>
        <w:rPr>
          <w:rFonts w:hint="eastAsia" w:ascii="仿宋_GB2312" w:hAnsi="黑体" w:eastAsia="仿宋_GB2312" w:cstheme="minorBidi"/>
          <w:b/>
          <w:bCs/>
          <w:color w:val="auto"/>
          <w:kern w:val="2"/>
          <w:sz w:val="32"/>
          <w:szCs w:val="32"/>
          <w:highlight w:val="none"/>
          <w:lang w:val="en-US" w:eastAsia="zh-CN" w:bidi="ar-SA"/>
        </w:rPr>
        <w:t>（三）对二级指标权重(分值)分配情况进行说明，赋权的方法或者原则</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r>
        <w:rPr>
          <w:rFonts w:hint="eastAsia" w:ascii="仿宋_GB2312" w:hAnsi="黑体" w:eastAsia="仿宋_GB2312" w:cstheme="minorBidi"/>
          <w:color w:val="auto"/>
          <w:kern w:val="2"/>
          <w:sz w:val="32"/>
          <w:szCs w:val="32"/>
          <w:highlight w:val="none"/>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Style w:val="19"/>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仿宋_GB2312" w:hAnsi="黑体" w:eastAsia="仿宋_GB2312" w:cstheme="minorBidi"/>
          <w:color w:val="auto"/>
          <w:kern w:val="2"/>
          <w:sz w:val="32"/>
          <w:szCs w:val="32"/>
          <w:highlight w:val="none"/>
          <w:lang w:val="en-US" w:eastAsia="zh-CN" w:bidi="ar-SA"/>
        </w:rPr>
      </w:pPr>
    </w:p>
    <w:p>
      <w:pPr>
        <w:pStyle w:val="2"/>
        <w:keepNext w:val="0"/>
        <w:keepLines w:val="0"/>
        <w:pageBreakBefore w:val="0"/>
        <w:widowControl w:val="0"/>
        <w:numPr>
          <w:ilvl w:val="0"/>
          <w:numId w:val="0"/>
        </w:numPr>
        <w:kinsoku/>
        <w:overflowPunct/>
        <w:topLinePunct w:val="0"/>
        <w:autoSpaceDN/>
        <w:bidi w:val="0"/>
        <w:adjustRightInd/>
        <w:snapToGrid/>
        <w:spacing w:line="560" w:lineRule="exact"/>
        <w:ind w:leftChars="200"/>
        <w:textAlignment w:val="auto"/>
        <w:rPr>
          <w:color w:val="auto"/>
          <w:highlight w:val="none"/>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861488"/>
    <w:rsid w:val="009E7C42"/>
    <w:rsid w:val="00F20A26"/>
    <w:rsid w:val="059A592B"/>
    <w:rsid w:val="08EC01DC"/>
    <w:rsid w:val="0E3A2531"/>
    <w:rsid w:val="12A245A9"/>
    <w:rsid w:val="14653122"/>
    <w:rsid w:val="17F82735"/>
    <w:rsid w:val="187A025D"/>
    <w:rsid w:val="188A654C"/>
    <w:rsid w:val="1937751C"/>
    <w:rsid w:val="19CC7701"/>
    <w:rsid w:val="1ABF7AF2"/>
    <w:rsid w:val="1B4D6D35"/>
    <w:rsid w:val="20183F4F"/>
    <w:rsid w:val="20C02ABC"/>
    <w:rsid w:val="22084AEF"/>
    <w:rsid w:val="22E936F1"/>
    <w:rsid w:val="24A3706C"/>
    <w:rsid w:val="29EC0C5C"/>
    <w:rsid w:val="2B1E4C6A"/>
    <w:rsid w:val="2D5F13D7"/>
    <w:rsid w:val="2E51749D"/>
    <w:rsid w:val="31A02A0C"/>
    <w:rsid w:val="31AE0AA6"/>
    <w:rsid w:val="34D85CE0"/>
    <w:rsid w:val="386D751C"/>
    <w:rsid w:val="3A667D78"/>
    <w:rsid w:val="3B6D0EF3"/>
    <w:rsid w:val="3D860681"/>
    <w:rsid w:val="3EDE66B4"/>
    <w:rsid w:val="4040105E"/>
    <w:rsid w:val="41871287"/>
    <w:rsid w:val="432C4713"/>
    <w:rsid w:val="468C3FA5"/>
    <w:rsid w:val="4BA819CC"/>
    <w:rsid w:val="54575230"/>
    <w:rsid w:val="54C978C3"/>
    <w:rsid w:val="55DA66E7"/>
    <w:rsid w:val="5CEF0BA5"/>
    <w:rsid w:val="5EAD4FF8"/>
    <w:rsid w:val="614F4951"/>
    <w:rsid w:val="647906B5"/>
    <w:rsid w:val="651A36AB"/>
    <w:rsid w:val="6576729F"/>
    <w:rsid w:val="68665F57"/>
    <w:rsid w:val="6AC53C59"/>
    <w:rsid w:val="6B246D54"/>
    <w:rsid w:val="7132728B"/>
    <w:rsid w:val="761975A1"/>
    <w:rsid w:val="79557554"/>
    <w:rsid w:val="7B580975"/>
    <w:rsid w:val="7E984E50"/>
    <w:rsid w:val="7F132561"/>
    <w:rsid w:val="EDFC9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2"/>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paragraph" w:styleId="7">
    <w:name w:val="heading 4"/>
    <w:basedOn w:val="1"/>
    <w:next w:val="1"/>
    <w:qFormat/>
    <w:uiPriority w:val="9"/>
    <w:pPr>
      <w:keepNext/>
      <w:keepLines/>
      <w:spacing w:before="280" w:after="290" w:line="376" w:lineRule="auto"/>
      <w:outlineLvl w:val="3"/>
    </w:pPr>
    <w:rPr>
      <w:rFonts w:ascii="Cambria" w:hAnsi="Cambria" w:eastAsia="宋体" w:cs="Times New Roman"/>
      <w:b/>
      <w:bCs/>
      <w:kern w:val="0"/>
      <w:szCs w:val="28"/>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pPr>
  </w:style>
  <w:style w:type="paragraph" w:styleId="3">
    <w:name w:val="Body Text Indent"/>
    <w:basedOn w:val="1"/>
    <w:unhideWhenUsed/>
    <w:qFormat/>
    <w:uiPriority w:val="99"/>
    <w:pPr>
      <w:spacing w:after="120"/>
      <w:ind w:left="420" w:leftChars="200"/>
    </w:pPr>
    <w:rPr>
      <w:rFonts w:cs="Times New Roman"/>
      <w:kern w:val="0"/>
      <w:szCs w:val="20"/>
    </w:rPr>
  </w:style>
  <w:style w:type="paragraph" w:styleId="8">
    <w:name w:val="annotation text"/>
    <w:basedOn w:val="1"/>
    <w:unhideWhenUsed/>
    <w:qFormat/>
    <w:uiPriority w:val="99"/>
    <w:rPr>
      <w:rFonts w:cs="Times New Roman"/>
      <w:kern w:val="0"/>
      <w:sz w:val="20"/>
      <w:szCs w:val="20"/>
    </w:rPr>
  </w:style>
  <w:style w:type="paragraph" w:styleId="9">
    <w:name w:val="Body Text"/>
    <w:basedOn w:val="1"/>
    <w:qFormat/>
    <w:uiPriority w:val="0"/>
    <w:pPr>
      <w:spacing w:before="240" w:after="240" w:line="360" w:lineRule="auto"/>
      <w:jc w:val="center"/>
    </w:pPr>
    <w:rPr>
      <w:b/>
      <w:sz w:val="44"/>
    </w:rPr>
  </w:style>
  <w:style w:type="paragraph" w:styleId="10">
    <w:name w:val="Plain Text"/>
    <w:basedOn w:val="1"/>
    <w:unhideWhenUsed/>
    <w:qFormat/>
    <w:uiPriority w:val="99"/>
    <w:rPr>
      <w:rFonts w:ascii="宋体" w:hAnsi="Courier New"/>
    </w:rPr>
  </w:style>
  <w:style w:type="paragraph" w:styleId="11">
    <w:name w:val="Body Text Indent 2"/>
    <w:basedOn w:val="1"/>
    <w:qFormat/>
    <w:uiPriority w:val="0"/>
    <w:pPr>
      <w:ind w:firstLine="280"/>
    </w:pPr>
    <w:rPr>
      <w:rFonts w:ascii="仿宋_GB2312" w:hAnsi="仿宋_GB2312" w:eastAsia="仿宋_GB2312"/>
      <w:kern w:val="1"/>
      <w:sz w:val="28"/>
    </w:rPr>
  </w:style>
  <w:style w:type="paragraph" w:styleId="12">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3">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6">
    <w:name w:val="Strong"/>
    <w:basedOn w:val="15"/>
    <w:qFormat/>
    <w:uiPriority w:val="0"/>
    <w:rPr>
      <w:b/>
      <w:bCs/>
    </w:rPr>
  </w:style>
  <w:style w:type="paragraph" w:customStyle="1" w:styleId="17">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8">
    <w:name w:val="1 正文"/>
    <w:basedOn w:val="1"/>
    <w:qFormat/>
    <w:uiPriority w:val="0"/>
    <w:pPr>
      <w:ind w:firstLine="200"/>
    </w:pPr>
    <w:rPr>
      <w:rFonts w:eastAsia="仿宋_GB2312" w:cs="Times New Roman"/>
      <w:szCs w:val="28"/>
    </w:rPr>
  </w:style>
  <w:style w:type="paragraph" w:customStyle="1" w:styleId="19">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0">
    <w:name w:val="闻政-正文二级标题"/>
    <w:basedOn w:val="5"/>
    <w:next w:val="19"/>
    <w:qFormat/>
    <w:uiPriority w:val="3"/>
    <w:pPr>
      <w:spacing w:before="120" w:after="60" w:line="500" w:lineRule="exact"/>
      <w:ind w:left="200" w:leftChars="200" w:firstLine="0" w:firstLineChars="0"/>
    </w:pPr>
    <w:rPr>
      <w:rFonts w:ascii="Times New Roman" w:hAnsi="Times New Roman"/>
      <w:sz w:val="28"/>
    </w:rPr>
  </w:style>
  <w:style w:type="paragraph" w:customStyle="1" w:styleId="21">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0</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2019-10-08T13:02:00Z</dcterms:created>
  <dc:creator>姜波</dc:creator>
  <cp:lastModifiedBy>Administrator</cp:lastModifiedBy>
  <dcterms:modified xsi:type="dcterms:W3CDTF">2025-02-17T10:57:57Z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