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bidi w:val="0"/>
        <w:adjustRightInd/>
        <w:snapToGrid/>
        <w:spacing w:line="560" w:lineRule="exact"/>
        <w:ind w:firstLine="0" w:firstLineChars="0"/>
        <w:jc w:val="both"/>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r>
        <w:rPr>
          <w:rFonts w:hint="eastAsia" w:ascii="黑体" w:hAnsi="黑体" w:eastAsia="黑体" w:cs="黑体"/>
          <w:b/>
          <w:color w:val="auto"/>
          <w:sz w:val="36"/>
          <w:szCs w:val="36"/>
          <w:highlight w:val="none"/>
          <w:shd w:val="clear" w:color="auto" w:fill="auto"/>
        </w:rPr>
        <w:t>叶城县</w:t>
      </w:r>
      <w:r>
        <w:rPr>
          <w:rFonts w:hint="eastAsia" w:ascii="黑体" w:hAnsi="黑体" w:eastAsia="黑体" w:cs="黑体"/>
          <w:b/>
          <w:color w:val="auto"/>
          <w:sz w:val="36"/>
          <w:szCs w:val="36"/>
          <w:highlight w:val="none"/>
          <w:shd w:val="clear" w:color="auto" w:fill="auto"/>
          <w:lang w:val="en-US" w:eastAsia="zh-CN"/>
        </w:rPr>
        <w:t>棋盘乡家禽养殖合作</w:t>
      </w:r>
      <w:r>
        <w:rPr>
          <w:rFonts w:hint="eastAsia" w:ascii="黑体" w:hAnsi="黑体" w:eastAsia="黑体" w:cs="黑体"/>
          <w:b/>
          <w:color w:val="auto"/>
          <w:sz w:val="36"/>
          <w:szCs w:val="36"/>
          <w:highlight w:val="none"/>
          <w:shd w:val="clear" w:color="auto" w:fill="auto"/>
        </w:rPr>
        <w:t>项目</w:t>
      </w:r>
      <w:r>
        <w:rPr>
          <w:rFonts w:hint="eastAsia" w:ascii="黑体" w:hAnsi="黑体" w:eastAsia="黑体"/>
          <w:b/>
          <w:bCs/>
          <w:color w:val="auto"/>
          <w:sz w:val="36"/>
          <w:szCs w:val="36"/>
          <w:highlight w:val="none"/>
          <w:lang w:eastAsia="zh-CN"/>
        </w:rPr>
        <w:t>支出自评总结报告</w:t>
      </w:r>
    </w:p>
    <w:p>
      <w:pPr>
        <w:pageBreakBefore w:val="0"/>
        <w:widowControl w:val="0"/>
        <w:tabs>
          <w:tab w:val="left" w:pos="1680"/>
        </w:tabs>
        <w:kinsoku/>
        <w:wordWrap/>
        <w:overflowPunct/>
        <w:topLinePunct w:val="0"/>
        <w:autoSpaceDE/>
        <w:autoSpaceDN/>
        <w:bidi w:val="0"/>
        <w:adjustRightInd/>
        <w:snapToGrid/>
        <w:spacing w:before="120" w:after="120" w:line="560" w:lineRule="exact"/>
        <w:ind w:firstLine="803"/>
        <w:jc w:val="center"/>
        <w:textAlignment w:val="auto"/>
        <w:outlineLvl w:val="0"/>
        <w:rPr>
          <w:rFonts w:hint="eastAsia" w:ascii="黑体" w:hAnsi="黑体" w:eastAsia="黑体" w:cs="黑体"/>
          <w:b/>
          <w:color w:val="auto"/>
          <w:sz w:val="36"/>
          <w:szCs w:val="36"/>
          <w:highlight w:val="none"/>
          <w:shd w:val="clear" w:color="auto" w:fill="auto"/>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b/>
          <w:color w:val="auto"/>
          <w:kern w:val="0"/>
          <w:sz w:val="36"/>
          <w:szCs w:val="36"/>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Style w:val="17"/>
        <w:keepNext/>
        <w:keepLines/>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16"/>
        <w:rPr>
          <w:rFonts w:hint="eastAsia" w:ascii="仿宋_GB2312" w:hAnsi="仿宋_GB2312" w:eastAsia="仿宋_GB2312" w:cs="仿宋_GB2312"/>
          <w:color w:val="auto"/>
          <w:sz w:val="32"/>
          <w:szCs w:val="32"/>
          <w:highlight w:val="none"/>
        </w:rPr>
      </w:pPr>
    </w:p>
    <w:p>
      <w:pPr>
        <w:pStyle w:val="16"/>
        <w:rPr>
          <w:rFonts w:hint="eastAsia" w:ascii="仿宋_GB2312" w:hAnsi="仿宋_GB2312" w:eastAsia="仿宋_GB2312" w:cs="仿宋_GB2312"/>
          <w:color w:val="auto"/>
          <w:sz w:val="32"/>
          <w:szCs w:val="32"/>
          <w:highlight w:val="none"/>
        </w:rPr>
      </w:pPr>
    </w:p>
    <w:p>
      <w:pPr>
        <w:pStyle w:val="16"/>
        <w:rPr>
          <w:rFonts w:hint="eastAsia" w:ascii="仿宋_GB2312" w:hAnsi="仿宋_GB2312" w:eastAsia="仿宋_GB2312" w:cs="仿宋_GB2312"/>
          <w:color w:val="auto"/>
          <w:sz w:val="32"/>
          <w:szCs w:val="32"/>
          <w:highlight w:val="none"/>
        </w:rPr>
      </w:pPr>
    </w:p>
    <w:p>
      <w:pPr>
        <w:pStyle w:val="16"/>
        <w:rPr>
          <w:rFonts w:hint="eastAsia" w:ascii="仿宋_GB2312" w:hAnsi="仿宋_GB2312" w:eastAsia="仿宋_GB2312" w:cs="仿宋_GB2312"/>
          <w:color w:val="auto"/>
          <w:sz w:val="32"/>
          <w:szCs w:val="32"/>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left="0" w:leftChars="0" w:firstLine="1920" w:firstLineChars="600"/>
        <w:jc w:val="left"/>
        <w:textAlignment w:val="auto"/>
        <w:rPr>
          <w:rFonts w:hint="eastAsia" w:ascii="仿宋_GB2312" w:hAnsi="仿宋_GB2312" w:eastAsia="仿宋_GB2312" w:cs="仿宋_GB2312"/>
          <w:b w:val="0"/>
          <w:bCs w:val="0"/>
          <w:i w:val="0"/>
          <w:iCs w:val="0"/>
          <w:color w:val="auto"/>
          <w:kern w:val="0"/>
          <w:sz w:val="32"/>
          <w:szCs w:val="32"/>
          <w:highlight w:val="none"/>
          <w:lang w:val="en-US" w:eastAsia="zh-CN" w:bidi="en-US"/>
        </w:rPr>
      </w:pPr>
      <w:r>
        <w:rPr>
          <w:rFonts w:hint="eastAsia" w:ascii="仿宋_GB2312" w:hAnsi="仿宋_GB2312" w:eastAsia="仿宋_GB2312" w:cs="仿宋_GB2312"/>
          <w:b w:val="0"/>
          <w:bCs w:val="0"/>
          <w:i w:val="0"/>
          <w:iCs w:val="0"/>
          <w:color w:val="auto"/>
          <w:kern w:val="0"/>
          <w:sz w:val="32"/>
          <w:szCs w:val="32"/>
          <w:highlight w:val="none"/>
          <w:lang w:bidi="en-US"/>
        </w:rPr>
        <w:t>项目名称</w:t>
      </w:r>
      <w:r>
        <w:rPr>
          <w:rFonts w:hint="eastAsia" w:ascii="仿宋_GB2312" w:hAnsi="仿宋_GB2312" w:eastAsia="仿宋_GB2312" w:cs="仿宋_GB2312"/>
          <w:b w:val="0"/>
          <w:bCs w:val="0"/>
          <w:i w:val="0"/>
          <w:iCs w:val="0"/>
          <w:color w:val="auto"/>
          <w:kern w:val="0"/>
          <w:sz w:val="32"/>
          <w:szCs w:val="32"/>
          <w:highlight w:val="none"/>
          <w:lang w:eastAsia="zh-CN" w:bidi="en-US"/>
        </w:rPr>
        <w:t>：</w:t>
      </w:r>
      <w:r>
        <w:rPr>
          <w:rFonts w:hint="eastAsia" w:ascii="仿宋_GB2312" w:hAnsi="仿宋_GB2312" w:eastAsia="仿宋_GB2312" w:cs="仿宋_GB2312"/>
          <w:b w:val="0"/>
          <w:bCs w:val="0"/>
          <w:i w:val="0"/>
          <w:iCs w:val="0"/>
          <w:color w:val="auto"/>
          <w:kern w:val="0"/>
          <w:sz w:val="32"/>
          <w:szCs w:val="32"/>
          <w:highlight w:val="none"/>
          <w:lang w:val="en-US" w:eastAsia="zh-CN" w:bidi="en-US"/>
        </w:rPr>
        <w:t>叶城县棋盘乡家禽养殖合作项目</w:t>
      </w:r>
    </w:p>
    <w:p>
      <w:pPr>
        <w:pageBreakBefore w:val="0"/>
        <w:widowControl w:val="0"/>
        <w:kinsoku/>
        <w:wordWrap/>
        <w:overflowPunct/>
        <w:topLinePunct w:val="0"/>
        <w:autoSpaceDE/>
        <w:autoSpaceDN/>
        <w:bidi w:val="0"/>
        <w:adjustRightInd/>
        <w:snapToGrid/>
        <w:spacing w:line="560" w:lineRule="exact"/>
        <w:ind w:left="0" w:leftChars="0" w:firstLine="1920" w:firstLineChars="600"/>
        <w:jc w:val="left"/>
        <w:textAlignment w:val="auto"/>
        <w:rPr>
          <w:rFonts w:hint="eastAsia" w:ascii="仿宋_GB2312" w:hAnsi="仿宋_GB2312" w:eastAsia="仿宋_GB2312" w:cs="仿宋_GB2312"/>
          <w:b w:val="0"/>
          <w:bCs w:val="0"/>
          <w:i w:val="0"/>
          <w:iCs w:val="0"/>
          <w:color w:val="auto"/>
          <w:kern w:val="0"/>
          <w:sz w:val="32"/>
          <w:szCs w:val="32"/>
          <w:highlight w:val="none"/>
          <w:lang w:bidi="en-US"/>
        </w:rPr>
      </w:pPr>
      <w:r>
        <w:rPr>
          <w:rFonts w:hint="eastAsia" w:ascii="仿宋_GB2312" w:hAnsi="仿宋_GB2312" w:eastAsia="仿宋_GB2312" w:cs="仿宋_GB2312"/>
          <w:b w:val="0"/>
          <w:bCs w:val="0"/>
          <w:i w:val="0"/>
          <w:iCs w:val="0"/>
          <w:color w:val="auto"/>
          <w:kern w:val="0"/>
          <w:sz w:val="32"/>
          <w:szCs w:val="32"/>
          <w:highlight w:val="none"/>
          <w:lang w:bidi="en-US"/>
        </w:rPr>
        <w:t>项目单位：叶城县棋盘乡人民政府</w:t>
      </w:r>
    </w:p>
    <w:p>
      <w:pPr>
        <w:pageBreakBefore w:val="0"/>
        <w:widowControl w:val="0"/>
        <w:kinsoku/>
        <w:wordWrap/>
        <w:overflowPunct/>
        <w:topLinePunct w:val="0"/>
        <w:autoSpaceDE/>
        <w:autoSpaceDN/>
        <w:bidi w:val="0"/>
        <w:adjustRightInd/>
        <w:snapToGrid/>
        <w:spacing w:line="560" w:lineRule="exact"/>
        <w:ind w:left="0" w:leftChars="0" w:firstLine="1920" w:firstLineChars="600"/>
        <w:jc w:val="left"/>
        <w:textAlignment w:val="auto"/>
        <w:rPr>
          <w:rFonts w:hint="eastAsia" w:ascii="仿宋_GB2312" w:hAnsi="仿宋_GB2312" w:eastAsia="仿宋_GB2312" w:cs="仿宋_GB2312"/>
          <w:b w:val="0"/>
          <w:bCs w:val="0"/>
          <w:i w:val="0"/>
          <w:iCs w:val="0"/>
          <w:color w:val="auto"/>
          <w:kern w:val="0"/>
          <w:sz w:val="32"/>
          <w:szCs w:val="32"/>
          <w:highlight w:val="none"/>
          <w:lang w:bidi="en-US"/>
        </w:rPr>
      </w:pPr>
      <w:r>
        <w:rPr>
          <w:rFonts w:hint="eastAsia" w:ascii="仿宋_GB2312" w:hAnsi="仿宋_GB2312" w:eastAsia="仿宋_GB2312" w:cs="仿宋_GB2312"/>
          <w:b w:val="0"/>
          <w:bCs w:val="0"/>
          <w:i w:val="0"/>
          <w:iCs w:val="0"/>
          <w:color w:val="auto"/>
          <w:kern w:val="0"/>
          <w:sz w:val="32"/>
          <w:szCs w:val="32"/>
          <w:highlight w:val="none"/>
          <w:lang w:bidi="en-US"/>
        </w:rPr>
        <w:t>主管部门：叶城县棋盘乡人民政府</w:t>
      </w:r>
    </w:p>
    <w:p>
      <w:pPr>
        <w:pageBreakBefore w:val="0"/>
        <w:widowControl w:val="0"/>
        <w:kinsoku/>
        <w:wordWrap/>
        <w:overflowPunct/>
        <w:topLinePunct w:val="0"/>
        <w:autoSpaceDE/>
        <w:autoSpaceDN/>
        <w:bidi w:val="0"/>
        <w:adjustRightInd/>
        <w:snapToGrid/>
        <w:spacing w:line="560" w:lineRule="exact"/>
        <w:ind w:left="0" w:leftChars="0" w:firstLine="1920" w:firstLineChars="600"/>
        <w:jc w:val="left"/>
        <w:textAlignment w:val="auto"/>
        <w:rPr>
          <w:rFonts w:hint="eastAsia" w:ascii="仿宋_GB2312" w:hAnsi="仿宋_GB2312" w:eastAsia="仿宋_GB2312" w:cs="仿宋_GB2312"/>
          <w:b w:val="0"/>
          <w:bCs w:val="0"/>
          <w:i w:val="0"/>
          <w:iCs w:val="0"/>
          <w:color w:val="auto"/>
          <w:kern w:val="0"/>
          <w:sz w:val="32"/>
          <w:szCs w:val="32"/>
          <w:highlight w:val="none"/>
          <w:lang w:eastAsia="zh-CN" w:bidi="en-US"/>
        </w:rPr>
      </w:pPr>
      <w:r>
        <w:rPr>
          <w:rFonts w:hint="eastAsia" w:ascii="仿宋_GB2312" w:hAnsi="仿宋_GB2312" w:eastAsia="仿宋_GB2312" w:cs="仿宋_GB2312"/>
          <w:b w:val="0"/>
          <w:bCs w:val="0"/>
          <w:i w:val="0"/>
          <w:iCs w:val="0"/>
          <w:color w:val="auto"/>
          <w:kern w:val="0"/>
          <w:sz w:val="32"/>
          <w:szCs w:val="32"/>
          <w:highlight w:val="none"/>
          <w:lang w:bidi="en-US"/>
        </w:rPr>
        <w:t>项目负责人：</w:t>
      </w:r>
      <w:r>
        <w:rPr>
          <w:rFonts w:hint="eastAsia" w:ascii="仿宋_GB2312" w:hAnsi="仿宋_GB2312" w:eastAsia="仿宋_GB2312" w:cs="仿宋_GB2312"/>
          <w:b w:val="0"/>
          <w:bCs w:val="0"/>
          <w:i w:val="0"/>
          <w:iCs w:val="0"/>
          <w:color w:val="auto"/>
          <w:kern w:val="0"/>
          <w:sz w:val="32"/>
          <w:szCs w:val="32"/>
          <w:highlight w:val="none"/>
          <w:lang w:eastAsia="zh-CN" w:bidi="en-US"/>
        </w:rPr>
        <w:t>李智</w:t>
      </w:r>
    </w:p>
    <w:p>
      <w:pPr>
        <w:pageBreakBefore w:val="0"/>
        <w:widowControl w:val="0"/>
        <w:kinsoku/>
        <w:wordWrap/>
        <w:overflowPunct/>
        <w:topLinePunct w:val="0"/>
        <w:autoSpaceDE/>
        <w:autoSpaceDN/>
        <w:bidi w:val="0"/>
        <w:adjustRightInd/>
        <w:snapToGrid/>
        <w:spacing w:line="560" w:lineRule="exact"/>
        <w:ind w:left="0" w:leftChars="0" w:firstLine="1920" w:firstLineChars="600"/>
        <w:jc w:val="left"/>
        <w:textAlignment w:val="auto"/>
        <w:rPr>
          <w:rFonts w:hint="eastAsia" w:ascii="仿宋_GB2312" w:hAnsi="仿宋_GB2312" w:eastAsia="仿宋_GB2312" w:cs="仿宋_GB2312"/>
          <w:b w:val="0"/>
          <w:bCs w:val="0"/>
          <w:i w:val="0"/>
          <w:iCs w:val="0"/>
          <w:color w:val="auto"/>
          <w:kern w:val="0"/>
          <w:sz w:val="32"/>
          <w:szCs w:val="32"/>
          <w:highlight w:val="none"/>
          <w:lang w:bidi="en-US"/>
        </w:rPr>
      </w:pPr>
      <w:r>
        <w:rPr>
          <w:rFonts w:hint="eastAsia" w:ascii="仿宋_GB2312" w:hAnsi="仿宋_GB2312" w:eastAsia="仿宋_GB2312" w:cs="仿宋_GB2312"/>
          <w:b w:val="0"/>
          <w:bCs w:val="0"/>
          <w:i w:val="0"/>
          <w:iCs w:val="0"/>
          <w:color w:val="auto"/>
          <w:kern w:val="0"/>
          <w:sz w:val="32"/>
          <w:szCs w:val="32"/>
          <w:highlight w:val="none"/>
          <w:lang w:bidi="en-US"/>
        </w:rPr>
        <w:t>填报时间：</w:t>
      </w:r>
      <w:r>
        <w:rPr>
          <w:rFonts w:hint="eastAsia" w:ascii="仿宋_GB2312" w:hAnsi="仿宋_GB2312" w:eastAsia="仿宋_GB2312" w:cs="仿宋_GB2312"/>
          <w:b w:val="0"/>
          <w:bCs w:val="0"/>
          <w:i w:val="0"/>
          <w:iCs w:val="0"/>
          <w:color w:val="auto"/>
          <w:kern w:val="0"/>
          <w:sz w:val="32"/>
          <w:szCs w:val="32"/>
          <w:highlight w:val="none"/>
          <w:lang w:val="en-US" w:eastAsia="zh-CN" w:bidi="en-US"/>
        </w:rPr>
        <w:t>2023</w:t>
      </w:r>
      <w:r>
        <w:rPr>
          <w:rFonts w:hint="eastAsia" w:ascii="仿宋_GB2312" w:hAnsi="仿宋_GB2312" w:eastAsia="仿宋_GB2312" w:cs="仿宋_GB2312"/>
          <w:b w:val="0"/>
          <w:bCs w:val="0"/>
          <w:i w:val="0"/>
          <w:iCs w:val="0"/>
          <w:color w:val="auto"/>
          <w:kern w:val="0"/>
          <w:sz w:val="32"/>
          <w:szCs w:val="32"/>
          <w:highlight w:val="none"/>
          <w:lang w:bidi="en-US"/>
        </w:rPr>
        <w:t>年</w:t>
      </w:r>
      <w:r>
        <w:rPr>
          <w:rFonts w:hint="eastAsia" w:ascii="仿宋_GB2312" w:hAnsi="仿宋_GB2312" w:eastAsia="仿宋_GB2312" w:cs="仿宋_GB2312"/>
          <w:b w:val="0"/>
          <w:bCs w:val="0"/>
          <w:i w:val="0"/>
          <w:iCs w:val="0"/>
          <w:color w:val="auto"/>
          <w:kern w:val="0"/>
          <w:sz w:val="32"/>
          <w:szCs w:val="32"/>
          <w:highlight w:val="none"/>
          <w:lang w:val="en-US" w:eastAsia="zh-CN" w:bidi="en-US"/>
        </w:rPr>
        <w:t>1</w:t>
      </w:r>
      <w:r>
        <w:rPr>
          <w:rFonts w:hint="eastAsia" w:ascii="仿宋_GB2312" w:hAnsi="仿宋_GB2312" w:eastAsia="仿宋_GB2312" w:cs="仿宋_GB2312"/>
          <w:b w:val="0"/>
          <w:bCs w:val="0"/>
          <w:i w:val="0"/>
          <w:iCs w:val="0"/>
          <w:color w:val="auto"/>
          <w:kern w:val="0"/>
          <w:sz w:val="32"/>
          <w:szCs w:val="32"/>
          <w:highlight w:val="none"/>
          <w:lang w:bidi="en-US"/>
        </w:rPr>
        <w:t>月</w:t>
      </w:r>
      <w:r>
        <w:rPr>
          <w:rFonts w:hint="eastAsia" w:ascii="仿宋_GB2312" w:hAnsi="仿宋_GB2312" w:eastAsia="仿宋_GB2312" w:cs="仿宋_GB2312"/>
          <w:b w:val="0"/>
          <w:bCs w:val="0"/>
          <w:i w:val="0"/>
          <w:iCs w:val="0"/>
          <w:color w:val="auto"/>
          <w:kern w:val="0"/>
          <w:sz w:val="32"/>
          <w:szCs w:val="32"/>
          <w:highlight w:val="none"/>
          <w:lang w:val="en-US" w:eastAsia="zh-CN" w:bidi="en-US"/>
        </w:rPr>
        <w:t>05</w:t>
      </w:r>
      <w:r>
        <w:rPr>
          <w:rFonts w:hint="eastAsia" w:ascii="仿宋_GB2312" w:hAnsi="仿宋_GB2312" w:eastAsia="仿宋_GB2312" w:cs="仿宋_GB2312"/>
          <w:b w:val="0"/>
          <w:bCs w:val="0"/>
          <w:i w:val="0"/>
          <w:iCs w:val="0"/>
          <w:color w:val="auto"/>
          <w:kern w:val="0"/>
          <w:sz w:val="32"/>
          <w:szCs w:val="32"/>
          <w:highlight w:val="none"/>
          <w:lang w:bidi="en-US"/>
        </w:rPr>
        <w:t>日</w:t>
      </w:r>
    </w:p>
    <w:p>
      <w:pPr>
        <w:pStyle w:val="7"/>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b/>
          <w:color w:val="auto"/>
          <w:kern w:val="0"/>
          <w:sz w:val="32"/>
          <w:szCs w:val="32"/>
          <w:highlight w:val="none"/>
          <w:lang w:bidi="en-US"/>
        </w:rPr>
      </w:pP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color w:val="auto"/>
          <w:sz w:val="32"/>
          <w:szCs w:val="32"/>
          <w:highlight w:val="none"/>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叶城县棋盘乡人民政府2022</w:t>
      </w:r>
      <w:r>
        <w:rPr>
          <w:rFonts w:hint="eastAsia" w:ascii="仿宋_GB2312" w:hAnsi="仿宋_GB2312" w:eastAsia="仿宋_GB2312" w:cs="仿宋_GB2312"/>
          <w:b/>
          <w:bCs/>
          <w:color w:val="auto"/>
          <w:sz w:val="32"/>
          <w:szCs w:val="32"/>
          <w:highlight w:val="none"/>
        </w:rPr>
        <w:t>年</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i w:val="0"/>
          <w:iCs w:val="0"/>
          <w:color w:val="auto"/>
          <w:kern w:val="0"/>
          <w:sz w:val="32"/>
          <w:szCs w:val="32"/>
          <w:highlight w:val="none"/>
          <w:lang w:val="en-US" w:eastAsia="zh-CN" w:bidi="en-US"/>
        </w:rPr>
        <w:t>叶城县棋盘乡家禽养殖合作项目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项目预算资金39.60万元，</w:t>
      </w:r>
      <w:r>
        <w:rPr>
          <w:rFonts w:hint="eastAsia" w:ascii="仿宋_GB2312" w:hAnsi="仿宋_GB2312" w:eastAsia="仿宋_GB2312" w:cs="仿宋_GB2312"/>
          <w:color w:val="auto"/>
          <w:sz w:val="32"/>
          <w:szCs w:val="32"/>
          <w:highlight w:val="none"/>
          <w:lang w:val="en-US" w:eastAsia="zh-CN"/>
        </w:rPr>
        <w:t>本项目的实施内容主要是养殖所需的0.8万只鸡苗、鸭苗、鹅苗纳入年度乡村振兴项目库实施。鸡鸭鹅苗采网上超市采购模式，鸡苗每只补助18元（鸡龄35天，体重：0.6公斤以上）。鸭苗每只补助18元（鸭龄20天，体重：0.6公斤以上）。鼓励合作社采取循环养殖模式，提高村集体经济收入和群众分红，养殖所需的种苗由村从收益和本金中支出，不在享受补贴。</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该项目根据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喀地财振〔2022〕3号</w:t>
      </w:r>
      <w:r>
        <w:rPr>
          <w:rFonts w:hint="eastAsia" w:ascii="仿宋_GB2312" w:hAnsi="仿宋_GB2312" w:eastAsia="仿宋_GB2312" w:cs="仿宋_GB2312"/>
          <w:color w:val="auto"/>
          <w:sz w:val="32"/>
          <w:szCs w:val="32"/>
          <w:highlight w:val="none"/>
          <w:lang w:eastAsia="zh-CN"/>
        </w:rPr>
        <w:t>》文件</w:t>
      </w:r>
      <w:r>
        <w:rPr>
          <w:rFonts w:hint="eastAsia" w:ascii="仿宋_GB2312" w:hAnsi="仿宋_GB2312" w:eastAsia="仿宋_GB2312" w:cs="仿宋_GB2312"/>
          <w:color w:val="auto"/>
          <w:sz w:val="32"/>
          <w:szCs w:val="32"/>
          <w:highlight w:val="none"/>
        </w:rPr>
        <w:t>共安排下达资金</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上级专项</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Style w:val="16"/>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计划总投资36.9万元，为棋盘乡家禽养殖合作社配套鸡11000只，每只补助18元；鸭4000只，每只补助18元；鹅4500只，每只补助28元。落实各种疫苗均按照防疫程序进行，加强林下养殖技术指导和服务，有效防止合作社在饲养环节导致家禽的死亡、造成损失。村两委和工作队共同负责项目实施监督与管理，确保项目高质量完成，达到群众早日收益的目标任务。</w:t>
      </w:r>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2.阶段性目标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乡畜牧兽医站负责对养殖场地建设、养殖过程中技术的指导和服务，乡镇畜牧兽医站要加强养殖点家禽疫病防控，按照“政府保密度、业务部门保质量”的原则，全面做好疾病诊治和疫病防控，以高质量的服务水平，提高养殖成活率和质量。</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31464"/>
      <w:bookmarkStart w:id="2" w:name="_Toc17882"/>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5633"/>
      <w:bookmarkStart w:id="4" w:name="_Toc2318"/>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本次评价成立了评价工作组，成员如下：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本次评价设计了评价方案、评价指标体系，通过资料分析、调研、访谈满意度调查等方式形成评价结论，在与项目单位沟通后确定评价意见，并出具评价报告。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第一阶段：前期准备。认真学习相关要求与规定，成立绩效评价工作组，作为绩效评价工作具体实施机构。成员构成如下：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韩正斌</w:t>
      </w:r>
      <w:r>
        <w:rPr>
          <w:rFonts w:hint="eastAsia" w:ascii="仿宋_GB2312" w:hAnsi="仿宋_GB2312" w:eastAsia="仿宋_GB2312" w:cs="仿宋_GB2312"/>
          <w:color w:val="auto"/>
          <w:sz w:val="32"/>
          <w:szCs w:val="32"/>
          <w:highlight w:val="none"/>
        </w:rPr>
        <w:t>评价组组长，绩效评价工作职责为负责全盘工作。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李智</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曹泽、刘浩、布合力其</w:t>
      </w:r>
      <w:r>
        <w:rPr>
          <w:rFonts w:hint="eastAsia" w:ascii="仿宋_GB2312" w:hAnsi="仿宋_GB2312" w:eastAsia="仿宋_GB2312" w:cs="仿宋_GB2312"/>
          <w:color w:val="auto"/>
          <w:sz w:val="32"/>
          <w:szCs w:val="32"/>
          <w:highlight w:val="none"/>
        </w:rPr>
        <w:t>任评价组成员，绩效评价工作职责为负责资料审核等工作。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第二阶段：组织实施。经评价组通过实地调研、查阅资料等方式，采用综合分析法对项目的决策、管理、绩效进行的综合评价分析。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该项目根据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喀地财振〔2022〕3号</w:t>
      </w:r>
      <w:r>
        <w:rPr>
          <w:rFonts w:hint="eastAsia" w:ascii="仿宋_GB2312" w:hAnsi="仿宋_GB2312" w:eastAsia="仿宋_GB2312" w:cs="仿宋_GB2312"/>
          <w:color w:val="auto"/>
          <w:sz w:val="32"/>
          <w:szCs w:val="32"/>
          <w:highlight w:val="none"/>
          <w:lang w:eastAsia="zh-CN"/>
        </w:rPr>
        <w:t>》文件</w:t>
      </w:r>
      <w:r>
        <w:rPr>
          <w:rFonts w:hint="eastAsia" w:ascii="仿宋_GB2312" w:hAnsi="仿宋_GB2312" w:eastAsia="仿宋_GB2312" w:cs="仿宋_GB2312"/>
          <w:color w:val="auto"/>
          <w:sz w:val="32"/>
          <w:szCs w:val="32"/>
          <w:highlight w:val="none"/>
        </w:rPr>
        <w:t>共安排下达资金</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上级专项</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叶城县棋盘乡家禽养殖合作项目该项目计划总投资36.9万元，实际到位39.6万元，已支出39.6万元，资金执行率100%，</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pageBreakBefore w:val="0"/>
        <w:widowControl w:val="0"/>
        <w:numPr>
          <w:ilvl w:val="0"/>
          <w:numId w:val="1"/>
        </w:numPr>
        <w:kinsoku/>
        <w:wordWrap/>
        <w:overflowPunct/>
        <w:topLinePunct w:val="0"/>
        <w:autoSpaceDE/>
        <w:autoSpaceDN/>
        <w:bidi w:val="0"/>
        <w:adjustRightInd/>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鸡养殖数量11000只，与预期目标一致，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鸭养殖数量4000只，与预期目标一致，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鹅养殖数量4500只，与预期目标一致，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ageBreakBefore w:val="0"/>
        <w:widowControl w:val="0"/>
        <w:numPr>
          <w:ilvl w:val="0"/>
          <w:numId w:val="1"/>
        </w:numPr>
        <w:kinsoku/>
        <w:wordWrap/>
        <w:overflowPunct/>
        <w:topLinePunct w:val="0"/>
        <w:autoSpaceDE/>
        <w:autoSpaceDN/>
        <w:bidi w:val="0"/>
        <w:adjustRightInd/>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养殖动物成活率90%，与预期目标一致，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7"/>
        <w:pageBreakBefore w:val="0"/>
        <w:widowControl w:val="0"/>
        <w:numPr>
          <w:ilvl w:val="0"/>
          <w:numId w:val="1"/>
        </w:numPr>
        <w:kinsoku/>
        <w:wordWrap/>
        <w:overflowPunct/>
        <w:topLinePunct w:val="0"/>
        <w:autoSpaceDE/>
        <w:autoSpaceDN/>
        <w:bidi w:val="0"/>
        <w:adjustRightInd/>
        <w:snapToGrid/>
        <w:spacing w:before="0" w:after="0" w:line="560" w:lineRule="exact"/>
        <w:ind w:firstLine="643"/>
        <w:jc w:val="both"/>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val="en-US" w:eastAsia="zh-CN"/>
        </w:rPr>
        <w:t>项目开始时间2022年6月1日，与预期目标指标一致，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val="en-US" w:eastAsia="zh-CN"/>
        </w:rPr>
        <w:t>项目结束时间2022年12月28日，与预期目标一致，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项目资金发放及时率100%，与预期目标一致，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鸡养殖补助18元/只，项目经费都能控制绩效目标范围内，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鸭养殖补助18元/只，项目经费都能控制绩效目标范围内，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鹅养殖补助28元/只，项目经费都能控制绩效目标范围内，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rPr>
        <w:t>实施效益指标：</w:t>
      </w:r>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受益三类户人数640人，与预期指标一致，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三类户户数140人，与预期指标一致，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减少动物疫病发生，促进养殖业健康发展率90%，与预期指标一致，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促进当地家禽养殖发展时限3年，与预期指标一致，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带动增加三类户全年总收入3万元，与预期指标一致，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eastAsia="zh-CN"/>
        </w:rPr>
        <w:t>）对于“</w:t>
      </w:r>
      <w:r>
        <w:rPr>
          <w:rFonts w:hint="eastAsia" w:ascii="仿宋_GB2312" w:hAnsi="仿宋_GB2312" w:eastAsia="仿宋_GB2312" w:cs="仿宋_GB2312"/>
          <w:b/>
          <w:bCs/>
          <w:color w:val="auto"/>
          <w:sz w:val="32"/>
          <w:szCs w:val="32"/>
          <w:highlight w:val="none"/>
          <w:lang w:val="en-US" w:eastAsia="zh-CN"/>
        </w:rPr>
        <w:t>生态效益</w:t>
      </w:r>
      <w:r>
        <w:rPr>
          <w:rFonts w:hint="eastAsia" w:ascii="仿宋_GB2312" w:hAnsi="仿宋_GB2312" w:eastAsia="仿宋_GB2312" w:cs="仿宋_GB2312"/>
          <w:b/>
          <w:bCs/>
          <w:color w:val="auto"/>
          <w:sz w:val="32"/>
          <w:szCs w:val="32"/>
          <w:highlight w:val="none"/>
          <w:lang w:eastAsia="zh-CN"/>
        </w:rPr>
        <w:t>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本项目无该指标。</w:t>
      </w:r>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2.满意度指标: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对于“满意度指标：受益养殖户人员满意度95%，与预期目标一致，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叶城县</w:t>
      </w:r>
      <w:r>
        <w:rPr>
          <w:rFonts w:hint="eastAsia" w:ascii="仿宋_GB2312" w:hAnsi="仿宋_GB2312" w:eastAsia="仿宋_GB2312" w:cs="仿宋_GB2312"/>
          <w:color w:val="auto"/>
          <w:sz w:val="32"/>
          <w:szCs w:val="32"/>
          <w:highlight w:val="none"/>
          <w:lang w:val="en-US" w:eastAsia="zh-CN"/>
        </w:rPr>
        <w:t>棋盘乡家禽养殖合作</w:t>
      </w:r>
      <w:r>
        <w:rPr>
          <w:rFonts w:hint="eastAsia" w:ascii="仿宋_GB2312" w:hAnsi="仿宋_GB2312" w:eastAsia="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%，项目绩效指标总体完成率为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w:t>
      </w:r>
      <w:r>
        <w:rPr>
          <w:rFonts w:hint="eastAsia" w:ascii="仿宋_GB2312" w:hAnsi="仿宋_GB2312" w:eastAsia="仿宋_GB2312" w:cs="仿宋_GB2312"/>
          <w:color w:val="auto"/>
          <w:sz w:val="32"/>
          <w:szCs w:val="32"/>
          <w:highlight w:val="none"/>
          <w:lang w:val="en-US" w:eastAsia="zh-CN"/>
        </w:rPr>
        <w:t>棋盘乡家禽养殖合作</w:t>
      </w:r>
      <w:r>
        <w:rPr>
          <w:rFonts w:hint="eastAsia" w:ascii="仿宋_GB2312" w:hAnsi="仿宋_GB2312" w:eastAsia="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C033D1A"/>
    <w:rsid w:val="0FD84CB5"/>
    <w:rsid w:val="13337EFC"/>
    <w:rsid w:val="164B2119"/>
    <w:rsid w:val="187A025D"/>
    <w:rsid w:val="1937751C"/>
    <w:rsid w:val="1ABF7AF2"/>
    <w:rsid w:val="1E4E2C6C"/>
    <w:rsid w:val="1EE92567"/>
    <w:rsid w:val="208A2654"/>
    <w:rsid w:val="23FC081B"/>
    <w:rsid w:val="258E09AB"/>
    <w:rsid w:val="275E1E77"/>
    <w:rsid w:val="2BDE14CF"/>
    <w:rsid w:val="2DE77161"/>
    <w:rsid w:val="2E51749D"/>
    <w:rsid w:val="30A66A13"/>
    <w:rsid w:val="31AE0AA6"/>
    <w:rsid w:val="405E6C33"/>
    <w:rsid w:val="41871287"/>
    <w:rsid w:val="42C508A7"/>
    <w:rsid w:val="46F3194E"/>
    <w:rsid w:val="47096FDD"/>
    <w:rsid w:val="4EFD730D"/>
    <w:rsid w:val="5B7E6D47"/>
    <w:rsid w:val="5E264C5E"/>
    <w:rsid w:val="5EB0623A"/>
    <w:rsid w:val="5EFC38F3"/>
    <w:rsid w:val="623867AE"/>
    <w:rsid w:val="66A55136"/>
    <w:rsid w:val="682E0E4F"/>
    <w:rsid w:val="6D3F3949"/>
    <w:rsid w:val="6EA070D6"/>
    <w:rsid w:val="72CE0967"/>
    <w:rsid w:val="7380398B"/>
    <w:rsid w:val="76270182"/>
    <w:rsid w:val="76954A77"/>
    <w:rsid w:val="7E3D5B7E"/>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2025-02-17T10:44:33Z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