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r>
        <w:rPr>
          <w:rFonts w:hint="eastAsia" w:ascii="黑体" w:hAnsi="黑体" w:eastAsia="黑体" w:cs="黑体"/>
          <w:b/>
          <w:bCs w:val="0"/>
          <w:color w:val="auto"/>
          <w:sz w:val="36"/>
          <w:szCs w:val="36"/>
          <w:highlight w:val="none"/>
          <w:shd w:val="clear" w:color="auto" w:fill="auto"/>
          <w:lang w:eastAsia="zh-CN"/>
        </w:rPr>
        <w:t>叶城县江格勒斯乡产业园附属设施配套建设项目</w:t>
      </w:r>
      <w:r>
        <w:rPr>
          <w:rFonts w:hint="eastAsia" w:ascii="黑体" w:hAnsi="黑体" w:eastAsia="黑体"/>
          <w:b/>
          <w:bCs/>
          <w:color w:val="auto"/>
          <w:sz w:val="36"/>
          <w:szCs w:val="36"/>
          <w:highlight w:val="none"/>
          <w:lang w:eastAsia="zh-CN"/>
        </w:rPr>
        <w:t>支出自评总结报告</w:t>
      </w:r>
    </w:p>
    <w:p>
      <w:pPr>
        <w:pageBreakBefore w:val="0"/>
        <w:widowControl w:val="0"/>
        <w:tabs>
          <w:tab w:val="left" w:pos="1680"/>
        </w:tabs>
        <w:kinsoku/>
        <w:wordWrap/>
        <w:overflowPunct/>
        <w:topLinePunct w:val="0"/>
        <w:autoSpaceDE/>
        <w:autoSpaceDN/>
        <w:bidi w:val="0"/>
        <w:snapToGrid/>
        <w:spacing w:before="120" w:after="120" w:line="560" w:lineRule="exact"/>
        <w:ind w:left="0" w:leftChars="0" w:firstLine="0" w:firstLineChars="0"/>
        <w:jc w:val="center"/>
        <w:textAlignment w:val="auto"/>
        <w:outlineLvl w:val="0"/>
        <w:rPr>
          <w:rFonts w:hint="eastAsia" w:ascii="黑体" w:hAnsi="黑体" w:eastAsia="黑体" w:cs="黑体"/>
          <w:b/>
          <w:bCs w:val="0"/>
          <w:color w:val="auto"/>
          <w:sz w:val="36"/>
          <w:szCs w:val="36"/>
          <w:highlight w:val="none"/>
          <w:shd w:val="clear" w:color="auto" w:fill="auto"/>
        </w:rPr>
      </w:pPr>
    </w:p>
    <w:p>
      <w:pPr>
        <w:pageBreakBefore w:val="0"/>
        <w:widowControl w:val="0"/>
        <w:kinsoku/>
        <w:wordWrap/>
        <w:overflowPunct/>
        <w:topLinePunct w:val="0"/>
        <w:autoSpaceDE/>
        <w:autoSpaceDN/>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autoSpaceDE/>
        <w:autoSpaceDN/>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autoSpaceDE/>
        <w:autoSpaceDN/>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autoSpaceDE/>
        <w:autoSpaceDN/>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autoSpaceDE/>
        <w:autoSpaceDN/>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autoSpaceDE/>
        <w:autoSpaceDN/>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autoSpaceDE/>
        <w:autoSpaceDN/>
        <w:bidi w:val="0"/>
        <w:snapToGrid/>
        <w:spacing w:line="560" w:lineRule="exact"/>
        <w:ind w:firstLine="0" w:firstLineChars="0"/>
        <w:jc w:val="center"/>
        <w:textAlignment w:val="auto"/>
        <w:rPr>
          <w:rFonts w:hint="eastAsia" w:ascii="仿宋_GB2312" w:hAnsi="仿宋_GB2312" w:eastAsia="仿宋_GB2312" w:cs="仿宋_GB2312"/>
          <w:color w:val="auto"/>
          <w:kern w:val="0"/>
          <w:sz w:val="32"/>
          <w:szCs w:val="32"/>
          <w:highlight w:val="none"/>
          <w:lang w:bidi="en-US"/>
        </w:rPr>
      </w:pPr>
    </w:p>
    <w:p>
      <w:pPr>
        <w:pageBreakBefore w:val="0"/>
        <w:widowControl w:val="0"/>
        <w:kinsoku/>
        <w:wordWrap/>
        <w:overflowPunct/>
        <w:topLinePunct w:val="0"/>
        <w:autoSpaceDE/>
        <w:autoSpaceDN/>
        <w:bidi w:val="0"/>
        <w:snapToGrid/>
        <w:spacing w:line="560" w:lineRule="exact"/>
        <w:ind w:left="0" w:leftChars="0" w:firstLine="0" w:firstLineChars="0"/>
        <w:jc w:val="left"/>
        <w:textAlignment w:val="auto"/>
        <w:rPr>
          <w:rFonts w:hint="eastAsia" w:ascii="仿宋_GB2312" w:hAnsi="仿宋_GB2312" w:eastAsia="仿宋_GB2312" w:cs="仿宋_GB2312"/>
          <w:b w:val="0"/>
          <w:bCs w:val="0"/>
          <w:color w:val="auto"/>
          <w:kern w:val="0"/>
          <w:sz w:val="32"/>
          <w:szCs w:val="32"/>
          <w:highlight w:val="none"/>
          <w:lang w:eastAsia="zh-CN" w:bidi="en-US"/>
        </w:rPr>
      </w:pPr>
      <w:r>
        <w:rPr>
          <w:rFonts w:hint="eastAsia" w:ascii="仿宋_GB2312" w:hAnsi="仿宋_GB2312" w:eastAsia="仿宋_GB2312" w:cs="仿宋_GB2312"/>
          <w:b w:val="0"/>
          <w:bCs w:val="0"/>
          <w:i w:val="0"/>
          <w:iCs w:val="0"/>
          <w:color w:val="auto"/>
          <w:kern w:val="0"/>
          <w:sz w:val="32"/>
          <w:szCs w:val="32"/>
          <w:highlight w:val="none"/>
          <w:lang w:bidi="en-US"/>
        </w:rPr>
        <w:t>项目名</w:t>
      </w:r>
      <w:r>
        <w:rPr>
          <w:rFonts w:hint="eastAsia" w:ascii="仿宋_GB2312" w:hAnsi="仿宋_GB2312" w:eastAsia="仿宋_GB2312" w:cs="仿宋_GB2312"/>
          <w:b w:val="0"/>
          <w:bCs w:val="0"/>
          <w:color w:val="auto"/>
          <w:kern w:val="0"/>
          <w:sz w:val="32"/>
          <w:szCs w:val="32"/>
          <w:highlight w:val="none"/>
          <w:lang w:bidi="en-US"/>
        </w:rPr>
        <w:t>称</w:t>
      </w:r>
      <w:r>
        <w:rPr>
          <w:rFonts w:hint="eastAsia" w:ascii="仿宋_GB2312" w:hAnsi="仿宋_GB2312" w:eastAsia="仿宋_GB2312" w:cs="仿宋_GB2312"/>
          <w:b w:val="0"/>
          <w:bCs w:val="0"/>
          <w:color w:val="auto"/>
          <w:kern w:val="0"/>
          <w:sz w:val="32"/>
          <w:szCs w:val="32"/>
          <w:highlight w:val="none"/>
          <w:lang w:eastAsia="zh-CN" w:bidi="en-US"/>
        </w:rPr>
        <w:t>：叶城县江格勒斯乡产业园附属设施配套建设项目</w:t>
      </w:r>
      <w:r>
        <w:rPr>
          <w:rFonts w:hint="eastAsia" w:ascii="仿宋_GB2312" w:hAnsi="仿宋_GB2312" w:eastAsia="仿宋_GB2312" w:cs="仿宋_GB2312"/>
          <w:b w:val="0"/>
          <w:bCs w:val="0"/>
          <w:color w:val="auto"/>
          <w:kern w:val="0"/>
          <w:sz w:val="32"/>
          <w:szCs w:val="32"/>
          <w:highlight w:val="none"/>
          <w:lang w:bidi="en-US"/>
        </w:rPr>
        <w:t>项目单位：</w:t>
      </w:r>
      <w:r>
        <w:rPr>
          <w:rFonts w:hint="eastAsia" w:ascii="仿宋_GB2312" w:hAnsi="仿宋_GB2312" w:eastAsia="仿宋_GB2312" w:cs="仿宋_GB2312"/>
          <w:b w:val="0"/>
          <w:bCs w:val="0"/>
          <w:color w:val="auto"/>
          <w:kern w:val="0"/>
          <w:sz w:val="32"/>
          <w:szCs w:val="32"/>
          <w:highlight w:val="none"/>
          <w:lang w:eastAsia="zh-CN" w:bidi="en-US"/>
        </w:rPr>
        <w:t>叶城县江格勒斯乡人民政府人民政府</w:t>
      </w:r>
    </w:p>
    <w:p>
      <w:pPr>
        <w:pageBreakBefore w:val="0"/>
        <w:widowControl w:val="0"/>
        <w:kinsoku/>
        <w:wordWrap/>
        <w:overflowPunct/>
        <w:topLinePunct w:val="0"/>
        <w:autoSpaceDE/>
        <w:autoSpaceDN/>
        <w:bidi w:val="0"/>
        <w:snapToGrid/>
        <w:spacing w:line="560" w:lineRule="exact"/>
        <w:ind w:left="0" w:leftChars="0" w:firstLine="0" w:firstLineChars="0"/>
        <w:jc w:val="left"/>
        <w:textAlignment w:val="auto"/>
        <w:rPr>
          <w:rFonts w:hint="eastAsia" w:ascii="仿宋_GB2312" w:hAnsi="仿宋_GB2312" w:eastAsia="仿宋_GB2312" w:cs="仿宋_GB2312"/>
          <w:b w:val="0"/>
          <w:bCs w:val="0"/>
          <w:color w:val="auto"/>
          <w:kern w:val="0"/>
          <w:sz w:val="32"/>
          <w:szCs w:val="32"/>
          <w:highlight w:val="none"/>
          <w:lang w:eastAsia="zh-CN" w:bidi="en-US"/>
        </w:rPr>
      </w:pPr>
      <w:r>
        <w:rPr>
          <w:rFonts w:hint="eastAsia" w:ascii="仿宋_GB2312" w:hAnsi="仿宋_GB2312" w:eastAsia="仿宋_GB2312" w:cs="仿宋_GB2312"/>
          <w:b w:val="0"/>
          <w:bCs w:val="0"/>
          <w:color w:val="auto"/>
          <w:kern w:val="0"/>
          <w:sz w:val="32"/>
          <w:szCs w:val="32"/>
          <w:highlight w:val="none"/>
          <w:lang w:bidi="en-US"/>
        </w:rPr>
        <w:t>主管部门：</w:t>
      </w:r>
      <w:r>
        <w:rPr>
          <w:rFonts w:hint="eastAsia" w:ascii="仿宋_GB2312" w:hAnsi="仿宋_GB2312" w:eastAsia="仿宋_GB2312" w:cs="仿宋_GB2312"/>
          <w:b w:val="0"/>
          <w:bCs w:val="0"/>
          <w:color w:val="auto"/>
          <w:kern w:val="0"/>
          <w:sz w:val="32"/>
          <w:szCs w:val="32"/>
          <w:highlight w:val="none"/>
          <w:lang w:eastAsia="zh-CN" w:bidi="en-US"/>
        </w:rPr>
        <w:t>叶城县江格勒斯乡人民政府人民政府</w:t>
      </w:r>
    </w:p>
    <w:p>
      <w:pPr>
        <w:pageBreakBefore w:val="0"/>
        <w:widowControl w:val="0"/>
        <w:kinsoku/>
        <w:wordWrap/>
        <w:overflowPunct/>
        <w:topLinePunct w:val="0"/>
        <w:autoSpaceDE/>
        <w:autoSpaceDN/>
        <w:bidi w:val="0"/>
        <w:snapToGrid/>
        <w:spacing w:line="560" w:lineRule="exact"/>
        <w:ind w:left="0" w:leftChars="0" w:firstLine="0" w:firstLineChars="0"/>
        <w:jc w:val="left"/>
        <w:textAlignment w:val="auto"/>
        <w:rPr>
          <w:rFonts w:hint="eastAsia" w:ascii="仿宋_GB2312" w:hAnsi="仿宋_GB2312" w:eastAsia="仿宋_GB2312" w:cs="仿宋_GB2312"/>
          <w:b w:val="0"/>
          <w:bCs w:val="0"/>
          <w:color w:val="auto"/>
          <w:kern w:val="0"/>
          <w:sz w:val="32"/>
          <w:szCs w:val="32"/>
          <w:highlight w:val="none"/>
          <w:lang w:eastAsia="zh-CN" w:bidi="en-US"/>
        </w:rPr>
      </w:pPr>
      <w:r>
        <w:rPr>
          <w:rFonts w:hint="eastAsia" w:ascii="仿宋_GB2312" w:hAnsi="仿宋_GB2312" w:eastAsia="仿宋_GB2312" w:cs="仿宋_GB2312"/>
          <w:b w:val="0"/>
          <w:bCs w:val="0"/>
          <w:color w:val="auto"/>
          <w:kern w:val="0"/>
          <w:sz w:val="32"/>
          <w:szCs w:val="32"/>
          <w:highlight w:val="none"/>
          <w:lang w:bidi="en-US"/>
        </w:rPr>
        <w:t>项目负责人：</w:t>
      </w:r>
      <w:r>
        <w:rPr>
          <w:rFonts w:hint="eastAsia" w:ascii="仿宋_GB2312" w:hAnsi="仿宋_GB2312" w:eastAsia="仿宋_GB2312" w:cs="仿宋_GB2312"/>
          <w:b w:val="0"/>
          <w:bCs w:val="0"/>
          <w:color w:val="auto"/>
          <w:kern w:val="0"/>
          <w:sz w:val="32"/>
          <w:szCs w:val="32"/>
          <w:highlight w:val="none"/>
          <w:lang w:eastAsia="zh-CN" w:bidi="en-US"/>
        </w:rPr>
        <w:t>李海波</w:t>
      </w:r>
    </w:p>
    <w:p>
      <w:pPr>
        <w:pageBreakBefore w:val="0"/>
        <w:widowControl w:val="0"/>
        <w:kinsoku/>
        <w:wordWrap/>
        <w:overflowPunct/>
        <w:topLinePunct w:val="0"/>
        <w:autoSpaceDE/>
        <w:autoSpaceDN/>
        <w:bidi w:val="0"/>
        <w:snapToGrid/>
        <w:spacing w:line="560" w:lineRule="exact"/>
        <w:ind w:left="0" w:leftChars="0" w:firstLine="0" w:firstLineChars="0"/>
        <w:jc w:val="left"/>
        <w:textAlignment w:val="auto"/>
        <w:rPr>
          <w:rFonts w:hint="eastAsia" w:ascii="仿宋_GB2312" w:hAnsi="仿宋_GB2312" w:eastAsia="仿宋_GB2312" w:cs="仿宋_GB2312"/>
          <w:b w:val="0"/>
          <w:bCs w:val="0"/>
          <w:color w:val="auto"/>
          <w:kern w:val="0"/>
          <w:sz w:val="32"/>
          <w:szCs w:val="32"/>
          <w:highlight w:val="none"/>
          <w:lang w:bidi="en-US"/>
        </w:rPr>
      </w:pPr>
      <w:r>
        <w:rPr>
          <w:rFonts w:hint="eastAsia" w:ascii="仿宋_GB2312" w:hAnsi="仿宋_GB2312" w:eastAsia="仿宋_GB2312" w:cs="仿宋_GB2312"/>
          <w:b w:val="0"/>
          <w:bCs w:val="0"/>
          <w:color w:val="auto"/>
          <w:kern w:val="0"/>
          <w:sz w:val="32"/>
          <w:szCs w:val="32"/>
          <w:highlight w:val="none"/>
          <w:lang w:bidi="en-US"/>
        </w:rPr>
        <w:t>填报时间：</w:t>
      </w:r>
      <w:r>
        <w:rPr>
          <w:rFonts w:hint="eastAsia" w:ascii="仿宋_GB2312" w:hAnsi="仿宋_GB2312" w:eastAsia="仿宋_GB2312" w:cs="仿宋_GB2312"/>
          <w:b w:val="0"/>
          <w:bCs w:val="0"/>
          <w:color w:val="auto"/>
          <w:kern w:val="0"/>
          <w:sz w:val="32"/>
          <w:szCs w:val="32"/>
          <w:highlight w:val="none"/>
          <w:lang w:val="en-US" w:eastAsia="zh-CN" w:bidi="en-US"/>
        </w:rPr>
        <w:t>2023</w:t>
      </w:r>
      <w:r>
        <w:rPr>
          <w:rFonts w:hint="eastAsia" w:ascii="仿宋_GB2312" w:hAnsi="仿宋_GB2312" w:eastAsia="仿宋_GB2312" w:cs="仿宋_GB2312"/>
          <w:b w:val="0"/>
          <w:bCs w:val="0"/>
          <w:color w:val="auto"/>
          <w:kern w:val="0"/>
          <w:sz w:val="32"/>
          <w:szCs w:val="32"/>
          <w:highlight w:val="none"/>
          <w:lang w:bidi="en-US"/>
        </w:rPr>
        <w:t>年</w:t>
      </w:r>
      <w:r>
        <w:rPr>
          <w:rFonts w:hint="eastAsia" w:ascii="仿宋_GB2312" w:hAnsi="仿宋_GB2312" w:eastAsia="仿宋_GB2312" w:cs="仿宋_GB2312"/>
          <w:b w:val="0"/>
          <w:bCs w:val="0"/>
          <w:color w:val="auto"/>
          <w:kern w:val="0"/>
          <w:sz w:val="32"/>
          <w:szCs w:val="32"/>
          <w:highlight w:val="none"/>
          <w:lang w:val="en-US" w:eastAsia="zh-CN" w:bidi="en-US"/>
        </w:rPr>
        <w:t>1</w:t>
      </w:r>
      <w:r>
        <w:rPr>
          <w:rFonts w:hint="eastAsia" w:ascii="仿宋_GB2312" w:hAnsi="仿宋_GB2312" w:eastAsia="仿宋_GB2312" w:cs="仿宋_GB2312"/>
          <w:b w:val="0"/>
          <w:bCs w:val="0"/>
          <w:color w:val="auto"/>
          <w:kern w:val="0"/>
          <w:sz w:val="32"/>
          <w:szCs w:val="32"/>
          <w:highlight w:val="none"/>
          <w:lang w:bidi="en-US"/>
        </w:rPr>
        <w:t>月</w:t>
      </w:r>
      <w:r>
        <w:rPr>
          <w:rFonts w:hint="eastAsia" w:ascii="仿宋_GB2312" w:hAnsi="仿宋_GB2312" w:eastAsia="仿宋_GB2312" w:cs="仿宋_GB2312"/>
          <w:b w:val="0"/>
          <w:bCs w:val="0"/>
          <w:color w:val="auto"/>
          <w:kern w:val="0"/>
          <w:sz w:val="32"/>
          <w:szCs w:val="32"/>
          <w:highlight w:val="none"/>
          <w:lang w:val="en-US" w:eastAsia="zh-CN" w:bidi="en-US"/>
        </w:rPr>
        <w:t>2</w:t>
      </w:r>
      <w:r>
        <w:rPr>
          <w:rFonts w:hint="eastAsia" w:ascii="仿宋_GB2312" w:hAnsi="仿宋_GB2312" w:eastAsia="仿宋_GB2312" w:cs="仿宋_GB2312"/>
          <w:b w:val="0"/>
          <w:bCs w:val="0"/>
          <w:color w:val="auto"/>
          <w:kern w:val="0"/>
          <w:sz w:val="32"/>
          <w:szCs w:val="32"/>
          <w:highlight w:val="none"/>
          <w:lang w:bidi="en-US"/>
        </w:rPr>
        <w:t>日</w:t>
      </w:r>
    </w:p>
    <w:p>
      <w:pPr>
        <w:pStyle w:val="15"/>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15"/>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15"/>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叶城县江格勒斯乡人民政府人民政府2022</w:t>
      </w:r>
      <w:r>
        <w:rPr>
          <w:rFonts w:hint="eastAsia" w:ascii="黑体" w:hAnsi="黑体" w:eastAsia="黑体" w:cs="黑体"/>
          <w:b/>
          <w:bCs/>
          <w:color w:val="auto"/>
          <w:sz w:val="32"/>
          <w:szCs w:val="32"/>
          <w:highlight w:val="none"/>
        </w:rPr>
        <w:t>年</w:t>
      </w:r>
      <w:r>
        <w:rPr>
          <w:rFonts w:hint="eastAsia" w:ascii="黑体" w:hAnsi="黑体" w:eastAsia="黑体" w:cs="黑体"/>
          <w:b/>
          <w:bCs/>
          <w:color w:val="auto"/>
          <w:sz w:val="32"/>
          <w:szCs w:val="32"/>
          <w:highlight w:val="none"/>
          <w:lang w:eastAsia="zh-CN"/>
        </w:rPr>
        <w:t>财政衔接推进乡村振兴补助资金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pStyle w:val="16"/>
        <w:pageBreakBefore w:val="0"/>
        <w:widowControl w:val="0"/>
        <w:kinsoku/>
        <w:wordWrap/>
        <w:overflowPunct/>
        <w:topLinePunct w:val="0"/>
        <w:autoSpaceDE/>
        <w:autoSpaceDN/>
        <w:bidi w:val="0"/>
        <w:snapToGrid/>
        <w:spacing w:line="560" w:lineRule="exact"/>
        <w:ind w:firstLine="643"/>
        <w:textAlignment w:val="auto"/>
        <w:outlineLvl w:val="2"/>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eastAsia="zh-CN" w:bidi="en-US"/>
        </w:rPr>
        <w:t>叶城县江格勒斯乡产业园附属设施配套建设项目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项目预算资金285万元，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bCs/>
          <w:color w:val="auto"/>
          <w:spacing w:val="14"/>
          <w:sz w:val="32"/>
          <w:szCs w:val="32"/>
          <w:highlight w:val="none"/>
          <w:u w:val="none"/>
          <w:lang w:val="en-US" w:eastAsia="zh-CN"/>
        </w:rPr>
        <w:t>可带动2020户脱贫户及边缘易致贫户就业，增收180余万。</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16"/>
        <w:pageBreakBefore w:val="0"/>
        <w:widowControl w:val="0"/>
        <w:kinsoku/>
        <w:wordWrap/>
        <w:overflowPunct/>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叶城县江格勒斯乡产业园附属设施配套建设项目喀地财振【2022】3号</w:t>
      </w:r>
      <w:r>
        <w:rPr>
          <w:rFonts w:hint="eastAsia" w:ascii="仿宋_GB2312" w:hAnsi="仿宋_GB2312" w:eastAsia="仿宋_GB2312" w:cs="仿宋_GB2312"/>
          <w:color w:val="auto"/>
          <w:sz w:val="32"/>
          <w:szCs w:val="32"/>
          <w:highlight w:val="none"/>
        </w:rPr>
        <w:t>安排下达</w:t>
      </w:r>
      <w:r>
        <w:rPr>
          <w:rFonts w:hint="eastAsia" w:ascii="仿宋_GB2312" w:hAnsi="仿宋_GB2312" w:eastAsia="仿宋_GB2312" w:cs="仿宋_GB2312"/>
          <w:color w:val="auto"/>
          <w:sz w:val="32"/>
          <w:szCs w:val="32"/>
          <w:highlight w:val="none"/>
          <w:lang w:val="en-US" w:eastAsia="zh-CN"/>
        </w:rPr>
        <w:t>巩固拓展脱贫攻坚成果同乡村振兴有效衔接</w:t>
      </w:r>
      <w:r>
        <w:rPr>
          <w:rFonts w:hint="eastAsia" w:ascii="仿宋_GB2312" w:hAnsi="仿宋_GB2312" w:eastAsia="仿宋_GB2312" w:cs="仿宋_GB2312"/>
          <w:color w:val="auto"/>
          <w:sz w:val="32"/>
          <w:szCs w:val="32"/>
          <w:highlight w:val="none"/>
        </w:rPr>
        <w:t>资金</w:t>
      </w:r>
      <w:r>
        <w:rPr>
          <w:rFonts w:hint="eastAsia" w:ascii="仿宋_GB2312" w:hAnsi="仿宋_GB2312" w:eastAsia="仿宋_GB2312" w:cs="仿宋_GB2312"/>
          <w:color w:val="auto"/>
          <w:sz w:val="32"/>
          <w:szCs w:val="32"/>
          <w:highlight w:val="none"/>
          <w:lang w:val="en-US" w:eastAsia="zh-CN"/>
        </w:rPr>
        <w:t>285万元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最终确定项目资金总数为</w:t>
      </w:r>
      <w:r>
        <w:rPr>
          <w:rFonts w:hint="eastAsia" w:ascii="仿宋_GB2312" w:hAnsi="仿宋_GB2312" w:eastAsia="仿宋_GB2312" w:cs="仿宋_GB2312"/>
          <w:color w:val="auto"/>
          <w:sz w:val="32"/>
          <w:szCs w:val="32"/>
          <w:highlight w:val="none"/>
          <w:lang w:val="en-US" w:eastAsia="zh-CN"/>
        </w:rPr>
        <w:t>285万元</w:t>
      </w:r>
      <w:r>
        <w:rPr>
          <w:rFonts w:hint="eastAsia" w:ascii="仿宋_GB2312" w:hAnsi="仿宋_GB2312" w:eastAsia="仿宋_GB2312" w:cs="仿宋_GB2312"/>
          <w:color w:val="auto"/>
          <w:sz w:val="32"/>
          <w:szCs w:val="32"/>
          <w:highlight w:val="none"/>
        </w:rPr>
        <w:t>。</w:t>
      </w:r>
    </w:p>
    <w:p>
      <w:pPr>
        <w:pStyle w:val="17"/>
        <w:pageBreakBefore w:val="0"/>
        <w:widowControl w:val="0"/>
        <w:kinsoku/>
        <w:wordWrap/>
        <w:overflowPunct/>
        <w:topLinePunct w:val="0"/>
        <w:autoSpaceDE/>
        <w:autoSpaceDN/>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1.项目绩效总目标</w:t>
      </w:r>
    </w:p>
    <w:p>
      <w:pPr>
        <w:pStyle w:val="16"/>
        <w:pageBreakBefore w:val="0"/>
        <w:widowControl w:val="0"/>
        <w:kinsoku/>
        <w:wordWrap/>
        <w:overflowPunct/>
        <w:topLinePunct w:val="0"/>
        <w:autoSpaceDE/>
        <w:autoSpaceDN/>
        <w:bidi w:val="0"/>
        <w:snapToGrid/>
        <w:spacing w:line="560" w:lineRule="exact"/>
        <w:ind w:firstLine="643"/>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叶城县江格勒斯乡产业园附属设施配套建设项目</w:t>
      </w:r>
      <w:r>
        <w:rPr>
          <w:rFonts w:hint="eastAsia" w:ascii="仿宋_GB2312" w:hAnsi="仿宋_GB2312" w:eastAsia="仿宋_GB2312" w:cs="仿宋_GB2312"/>
          <w:color w:val="auto"/>
          <w:sz w:val="32"/>
          <w:szCs w:val="32"/>
          <w:highlight w:val="none"/>
        </w:rPr>
        <w:t>总投入资金</w:t>
      </w:r>
      <w:r>
        <w:rPr>
          <w:rFonts w:hint="eastAsia" w:ascii="仿宋_GB2312" w:hAnsi="仿宋_GB2312" w:eastAsia="仿宋_GB2312" w:cs="仿宋_GB2312"/>
          <w:color w:val="auto"/>
          <w:sz w:val="32"/>
          <w:szCs w:val="32"/>
          <w:highlight w:val="none"/>
          <w:lang w:val="en-US" w:eastAsia="zh-CN"/>
        </w:rPr>
        <w:t>285万元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其中财政资金</w:t>
      </w:r>
      <w:r>
        <w:rPr>
          <w:rFonts w:hint="eastAsia" w:ascii="仿宋_GB2312" w:hAnsi="仿宋_GB2312" w:eastAsia="仿宋_GB2312" w:cs="仿宋_GB2312"/>
          <w:color w:val="auto"/>
          <w:sz w:val="32"/>
          <w:szCs w:val="32"/>
          <w:highlight w:val="none"/>
          <w:lang w:val="en-US" w:eastAsia="zh-CN"/>
        </w:rPr>
        <w:t>285万元</w:t>
      </w:r>
      <w:r>
        <w:rPr>
          <w:rFonts w:hint="eastAsia" w:ascii="仿宋_GB2312" w:hAnsi="仿宋_GB2312" w:eastAsia="仿宋_GB2312" w:cs="仿宋_GB2312"/>
          <w:bCs/>
          <w:color w:val="auto"/>
          <w:spacing w:val="14"/>
          <w:sz w:val="32"/>
          <w:szCs w:val="32"/>
          <w:highlight w:val="none"/>
          <w:u w:val="none"/>
          <w:lang w:val="en-US" w:eastAsia="zh-CN"/>
        </w:rPr>
        <w:t>用于用于产业就业基地项目附属配套设施建设，地面硬化、围墙修建、路灯安装、绿化。项目的实施可带动2020户脱贫户及边缘易致贫户就业，增收180余万。</w:t>
      </w:r>
    </w:p>
    <w:p>
      <w:pPr>
        <w:pStyle w:val="17"/>
        <w:pageBreakBefore w:val="0"/>
        <w:widowControl w:val="0"/>
        <w:kinsoku/>
        <w:wordWrap/>
        <w:overflowPunct/>
        <w:topLinePunct w:val="0"/>
        <w:autoSpaceDE/>
        <w:autoSpaceDN/>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.阶段性目标</w:t>
      </w:r>
    </w:p>
    <w:p>
      <w:pPr>
        <w:pStyle w:val="16"/>
        <w:pageBreakBefore w:val="0"/>
        <w:widowControl w:val="0"/>
        <w:kinsoku/>
        <w:wordWrap/>
        <w:overflowPunct/>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bookmarkStart w:id="0" w:name="_Toc199481523"/>
      <w:r>
        <w:rPr>
          <w:rFonts w:hint="eastAsia" w:ascii="仿宋_GB2312" w:hAnsi="仿宋_GB2312" w:eastAsia="仿宋_GB2312" w:cs="仿宋_GB2312"/>
          <w:color w:val="auto"/>
          <w:sz w:val="32"/>
          <w:szCs w:val="32"/>
          <w:highlight w:val="none"/>
        </w:rPr>
        <w:t>根据项目区的现状条件、自然环境和项目的总体安排，遵循先难后易的原则，安排项目建设进度。</w:t>
      </w:r>
    </w:p>
    <w:p>
      <w:pPr>
        <w:pStyle w:val="16"/>
        <w:pageBreakBefore w:val="0"/>
        <w:widowControl w:val="0"/>
        <w:kinsoku/>
        <w:wordWrap/>
        <w:overflowPunct/>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项目准备期为</w:t>
      </w:r>
      <w:r>
        <w:rPr>
          <w:rFonts w:hint="eastAsia" w:ascii="仿宋_GB2312" w:hAnsi="仿宋_GB2312" w:eastAsia="仿宋_GB2312" w:cs="仿宋_GB2312"/>
          <w:color w:val="auto"/>
          <w:sz w:val="32"/>
          <w:szCs w:val="32"/>
          <w:highlight w:val="none"/>
          <w:lang w:val="en-US" w:eastAsia="zh-CN"/>
        </w:rPr>
        <w:t>2022</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月，主要任务包括：立项考察、进行项目建设可行性论证，编制可行性研究报告（代项目建议书）；项目环境影响评价；根据批准的项目建议书、可行性报告和环境影响评价进行初步设计，施工图设计；进行主要工程的招标工作，包括施工监理招标、施工招标和设备招标。</w:t>
      </w:r>
    </w:p>
    <w:p>
      <w:pPr>
        <w:pStyle w:val="16"/>
        <w:pageBreakBefore w:val="0"/>
        <w:widowControl w:val="0"/>
        <w:kinsoku/>
        <w:wordWrap/>
        <w:overflowPunct/>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项目建设工期为202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月-202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年1</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月，主要为施工准备、工程施工及竣工验收。</w:t>
      </w:r>
      <w:bookmarkEnd w:id="0"/>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2" w:name="_Toc17882"/>
      <w:bookmarkStart w:id="3" w:name="_Toc31464"/>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2"/>
      <w:bookmarkEnd w:id="3"/>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4" w:name="_Toc5633"/>
      <w:bookmarkStart w:id="5" w:name="_Toc2318"/>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4"/>
      <w:bookmarkEnd w:id="5"/>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6" w:name="_Toc430"/>
      <w:bookmarkStart w:id="7" w:name="_Toc16028"/>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1"/>
      <w:bookmarkEnd w:id="6"/>
      <w:bookmarkEnd w:id="7"/>
    </w:p>
    <w:p>
      <w:pPr>
        <w:pStyle w:val="17"/>
        <w:pageBreakBefore w:val="0"/>
        <w:widowControl w:val="0"/>
        <w:kinsoku/>
        <w:wordWrap/>
        <w:overflowPunct/>
        <w:topLinePunct w:val="0"/>
        <w:autoSpaceDE/>
        <w:autoSpaceDN/>
        <w:bidi w:val="0"/>
        <w:snapToGrid/>
        <w:spacing w:line="560" w:lineRule="exact"/>
        <w:ind w:left="56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（三）绩效评价工作过程</w:t>
      </w:r>
    </w:p>
    <w:p>
      <w:pPr>
        <w:pStyle w:val="16"/>
        <w:pageBreakBefore w:val="0"/>
        <w:widowControl w:val="0"/>
        <w:kinsoku/>
        <w:wordWrap/>
        <w:overflowPunct/>
        <w:topLinePunct w:val="0"/>
        <w:autoSpaceDE/>
        <w:autoSpaceDN/>
        <w:bidi w:val="0"/>
        <w:snapToGrid/>
        <w:spacing w:line="560" w:lineRule="exact"/>
        <w:ind w:left="0" w:leftChars="0" w:firstLine="624" w:firstLineChars="200"/>
        <w:textAlignment w:val="auto"/>
        <w:rPr>
          <w:rStyle w:val="14"/>
          <w:rFonts w:hint="eastAsia" w:ascii="仿宋_GB2312" w:hAnsi="仿宋_GB2312" w:eastAsia="仿宋_GB2312" w:cs="仿宋_GB2312"/>
          <w:b w:val="0"/>
          <w:color w:val="auto"/>
          <w:spacing w:val="-4"/>
          <w:sz w:val="32"/>
          <w:szCs w:val="32"/>
          <w:highlight w:val="none"/>
          <w:lang w:val="en-US" w:eastAsia="zh-CN"/>
        </w:rPr>
      </w:pPr>
      <w:r>
        <w:rPr>
          <w:rStyle w:val="14"/>
          <w:rFonts w:hint="eastAsia" w:ascii="仿宋_GB2312" w:hAnsi="仿宋_GB2312" w:eastAsia="仿宋_GB2312" w:cs="仿宋_GB2312"/>
          <w:b w:val="0"/>
          <w:color w:val="auto"/>
          <w:spacing w:val="-4"/>
          <w:sz w:val="32"/>
          <w:szCs w:val="32"/>
          <w:highlight w:val="none"/>
          <w:lang w:val="en-US" w:eastAsia="zh-CN"/>
        </w:rPr>
        <w:t>本次评价成立了评价工作组，成员如下：</w:t>
      </w:r>
    </w:p>
    <w:p>
      <w:pPr>
        <w:pStyle w:val="16"/>
        <w:pageBreakBefore w:val="0"/>
        <w:widowControl w:val="0"/>
        <w:kinsoku/>
        <w:wordWrap/>
        <w:overflowPunct/>
        <w:topLinePunct w:val="0"/>
        <w:autoSpaceDE/>
        <w:autoSpaceDN/>
        <w:bidi w:val="0"/>
        <w:snapToGrid/>
        <w:spacing w:line="560" w:lineRule="exact"/>
        <w:ind w:left="0" w:leftChars="0" w:firstLine="624" w:firstLineChars="200"/>
        <w:textAlignment w:val="auto"/>
        <w:rPr>
          <w:rStyle w:val="14"/>
          <w:rFonts w:hint="eastAsia" w:ascii="仿宋_GB2312" w:hAnsi="仿宋_GB2312" w:eastAsia="仿宋_GB2312" w:cs="仿宋_GB2312"/>
          <w:b w:val="0"/>
          <w:color w:val="auto"/>
          <w:spacing w:val="-4"/>
          <w:sz w:val="32"/>
          <w:szCs w:val="32"/>
          <w:highlight w:val="none"/>
          <w:lang w:val="en-US" w:eastAsia="zh-CN"/>
        </w:rPr>
      </w:pPr>
      <w:r>
        <w:rPr>
          <w:rStyle w:val="14"/>
          <w:rFonts w:hint="eastAsia" w:ascii="仿宋_GB2312" w:hAnsi="仿宋_GB2312" w:eastAsia="仿宋_GB2312" w:cs="仿宋_GB2312"/>
          <w:b w:val="0"/>
          <w:color w:val="auto"/>
          <w:spacing w:val="-4"/>
          <w:sz w:val="32"/>
          <w:szCs w:val="32"/>
          <w:highlight w:val="none"/>
          <w:lang w:val="en-US" w:eastAsia="zh-CN"/>
        </w:rPr>
        <w:t>本次评价设计了评价方案、评价指标体系，通过资料分析、调研、访谈满意度调查等方式形成评价结论，在与项目单位沟通后确定评价意见，并出具评价报告。</w:t>
      </w:r>
    </w:p>
    <w:p>
      <w:pPr>
        <w:pStyle w:val="16"/>
        <w:pageBreakBefore w:val="0"/>
        <w:widowControl w:val="0"/>
        <w:kinsoku/>
        <w:wordWrap/>
        <w:overflowPunct/>
        <w:topLinePunct w:val="0"/>
        <w:autoSpaceDE/>
        <w:autoSpaceDN/>
        <w:bidi w:val="0"/>
        <w:snapToGrid/>
        <w:spacing w:line="560" w:lineRule="exact"/>
        <w:ind w:left="0" w:leftChars="0" w:firstLine="624" w:firstLineChars="200"/>
        <w:textAlignment w:val="auto"/>
        <w:rPr>
          <w:rStyle w:val="14"/>
          <w:rFonts w:hint="eastAsia" w:ascii="仿宋_GB2312" w:hAnsi="仿宋_GB2312" w:eastAsia="仿宋_GB2312" w:cs="仿宋_GB2312"/>
          <w:b w:val="0"/>
          <w:color w:val="auto"/>
          <w:spacing w:val="-4"/>
          <w:sz w:val="32"/>
          <w:szCs w:val="32"/>
          <w:highlight w:val="none"/>
          <w:lang w:val="en-US" w:eastAsia="zh-CN"/>
        </w:rPr>
      </w:pPr>
      <w:r>
        <w:rPr>
          <w:rStyle w:val="14"/>
          <w:rFonts w:hint="eastAsia" w:ascii="仿宋_GB2312" w:hAnsi="仿宋_GB2312" w:eastAsia="仿宋_GB2312" w:cs="仿宋_GB2312"/>
          <w:b w:val="0"/>
          <w:color w:val="auto"/>
          <w:spacing w:val="-4"/>
          <w:sz w:val="32"/>
          <w:szCs w:val="32"/>
          <w:highlight w:val="none"/>
          <w:lang w:val="en-US" w:eastAsia="zh-CN"/>
        </w:rPr>
        <w:t>第一阶段：前期准备。认真学习相关要求与规定，成立绩效评价工作组，作为绩效评价工作具体实施机构。成员构成如下：</w:t>
      </w:r>
    </w:p>
    <w:p>
      <w:pPr>
        <w:pStyle w:val="16"/>
        <w:pageBreakBefore w:val="0"/>
        <w:widowControl w:val="0"/>
        <w:kinsoku/>
        <w:wordWrap/>
        <w:overflowPunct/>
        <w:topLinePunct w:val="0"/>
        <w:autoSpaceDE/>
        <w:autoSpaceDN/>
        <w:bidi w:val="0"/>
        <w:snapToGrid/>
        <w:spacing w:line="560" w:lineRule="exact"/>
        <w:ind w:left="0" w:leftChars="0" w:firstLine="624" w:firstLineChars="200"/>
        <w:textAlignment w:val="auto"/>
        <w:rPr>
          <w:rFonts w:hint="eastAsia" w:ascii="仿宋_GB2312" w:hAnsi="仿宋_GB2312" w:eastAsia="仿宋_GB2312" w:cs="仿宋_GB2312"/>
          <w:color w:val="auto"/>
          <w:sz w:val="32"/>
          <w:szCs w:val="32"/>
          <w:highlight w:val="none"/>
        </w:rPr>
      </w:pPr>
      <w:r>
        <w:rPr>
          <w:rStyle w:val="14"/>
          <w:rFonts w:hint="eastAsia" w:ascii="仿宋_GB2312" w:hAnsi="仿宋_GB2312" w:eastAsia="仿宋_GB2312" w:cs="仿宋_GB2312"/>
          <w:b w:val="0"/>
          <w:color w:val="auto"/>
          <w:spacing w:val="-4"/>
          <w:sz w:val="32"/>
          <w:szCs w:val="32"/>
          <w:highlight w:val="none"/>
          <w:lang w:val="en-US" w:eastAsia="zh-CN"/>
        </w:rPr>
        <w:t>李海波</w:t>
      </w:r>
      <w:r>
        <w:rPr>
          <w:rFonts w:hint="eastAsia" w:ascii="仿宋_GB2312" w:hAnsi="仿宋_GB2312" w:eastAsia="仿宋_GB2312" w:cs="仿宋_GB2312"/>
          <w:color w:val="auto"/>
          <w:sz w:val="32"/>
          <w:szCs w:val="32"/>
          <w:highlight w:val="none"/>
        </w:rPr>
        <w:t>任评价组组长，绩效评价工作职责为负责全盘工作。</w:t>
      </w:r>
    </w:p>
    <w:p>
      <w:pPr>
        <w:pStyle w:val="16"/>
        <w:pageBreakBefore w:val="0"/>
        <w:widowControl w:val="0"/>
        <w:kinsoku/>
        <w:wordWrap/>
        <w:overflowPunct/>
        <w:topLinePunct w:val="0"/>
        <w:autoSpaceDE/>
        <w:autoSpaceDN/>
        <w:bidi w:val="0"/>
        <w:snapToGrid/>
        <w:spacing w:line="560" w:lineRule="exact"/>
        <w:ind w:left="0" w:leftChars="0" w:firstLine="624" w:firstLineChars="200"/>
        <w:textAlignment w:val="auto"/>
        <w:rPr>
          <w:rFonts w:hint="eastAsia" w:ascii="仿宋_GB2312" w:hAnsi="仿宋_GB2312" w:eastAsia="仿宋_GB2312" w:cs="仿宋_GB2312"/>
          <w:color w:val="auto"/>
          <w:sz w:val="32"/>
          <w:szCs w:val="32"/>
          <w:highlight w:val="none"/>
        </w:rPr>
      </w:pPr>
      <w:r>
        <w:rPr>
          <w:rStyle w:val="14"/>
          <w:rFonts w:hint="eastAsia" w:ascii="仿宋_GB2312" w:hAnsi="仿宋_GB2312" w:eastAsia="仿宋_GB2312" w:cs="仿宋_GB2312"/>
          <w:b w:val="0"/>
          <w:color w:val="auto"/>
          <w:spacing w:val="-4"/>
          <w:sz w:val="32"/>
          <w:szCs w:val="32"/>
          <w:highlight w:val="none"/>
          <w:lang w:val="en-US" w:eastAsia="zh-CN"/>
        </w:rPr>
        <w:t>李世民</w:t>
      </w:r>
      <w:r>
        <w:rPr>
          <w:rFonts w:hint="eastAsia" w:ascii="仿宋_GB2312" w:hAnsi="仿宋_GB2312" w:eastAsia="仿宋_GB2312" w:cs="仿宋_GB2312"/>
          <w:color w:val="auto"/>
          <w:sz w:val="32"/>
          <w:szCs w:val="32"/>
          <w:highlight w:val="none"/>
        </w:rPr>
        <w:t>任评价组副组长，绩效评价工作职责为为对项目实施情况进行实地调查。</w:t>
      </w:r>
    </w:p>
    <w:p>
      <w:pPr>
        <w:pStyle w:val="16"/>
        <w:pageBreakBefore w:val="0"/>
        <w:widowControl w:val="0"/>
        <w:kinsoku/>
        <w:wordWrap/>
        <w:overflowPunct/>
        <w:topLinePunct w:val="0"/>
        <w:autoSpaceDE/>
        <w:autoSpaceDN/>
        <w:bidi w:val="0"/>
        <w:snapToGrid/>
        <w:spacing w:line="560" w:lineRule="exact"/>
        <w:ind w:left="0" w:leftChars="0" w:firstLine="624" w:firstLineChars="200"/>
        <w:textAlignment w:val="auto"/>
        <w:rPr>
          <w:rFonts w:hint="eastAsia" w:ascii="仿宋_GB2312" w:hAnsi="仿宋_GB2312" w:eastAsia="仿宋_GB2312" w:cs="仿宋_GB2312"/>
          <w:color w:val="auto"/>
          <w:sz w:val="32"/>
          <w:szCs w:val="32"/>
          <w:highlight w:val="none"/>
        </w:rPr>
      </w:pPr>
      <w:r>
        <w:rPr>
          <w:rStyle w:val="14"/>
          <w:rFonts w:hint="eastAsia" w:ascii="仿宋_GB2312" w:hAnsi="仿宋_GB2312" w:eastAsia="仿宋_GB2312" w:cs="仿宋_GB2312"/>
          <w:b w:val="0"/>
          <w:color w:val="auto"/>
          <w:spacing w:val="-4"/>
          <w:sz w:val="32"/>
          <w:szCs w:val="32"/>
          <w:highlight w:val="none"/>
          <w:lang w:val="en-US" w:eastAsia="zh-CN"/>
        </w:rPr>
        <w:t>张钊、刘晓峰</w:t>
      </w:r>
      <w:r>
        <w:rPr>
          <w:rFonts w:hint="eastAsia" w:ascii="仿宋_GB2312" w:hAnsi="仿宋_GB2312" w:eastAsia="仿宋_GB2312" w:cs="仿宋_GB2312"/>
          <w:color w:val="auto"/>
          <w:sz w:val="32"/>
          <w:szCs w:val="32"/>
          <w:highlight w:val="none"/>
        </w:rPr>
        <w:t>任评价组成员，绩效评价工作职责为负责资料审核等工作。</w:t>
      </w:r>
    </w:p>
    <w:p>
      <w:pPr>
        <w:pStyle w:val="16"/>
        <w:pageBreakBefore w:val="0"/>
        <w:widowControl w:val="0"/>
        <w:kinsoku/>
        <w:wordWrap/>
        <w:overflowPunct/>
        <w:topLinePunct w:val="0"/>
        <w:autoSpaceDE/>
        <w:autoSpaceDN/>
        <w:bidi w:val="0"/>
        <w:snapToGrid/>
        <w:spacing w:line="560" w:lineRule="exact"/>
        <w:ind w:left="0" w:leftChars="0" w:firstLine="624" w:firstLineChars="200"/>
        <w:textAlignment w:val="auto"/>
        <w:rPr>
          <w:rStyle w:val="14"/>
          <w:rFonts w:hint="eastAsia" w:ascii="仿宋_GB2312" w:hAnsi="仿宋_GB2312" w:eastAsia="仿宋_GB2312" w:cs="仿宋_GB2312"/>
          <w:b w:val="0"/>
          <w:color w:val="auto"/>
          <w:spacing w:val="-4"/>
          <w:sz w:val="32"/>
          <w:szCs w:val="32"/>
          <w:highlight w:val="none"/>
          <w:lang w:val="en-US" w:eastAsia="zh-CN"/>
        </w:rPr>
      </w:pPr>
      <w:r>
        <w:rPr>
          <w:rStyle w:val="14"/>
          <w:rFonts w:hint="eastAsia" w:ascii="仿宋_GB2312" w:hAnsi="仿宋_GB2312" w:eastAsia="仿宋_GB2312" w:cs="仿宋_GB2312"/>
          <w:b w:val="0"/>
          <w:color w:val="auto"/>
          <w:spacing w:val="-4"/>
          <w:sz w:val="32"/>
          <w:szCs w:val="32"/>
          <w:highlight w:val="none"/>
          <w:lang w:val="en-US" w:eastAsia="zh-CN"/>
        </w:rPr>
        <w:t>第二阶段：组织实施。经评价组通过实地调研、查阅资料等方式，采用综合分析法对项目的决策、管理、绩效进行的综合评价分析。</w:t>
      </w:r>
    </w:p>
    <w:p>
      <w:pPr>
        <w:pStyle w:val="16"/>
        <w:pageBreakBefore w:val="0"/>
        <w:widowControl w:val="0"/>
        <w:kinsoku/>
        <w:wordWrap/>
        <w:overflowPunct/>
        <w:topLinePunct w:val="0"/>
        <w:autoSpaceDE/>
        <w:autoSpaceDN/>
        <w:bidi w:val="0"/>
        <w:snapToGrid/>
        <w:spacing w:line="560" w:lineRule="exact"/>
        <w:ind w:left="0" w:leftChars="0" w:firstLine="624" w:firstLineChars="200"/>
        <w:textAlignment w:val="auto"/>
        <w:rPr>
          <w:rStyle w:val="14"/>
          <w:rFonts w:hint="eastAsia" w:ascii="仿宋_GB2312" w:hAnsi="仿宋_GB2312" w:eastAsia="仿宋_GB2312" w:cs="仿宋_GB2312"/>
          <w:b w:val="0"/>
          <w:color w:val="auto"/>
          <w:spacing w:val="-4"/>
          <w:sz w:val="32"/>
          <w:szCs w:val="32"/>
          <w:highlight w:val="none"/>
          <w:lang w:val="en-US" w:eastAsia="zh-CN"/>
        </w:rPr>
      </w:pPr>
      <w:r>
        <w:rPr>
          <w:rStyle w:val="14"/>
          <w:rFonts w:hint="eastAsia" w:ascii="仿宋_GB2312" w:hAnsi="仿宋_GB2312" w:eastAsia="仿宋_GB2312" w:cs="仿宋_GB2312"/>
          <w:b w:val="0"/>
          <w:color w:val="auto"/>
          <w:spacing w:val="-4"/>
          <w:sz w:val="32"/>
          <w:szCs w:val="32"/>
          <w:highlight w:val="none"/>
          <w:lang w:val="en-US" w:eastAsia="zh-CN"/>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16"/>
        <w:pageBreakBefore w:val="0"/>
        <w:widowControl w:val="0"/>
        <w:kinsoku/>
        <w:wordWrap/>
        <w:overflowPunct/>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叶城县江格勒斯乡产业园附属设施配套建设项目喀地财振【2022】3号</w:t>
      </w:r>
      <w:r>
        <w:rPr>
          <w:rFonts w:hint="eastAsia" w:ascii="仿宋_GB2312" w:hAnsi="仿宋_GB2312" w:eastAsia="仿宋_GB2312" w:cs="仿宋_GB2312"/>
          <w:color w:val="auto"/>
          <w:sz w:val="32"/>
          <w:szCs w:val="32"/>
          <w:highlight w:val="none"/>
        </w:rPr>
        <w:t>安排下达</w:t>
      </w:r>
      <w:r>
        <w:rPr>
          <w:rFonts w:hint="eastAsia" w:ascii="仿宋_GB2312" w:hAnsi="仿宋_GB2312" w:eastAsia="仿宋_GB2312" w:cs="仿宋_GB2312"/>
          <w:color w:val="auto"/>
          <w:sz w:val="32"/>
          <w:szCs w:val="32"/>
          <w:highlight w:val="none"/>
          <w:lang w:val="en-US" w:eastAsia="zh-CN"/>
        </w:rPr>
        <w:t>巩固拓展脱贫攻坚成果同乡村振兴有效衔接</w:t>
      </w:r>
      <w:r>
        <w:rPr>
          <w:rFonts w:hint="eastAsia" w:ascii="仿宋_GB2312" w:hAnsi="仿宋_GB2312" w:eastAsia="仿宋_GB2312" w:cs="仿宋_GB2312"/>
          <w:color w:val="auto"/>
          <w:sz w:val="32"/>
          <w:szCs w:val="32"/>
          <w:highlight w:val="none"/>
        </w:rPr>
        <w:t>资金</w:t>
      </w:r>
      <w:r>
        <w:rPr>
          <w:rFonts w:hint="eastAsia" w:ascii="仿宋_GB2312" w:hAnsi="仿宋_GB2312" w:eastAsia="仿宋_GB2312" w:cs="仿宋_GB2312"/>
          <w:color w:val="auto"/>
          <w:sz w:val="32"/>
          <w:szCs w:val="32"/>
          <w:highlight w:val="none"/>
          <w:lang w:val="en-US" w:eastAsia="zh-CN"/>
        </w:rPr>
        <w:t>285万元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最终确定项目资金总数为</w:t>
      </w:r>
      <w:r>
        <w:rPr>
          <w:rFonts w:hint="eastAsia" w:ascii="仿宋_GB2312" w:hAnsi="仿宋_GB2312" w:eastAsia="仿宋_GB2312" w:cs="仿宋_GB2312"/>
          <w:color w:val="auto"/>
          <w:sz w:val="32"/>
          <w:szCs w:val="32"/>
          <w:highlight w:val="none"/>
          <w:lang w:val="en-US" w:eastAsia="zh-CN"/>
        </w:rPr>
        <w:t>285万元</w:t>
      </w:r>
      <w:r>
        <w:rPr>
          <w:rFonts w:hint="eastAsia" w:ascii="仿宋_GB2312" w:hAnsi="仿宋_GB2312" w:eastAsia="仿宋_GB2312" w:cs="仿宋_GB2312"/>
          <w:color w:val="auto"/>
          <w:sz w:val="32"/>
          <w:szCs w:val="32"/>
          <w:highlight w:val="none"/>
        </w:rPr>
        <w:t>。</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江格勒斯乡产业园附属设施配套建设项目项目资金285万元，资金到位285万元，资金执行285万元，资金执行率100%，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8" w:name="_GoBack"/>
      <w:bookmarkEnd w:id="8"/>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ageBreakBefore w:val="0"/>
        <w:widowControl w:val="0"/>
        <w:numPr>
          <w:ilvl w:val="0"/>
          <w:numId w:val="1"/>
        </w:numPr>
        <w:kinsoku/>
        <w:wordWrap/>
        <w:overflowPunct/>
        <w:topLinePunct w:val="0"/>
        <w:autoSpaceDE/>
        <w:autoSpaceDN/>
        <w:bidi w:val="0"/>
        <w:snapToGrid/>
        <w:spacing w:line="560" w:lineRule="exact"/>
        <w:ind w:left="-83" w:leftChars="0" w:firstLine="643" w:firstLine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对于“产出数量”</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就业产业基地配套附属项目4个，与预期目标一致，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numPr>
          <w:ilvl w:val="0"/>
          <w:numId w:val="1"/>
        </w:numPr>
        <w:kinsoku/>
        <w:wordWrap/>
        <w:overflowPunct/>
        <w:topLinePunct w:val="0"/>
        <w:autoSpaceDE/>
        <w:autoSpaceDN/>
        <w:bidi w:val="0"/>
        <w:snapToGrid/>
        <w:spacing w:line="560" w:lineRule="exact"/>
        <w:ind w:left="-83" w:leftChars="0" w:firstLine="643" w:firstLine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对于“产出质量”：</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资金足额保障率100%，与预期目标一致，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7"/>
        <w:pageBreakBefore w:val="0"/>
        <w:widowControl w:val="0"/>
        <w:numPr>
          <w:ilvl w:val="0"/>
          <w:numId w:val="1"/>
        </w:numPr>
        <w:kinsoku/>
        <w:wordWrap/>
        <w:overflowPunct/>
        <w:topLinePunct w:val="0"/>
        <w:autoSpaceDE/>
        <w:autoSpaceDN/>
        <w:bidi w:val="0"/>
        <w:snapToGrid/>
        <w:spacing w:before="0" w:after="0" w:line="560" w:lineRule="exact"/>
        <w:ind w:left="-83" w:leftChars="0" w:firstLine="643" w:firstLineChars="0"/>
        <w:jc w:val="both"/>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对于“产出时效”：</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资金拨付及时率100%，与预期目标指标一致，，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overflowPunct/>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（4）对于“产出成本”：</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围栏建设成本80万元，实际围栏建设成本72.67万元，偏差率为9.16%，偏差原因：该项目的前期费用未支出，导致整体支出有偏差。改进措施：加快资金拨付进度，提高资金执行率。，</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指标标杆分值为5分，根据评分标准，该指标不扣分。得4.54分。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地面硬化成本100万元，实际地面硬化成本95万元，偏差率为5%，偏差原因：该项目的前期费用未支出，导致整体支出有偏差。改进措施：加快资金拨付进度，提高资金执行率。，</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指标标杆分值为5分，根据评分标准，该指标不扣分。得4.75分。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路灯安装成本55万元，实际路灯安装成本50万元，偏差率为9.09%，偏差原因：该项目的前期费用未支出，导致整体支出有偏差。改进措施：加快资金拨付进度，提高资金执行率。，</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指标标杆分值为5分，根据评分标准，该指标不扣分。得4.55分。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绿化成本50万元，实际绿化成本45万元，偏差率为10%，偏差原因：该项目的前期费用未支出，导致整体支出有偏差。改进措施：加快资金拨付进度，提高资金执行率，</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指标标杆分值为5分，根据评分标准，该指标不扣分。得4.5分。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right="0"/>
        <w:jc w:val="lef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Style w:val="17"/>
        <w:pageBreakBefore w:val="0"/>
        <w:widowControl w:val="0"/>
        <w:kinsoku/>
        <w:wordWrap/>
        <w:overflowPunct/>
        <w:topLinePunct w:val="0"/>
        <w:autoSpaceDE/>
        <w:autoSpaceDN/>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1.实施效益指标：</w:t>
      </w:r>
    </w:p>
    <w:p>
      <w:pPr>
        <w:pageBreakBefore w:val="0"/>
        <w:widowControl w:val="0"/>
        <w:kinsoku/>
        <w:wordWrap/>
        <w:overflowPunct/>
        <w:topLinePunct w:val="0"/>
        <w:autoSpaceDE/>
        <w:autoSpaceDN/>
        <w:bidi w:val="0"/>
        <w:snapToGrid/>
        <w:spacing w:line="560" w:lineRule="exact"/>
        <w:ind w:left="0" w:leftChars="0" w:firstLine="643"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对于“经济效益指标”：</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带动增加受益脱贫户人口全年总收入180万元，与预期指标一致，</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overflowPunct/>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对于“社会效益指标”：</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受益脱贫户及边缘易致贫户人口数</w:t>
      </w:r>
      <w:r>
        <w:rPr>
          <w:rFonts w:hint="eastAsia" w:ascii="仿宋_GB2312" w:hAnsi="仿宋_GB2312" w:eastAsia="仿宋_GB2312" w:cs="仿宋_GB2312"/>
          <w:color w:val="auto"/>
          <w:sz w:val="32"/>
          <w:szCs w:val="32"/>
          <w:highlight w:val="none"/>
          <w:lang w:val="en-US" w:eastAsia="zh-CN"/>
        </w:rPr>
        <w:t>2020人</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overflowPunct/>
        <w:topLinePunct w:val="0"/>
        <w:autoSpaceDE/>
        <w:autoSpaceDN/>
        <w:bidi w:val="0"/>
        <w:snapToGrid/>
        <w:spacing w:line="560" w:lineRule="exact"/>
        <w:ind w:left="0" w:leftChars="0" w:firstLine="643"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对于“生态效益指标”：</w:t>
      </w:r>
    </w:p>
    <w:p>
      <w:pPr>
        <w:pageBreakBefore w:val="0"/>
        <w:widowControl w:val="0"/>
        <w:kinsoku/>
        <w:wordWrap/>
        <w:overflowPunct/>
        <w:topLinePunct w:val="0"/>
        <w:autoSpaceDE/>
        <w:autoSpaceDN/>
        <w:bidi w:val="0"/>
        <w:snapToGrid/>
        <w:spacing w:line="560" w:lineRule="exact"/>
        <w:ind w:firstLine="643"/>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本项目无该指标。</w:t>
      </w:r>
    </w:p>
    <w:p>
      <w:pPr>
        <w:pageBreakBefore w:val="0"/>
        <w:widowControl w:val="0"/>
        <w:kinsoku/>
        <w:wordWrap/>
        <w:overflowPunct/>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对于“可持续影响指标”：</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rPr>
        <w:t>项目可持续时限</w:t>
      </w:r>
      <w:r>
        <w:rPr>
          <w:rFonts w:hint="eastAsia" w:ascii="仿宋_GB2312" w:hAnsi="仿宋_GB2312" w:eastAsia="仿宋_GB2312" w:cs="仿宋_GB2312"/>
          <w:b w:val="0"/>
          <w:bCs w:val="0"/>
          <w:color w:val="auto"/>
          <w:sz w:val="32"/>
          <w:szCs w:val="32"/>
          <w:highlight w:val="none"/>
          <w:lang w:val="en-US" w:eastAsia="zh-CN"/>
        </w:rPr>
        <w:t>12个月，与预期指标</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b w:val="0"/>
          <w:bCs w:val="0"/>
          <w:color w:val="auto"/>
          <w:sz w:val="32"/>
          <w:szCs w:val="32"/>
          <w:highlight w:val="none"/>
        </w:rPr>
        <w:t>致，</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17"/>
        <w:pageBreakBefore w:val="0"/>
        <w:widowControl w:val="0"/>
        <w:kinsoku/>
        <w:wordWrap/>
        <w:overflowPunct/>
        <w:topLinePunct w:val="0"/>
        <w:autoSpaceDE/>
        <w:autoSpaceDN/>
        <w:bidi w:val="0"/>
        <w:snapToGrid/>
        <w:spacing w:line="560" w:lineRule="exac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2.满意度指标:</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对于“满意度指标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color w:val="auto"/>
          <w:spacing w:val="-4"/>
          <w:kern w:val="2"/>
          <w:sz w:val="32"/>
          <w:szCs w:val="32"/>
          <w:highlight w:val="none"/>
          <w:lang w:val="en-US" w:eastAsia="zh-CN" w:bidi="ar-SA"/>
        </w:rPr>
        <w:t>受益巩固脱贫人员满意度95%，与预期目标指标一致，</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keepNext w:val="0"/>
        <w:keepLines w:val="0"/>
        <w:pageBreakBefore w:val="0"/>
        <w:widowControl w:val="0"/>
        <w:kinsoku/>
        <w:wordWrap/>
        <w:overflowPunct/>
        <w:topLinePunct w:val="0"/>
        <w:autoSpaceDE/>
        <w:autoSpaceDN/>
        <w:bidi w:val="0"/>
        <w:snapToGrid/>
        <w:spacing w:line="560" w:lineRule="exact"/>
        <w:ind w:firstLine="624" w:firstLineChars="200"/>
        <w:jc w:val="left"/>
        <w:textAlignment w:val="auto"/>
        <w:rPr>
          <w:rFonts w:hint="eastAsia" w:ascii="仿宋_GB2312" w:hAnsi="仿宋_GB2312" w:eastAsia="仿宋_GB2312" w:cs="仿宋_GB2312"/>
          <w:b w:val="0"/>
          <w:bCs/>
          <w:color w:val="auto"/>
          <w:sz w:val="32"/>
          <w:szCs w:val="32"/>
          <w:highlight w:val="none"/>
          <w:lang w:eastAsia="zh-CN"/>
        </w:rPr>
      </w:pPr>
      <w:r>
        <w:rPr>
          <w:rFonts w:hint="eastAsia" w:ascii="仿宋_GB2312" w:hAnsi="仿宋_GB2312" w:eastAsia="仿宋_GB2312" w:cs="仿宋_GB2312"/>
          <w:color w:val="auto"/>
          <w:spacing w:val="-4"/>
          <w:sz w:val="32"/>
          <w:szCs w:val="32"/>
          <w:highlight w:val="none"/>
          <w:lang w:eastAsia="zh-CN"/>
        </w:rPr>
        <w:t>叶城县江格勒斯乡产业园附属设施配套建设项目</w:t>
      </w:r>
      <w:r>
        <w:rPr>
          <w:rFonts w:hint="eastAsia" w:ascii="仿宋_GB2312" w:hAnsi="仿宋_GB2312" w:eastAsia="仿宋_GB2312" w:cs="仿宋_GB2312"/>
          <w:color w:val="auto"/>
          <w:spacing w:val="-4"/>
          <w:sz w:val="32"/>
          <w:szCs w:val="32"/>
          <w:highlight w:val="none"/>
        </w:rPr>
        <w:t>预算</w:t>
      </w:r>
      <w:r>
        <w:rPr>
          <w:rFonts w:hint="eastAsia" w:ascii="仿宋_GB2312" w:hAnsi="仿宋_GB2312" w:eastAsia="仿宋_GB2312" w:cs="仿宋_GB2312"/>
          <w:color w:val="auto"/>
          <w:spacing w:val="-4"/>
          <w:sz w:val="32"/>
          <w:szCs w:val="32"/>
          <w:highlight w:val="none"/>
          <w:lang w:val="en-US" w:eastAsia="zh-CN"/>
        </w:rPr>
        <w:t>285万元</w:t>
      </w:r>
      <w:r>
        <w:rPr>
          <w:rFonts w:hint="eastAsia" w:ascii="仿宋_GB2312" w:hAnsi="仿宋_GB2312" w:eastAsia="仿宋_GB2312" w:cs="仿宋_GB2312"/>
          <w:color w:val="auto"/>
          <w:spacing w:val="-4"/>
          <w:sz w:val="32"/>
          <w:szCs w:val="32"/>
          <w:highlight w:val="none"/>
        </w:rPr>
        <w:t>，到位</w:t>
      </w:r>
      <w:r>
        <w:rPr>
          <w:rFonts w:hint="eastAsia" w:ascii="仿宋_GB2312" w:hAnsi="仿宋_GB2312" w:eastAsia="仿宋_GB2312" w:cs="仿宋_GB2312"/>
          <w:color w:val="auto"/>
          <w:spacing w:val="-4"/>
          <w:sz w:val="32"/>
          <w:szCs w:val="32"/>
          <w:highlight w:val="none"/>
          <w:lang w:val="en-US" w:eastAsia="zh-CN"/>
        </w:rPr>
        <w:t>285万元</w:t>
      </w:r>
      <w:r>
        <w:rPr>
          <w:rFonts w:hint="eastAsia" w:ascii="仿宋_GB2312" w:hAnsi="仿宋_GB2312" w:eastAsia="仿宋_GB2312" w:cs="仿宋_GB2312"/>
          <w:color w:val="auto"/>
          <w:spacing w:val="-4"/>
          <w:sz w:val="32"/>
          <w:szCs w:val="32"/>
          <w:highlight w:val="none"/>
        </w:rPr>
        <w:t>，实际支出</w:t>
      </w:r>
      <w:r>
        <w:rPr>
          <w:rFonts w:hint="eastAsia" w:ascii="仿宋_GB2312" w:hAnsi="仿宋_GB2312" w:eastAsia="仿宋_GB2312" w:cs="仿宋_GB2312"/>
          <w:color w:val="auto"/>
          <w:spacing w:val="-4"/>
          <w:sz w:val="32"/>
          <w:szCs w:val="32"/>
          <w:highlight w:val="none"/>
          <w:lang w:val="en-US" w:eastAsia="zh-CN"/>
        </w:rPr>
        <w:t>262.66万元</w:t>
      </w:r>
      <w:r>
        <w:rPr>
          <w:rFonts w:hint="eastAsia" w:ascii="仿宋_GB2312" w:hAnsi="仿宋_GB2312" w:eastAsia="仿宋_GB2312" w:cs="仿宋_GB2312"/>
          <w:color w:val="auto"/>
          <w:spacing w:val="-4"/>
          <w:sz w:val="32"/>
          <w:szCs w:val="32"/>
          <w:highlight w:val="none"/>
        </w:rPr>
        <w:t>，</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bCs/>
          <w:color w:val="auto"/>
          <w:spacing w:val="14"/>
          <w:sz w:val="32"/>
          <w:szCs w:val="32"/>
          <w:highlight w:val="none"/>
          <w:u w:val="none"/>
          <w:lang w:val="en-US" w:eastAsia="zh-CN"/>
        </w:rPr>
        <w:t>92.2%</w:t>
      </w:r>
      <w:r>
        <w:rPr>
          <w:rFonts w:hint="eastAsia" w:ascii="仿宋_GB2312" w:hAnsi="仿宋_GB2312" w:eastAsia="仿宋_GB2312" w:cs="仿宋_GB2312"/>
          <w:color w:val="auto"/>
          <w:sz w:val="32"/>
          <w:szCs w:val="32"/>
          <w:highlight w:val="none"/>
        </w:rPr>
        <w:t>，项目绩效指标总体完成率为</w:t>
      </w:r>
      <w:r>
        <w:rPr>
          <w:rFonts w:hint="eastAsia" w:ascii="仿宋_GB2312" w:hAnsi="仿宋_GB2312" w:eastAsia="仿宋_GB2312" w:cs="仿宋_GB2312"/>
          <w:color w:val="auto"/>
          <w:sz w:val="32"/>
          <w:szCs w:val="32"/>
          <w:highlight w:val="none"/>
          <w:lang w:val="en-US" w:eastAsia="zh-CN"/>
        </w:rPr>
        <w:t>97</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，偏差</w:t>
      </w:r>
      <w:r>
        <w:rPr>
          <w:rFonts w:hint="eastAsia" w:ascii="仿宋_GB2312" w:hAnsi="仿宋_GB2312" w:eastAsia="仿宋_GB2312" w:cs="仿宋_GB2312"/>
          <w:color w:val="auto"/>
          <w:sz w:val="32"/>
          <w:szCs w:val="32"/>
          <w:highlight w:val="none"/>
          <w:lang w:val="en-US" w:eastAsia="zh-CN"/>
        </w:rPr>
        <w:t>率4.8%，偏差原因：该项目的前期费用未支出，导致整体支出有偏差。改进措施：加快资金拨付进度，提高资金执行率。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24"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4"/>
          <w:sz w:val="32"/>
          <w:szCs w:val="32"/>
          <w:highlight w:val="none"/>
          <w:lang w:eastAsia="zh-CN"/>
        </w:rPr>
        <w:t>叶城县江格勒斯乡产业园附属设施配套建设项目</w:t>
      </w:r>
      <w:r>
        <w:rPr>
          <w:rFonts w:hint="eastAsia" w:ascii="仿宋_GB2312" w:hAnsi="仿宋_GB2312" w:eastAsia="仿宋_GB2312" w:cs="仿宋_GB2312"/>
          <w:color w:val="auto"/>
          <w:spacing w:val="-4"/>
          <w:sz w:val="32"/>
          <w:szCs w:val="32"/>
          <w:highlight w:val="none"/>
        </w:rPr>
        <w:t>预算</w:t>
      </w:r>
      <w:r>
        <w:rPr>
          <w:rFonts w:hint="eastAsia" w:ascii="仿宋_GB2312" w:hAnsi="仿宋_GB2312" w:eastAsia="仿宋_GB2312" w:cs="仿宋_GB2312"/>
          <w:color w:val="auto"/>
          <w:spacing w:val="-4"/>
          <w:sz w:val="32"/>
          <w:szCs w:val="32"/>
          <w:highlight w:val="none"/>
          <w:lang w:val="en-US" w:eastAsia="zh-CN"/>
        </w:rPr>
        <w:t>285万元</w:t>
      </w:r>
      <w:r>
        <w:rPr>
          <w:rFonts w:hint="eastAsia" w:ascii="仿宋_GB2312" w:hAnsi="仿宋_GB2312" w:eastAsia="仿宋_GB2312" w:cs="仿宋_GB2312"/>
          <w:color w:val="auto"/>
          <w:spacing w:val="-4"/>
          <w:sz w:val="32"/>
          <w:szCs w:val="32"/>
          <w:highlight w:val="none"/>
        </w:rPr>
        <w:t>，到位</w:t>
      </w:r>
      <w:r>
        <w:rPr>
          <w:rFonts w:hint="eastAsia" w:ascii="仿宋_GB2312" w:hAnsi="仿宋_GB2312" w:eastAsia="仿宋_GB2312" w:cs="仿宋_GB2312"/>
          <w:color w:val="auto"/>
          <w:spacing w:val="-4"/>
          <w:sz w:val="32"/>
          <w:szCs w:val="32"/>
          <w:highlight w:val="none"/>
          <w:lang w:val="en-US" w:eastAsia="zh-CN"/>
        </w:rPr>
        <w:t>285万元</w:t>
      </w:r>
      <w:r>
        <w:rPr>
          <w:rFonts w:hint="eastAsia" w:ascii="仿宋_GB2312" w:hAnsi="仿宋_GB2312" w:eastAsia="仿宋_GB2312" w:cs="仿宋_GB2312"/>
          <w:color w:val="auto"/>
          <w:spacing w:val="-4"/>
          <w:sz w:val="32"/>
          <w:szCs w:val="32"/>
          <w:highlight w:val="none"/>
        </w:rPr>
        <w:t>，实际支出</w:t>
      </w:r>
      <w:r>
        <w:rPr>
          <w:rFonts w:hint="eastAsia" w:ascii="仿宋_GB2312" w:hAnsi="仿宋_GB2312" w:eastAsia="仿宋_GB2312" w:cs="仿宋_GB2312"/>
          <w:color w:val="auto"/>
          <w:spacing w:val="-4"/>
          <w:sz w:val="32"/>
          <w:szCs w:val="32"/>
          <w:highlight w:val="none"/>
          <w:lang w:val="en-US" w:eastAsia="zh-CN"/>
        </w:rPr>
        <w:t>262.66万元</w:t>
      </w:r>
      <w:r>
        <w:rPr>
          <w:rFonts w:hint="eastAsia" w:ascii="仿宋_GB2312" w:hAnsi="仿宋_GB2312" w:eastAsia="仿宋_GB2312" w:cs="仿宋_GB2312"/>
          <w:color w:val="auto"/>
          <w:spacing w:val="-4"/>
          <w:sz w:val="32"/>
          <w:szCs w:val="32"/>
          <w:highlight w:val="none"/>
        </w:rPr>
        <w:t>，</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bCs/>
          <w:color w:val="auto"/>
          <w:spacing w:val="14"/>
          <w:sz w:val="32"/>
          <w:szCs w:val="32"/>
          <w:highlight w:val="none"/>
          <w:u w:val="none"/>
          <w:lang w:val="en-US" w:eastAsia="zh-CN"/>
        </w:rPr>
        <w:t>92.2%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指标标杆分值为10分，根据评分标准，该指标扣0.78分。得9.22分。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该项目最终评分97.56分，绩效评级为“优”。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pPr>
        <w:ind w:left="-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A761636"/>
    <w:rsid w:val="0C033D1A"/>
    <w:rsid w:val="0FD84CB5"/>
    <w:rsid w:val="13337EFC"/>
    <w:rsid w:val="17201B58"/>
    <w:rsid w:val="187A025D"/>
    <w:rsid w:val="1937751C"/>
    <w:rsid w:val="1ABF7AF2"/>
    <w:rsid w:val="1E4E2C6C"/>
    <w:rsid w:val="1EE92567"/>
    <w:rsid w:val="208A2654"/>
    <w:rsid w:val="23FC081B"/>
    <w:rsid w:val="258E09AB"/>
    <w:rsid w:val="275E1E77"/>
    <w:rsid w:val="2BDE14CF"/>
    <w:rsid w:val="2D2D948E"/>
    <w:rsid w:val="2E51749D"/>
    <w:rsid w:val="30A66A13"/>
    <w:rsid w:val="31AE0AA6"/>
    <w:rsid w:val="405E6C33"/>
    <w:rsid w:val="41871287"/>
    <w:rsid w:val="42C508A7"/>
    <w:rsid w:val="431930DB"/>
    <w:rsid w:val="47096FDD"/>
    <w:rsid w:val="4EFD730D"/>
    <w:rsid w:val="5A8C5E63"/>
    <w:rsid w:val="5B7E6D47"/>
    <w:rsid w:val="66A55136"/>
    <w:rsid w:val="682E0E4F"/>
    <w:rsid w:val="6D3F3949"/>
    <w:rsid w:val="70BE01D7"/>
    <w:rsid w:val="72CE0967"/>
    <w:rsid w:val="755A7568"/>
    <w:rsid w:val="76270182"/>
    <w:rsid w:val="76954A77"/>
    <w:rsid w:val="7E3D5B7E"/>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 w:type="paragraph" w:customStyle="1" w:styleId="18">
    <w:name w:val="_Style 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2025-02-17T10:47:37Z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